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326E5">
      <w:r>
        <w:t>供应商须具备建设行政主管部门核发的建筑工程施⼯总承包三级（含三级）及以上资质，安全生产许可证合格有效。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81FAE"/>
    <w:rsid w:val="1E1866C3"/>
    <w:rsid w:val="38B2575B"/>
    <w:rsid w:val="511735F3"/>
    <w:rsid w:val="54394756"/>
    <w:rsid w:val="6D871123"/>
    <w:rsid w:val="7985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295   </cp:lastModifiedBy>
  <dcterms:modified xsi:type="dcterms:W3CDTF">2026-08-28T00:37:49Z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BD85F8A7F474463BB1E62319EF8A6D4C_12</vt:lpwstr>
  </property>
</Properties>
</file>