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版本号：SZTCS-XA-260610-FW20260623001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宜君县2025年度国土变更调查项目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SZTCS-XA-260610-FW</w:t>
      </w:r>
      <w:r>
        <w:br/>
      </w:r>
      <w:r>
        <w:br/>
      </w:r>
      <w:r>
        <w:br/>
      </w:r>
    </w:p>
    <w:p>
      <w:pPr>
        <w:pStyle w:val="null3"/>
        <w:jc w:val="center"/>
        <w:outlineLvl w:val="2"/>
      </w:pPr>
      <w:r>
        <w:rPr>
          <w:rFonts w:ascii="仿宋_GB2312" w:hAnsi="仿宋_GB2312" w:cs="仿宋_GB2312" w:eastAsia="仿宋_GB2312"/>
          <w:sz w:val="28"/>
          <w:b/>
        </w:rPr>
        <w:t>宜君县自然资源和林业局</w:t>
      </w:r>
    </w:p>
    <w:p>
      <w:pPr>
        <w:pStyle w:val="null3"/>
        <w:jc w:val="center"/>
        <w:outlineLvl w:val="2"/>
      </w:pPr>
      <w:r>
        <w:rPr>
          <w:rFonts w:ascii="仿宋_GB2312" w:hAnsi="仿宋_GB2312" w:cs="仿宋_GB2312" w:eastAsia="仿宋_GB2312"/>
          <w:sz w:val="28"/>
          <w:b/>
        </w:rPr>
        <w:t>陕西省中投招标有限责任公司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陕西省中投招标有限责任公司</w:t>
      </w:r>
      <w:r>
        <w:rPr>
          <w:rFonts w:ascii="仿宋_GB2312" w:hAnsi="仿宋_GB2312" w:cs="仿宋_GB2312" w:eastAsia="仿宋_GB2312"/>
        </w:rPr>
        <w:t>（以下简称“代理机构”）受</w:t>
      </w:r>
      <w:r>
        <w:rPr>
          <w:rFonts w:ascii="仿宋_GB2312" w:hAnsi="仿宋_GB2312" w:cs="仿宋_GB2312" w:eastAsia="仿宋_GB2312"/>
        </w:rPr>
        <w:t>宜君县自然资源和林业局</w:t>
      </w:r>
      <w:r>
        <w:rPr>
          <w:rFonts w:ascii="仿宋_GB2312" w:hAnsi="仿宋_GB2312" w:cs="仿宋_GB2312" w:eastAsia="仿宋_GB2312"/>
        </w:rPr>
        <w:t>委托，拟对</w:t>
      </w:r>
      <w:r>
        <w:rPr>
          <w:rFonts w:ascii="仿宋_GB2312" w:hAnsi="仿宋_GB2312" w:cs="仿宋_GB2312" w:eastAsia="仿宋_GB2312"/>
        </w:rPr>
        <w:t>宜君县2025年度国土变更调查项目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SZTCS-XA-260610-FW</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宜君县2025年度国土变更调查项目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在⾃然资源统⼀调查监测评价框架下，以2024年度国⼟变更调查成果为底图，开展重点地类及全地类变化监测，掌 握相关地类⾯积、范围、分布和变化等情况。 在第三次全国国⼟调查（以下简称“三调”）统⼀时点调查成果及上年度国 ⼟变更调查成果基础上，利⽤最新遥感影像，通过县级实地调查，逐级核查，掌握年度国⼟利⽤的变化情况，满⾜当前⾃ 然资源管理⼯作的需要，更新国⼟调查成果，保障全国国⼟调查成果的现势性和准确性。</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采购包1（宜君县2025年度国土变更调查项目）：属于专门面向中小企业采购。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1、营业执照：具有独立承担民事责任能力的法人、其他组织或自然人，并出具合法有效的营业执照或事业单位法人证书等国家规定的相关证明，自然人参与的提供其身份证明；供应商需在项⽬电⼦化交易 系统中按要求上传相应证明⽂件并进⾏电⼦签 章；</w:t>
      </w:r>
    </w:p>
    <w:p>
      <w:pPr>
        <w:pStyle w:val="null3"/>
      </w:pPr>
      <w:r>
        <w:rPr>
          <w:rFonts w:ascii="仿宋_GB2312" w:hAnsi="仿宋_GB2312" w:cs="仿宋_GB2312" w:eastAsia="仿宋_GB2312"/>
        </w:rPr>
        <w:t>2、法定代表⼈授权委托书：法定代表⼈授权委托书（附法定代表⼈、被授 权⼈⾝份证复印件并加盖公章）和被授权⼈⾝ 份证原件。（法定代表⼈参加投标只须提供法 定代表⼈⾝份证明书及⾝份证原件）。供应商 需在项⽬电⼦化交易系统中按要求上传相应证 明⽂件并进⾏电⼦签章；</w:t>
      </w:r>
    </w:p>
    <w:p>
      <w:pPr>
        <w:pStyle w:val="null3"/>
      </w:pPr>
      <w:r>
        <w:rPr>
          <w:rFonts w:ascii="仿宋_GB2312" w:hAnsi="仿宋_GB2312" w:cs="仿宋_GB2312" w:eastAsia="仿宋_GB2312"/>
        </w:rPr>
        <w:t>3、企业资质：供应商须具有⾏政主管部⻔颁发的测绘⼄级（ 含⼄级）及以上资质。供应商 需在项⽬电⼦化交易系统中按要求上传相应证 明⽂件并进⾏电⼦签章；</w:t>
      </w:r>
    </w:p>
    <w:p>
      <w:pPr>
        <w:pStyle w:val="null3"/>
      </w:pPr>
      <w:r>
        <w:rPr>
          <w:rFonts w:ascii="仿宋_GB2312" w:hAnsi="仿宋_GB2312" w:cs="仿宋_GB2312" w:eastAsia="仿宋_GB2312"/>
        </w:rPr>
        <w:t>4、财务报告：提供2024年度或2025年度完整的经审计的财 务报告（成⽴时间⾄投标⽂件提交截⽌时间不 ⾜⼀年的可提供成⽴后任意时段的资产负债表 ），或提交⾃2025年1⽉1⽇以来银⾏（基本⼾ 开⼾⾏）出具的资信证明，或信⽤担保机构出 具的投标担保函（以上三种形式的资料提供任 何⼀种即可）。其他组织和⾃然⼈提供银⾏出 具的资信证明或财务报表。供应商需在项⽬电 ⼦化交易系统中按要求上传相应证明⽂件并进 ⾏电⼦签章；</w:t>
      </w:r>
    </w:p>
    <w:p>
      <w:pPr>
        <w:pStyle w:val="null3"/>
      </w:pPr>
      <w:r>
        <w:rPr>
          <w:rFonts w:ascii="仿宋_GB2312" w:hAnsi="仿宋_GB2312" w:cs="仿宋_GB2312" w:eastAsia="仿宋_GB2312"/>
        </w:rPr>
        <w:t>5、完税证明：提供响应⽂件提交截⽌时间前近六个⽉内⾄少 ⼀个⽉的纳税证明或完税证明（增值税，印花 税，城市维护建设费，企业所得税等⼀种或多 种税种），依法免税的单位应提供相关证明材 料。供应商需在项⽬电⼦化交易系统中按要求 上传相应证明⽂件并进⾏电⼦签章；</w:t>
      </w:r>
    </w:p>
    <w:p>
      <w:pPr>
        <w:pStyle w:val="null3"/>
      </w:pPr>
      <w:r>
        <w:rPr>
          <w:rFonts w:ascii="仿宋_GB2312" w:hAnsi="仿宋_GB2312" w:cs="仿宋_GB2312" w:eastAsia="仿宋_GB2312"/>
        </w:rPr>
        <w:t>6、社保缴纳凭证：提供响应⽂件提交截⽌时间前近六个⽉内⾄少 ⼀个⽉的社会保障资⾦缴存单据或社保机构开 具的社会保险参保缴费情况证明，依法不需要 缴纳社会保障资⾦的单位应提供相关证明材料 。供应商需在项⽬电⼦化交易系统中按要求上 传相应证明⽂件并进⾏电⼦ 签章；</w:t>
      </w:r>
    </w:p>
    <w:p>
      <w:pPr>
        <w:pStyle w:val="null3"/>
      </w:pPr>
      <w:r>
        <w:rPr>
          <w:rFonts w:ascii="仿宋_GB2312" w:hAnsi="仿宋_GB2312" w:cs="仿宋_GB2312" w:eastAsia="仿宋_GB2312"/>
        </w:rPr>
        <w:t>7、履⾏合同的能⼒：提供具有履⾏本合同所必需的设备和专业技术能 ⼒的声明。供应商需在项⽬电⼦化交易系统中 按要求上传相应证明⽂件并进⾏电⼦签章；</w:t>
      </w:r>
    </w:p>
    <w:p>
      <w:pPr>
        <w:pStyle w:val="null3"/>
      </w:pPr>
      <w:r>
        <w:rPr>
          <w:rFonts w:ascii="仿宋_GB2312" w:hAnsi="仿宋_GB2312" w:cs="仿宋_GB2312" w:eastAsia="仿宋_GB2312"/>
        </w:rPr>
        <w:t>8、⽆重⼤违法记录的书⾯声明：参加政府采购活动前3年内，在经营活动中没有 重⼤违法记录的书⾯声明。供应商需在项⽬电 ⼦化交易系统中按要求上传相应证明⽂件并进 ⾏电⼦签章；</w:t>
      </w:r>
    </w:p>
    <w:p>
      <w:pPr>
        <w:pStyle w:val="null3"/>
      </w:pPr>
      <w:r>
        <w:rPr>
          <w:rFonts w:ascii="仿宋_GB2312" w:hAnsi="仿宋_GB2312" w:cs="仿宋_GB2312" w:eastAsia="仿宋_GB2312"/>
        </w:rPr>
        <w:t>9、企业信誉截图：供应商应在信⽤中国（www.creditchina.gov. cn）未被列⼊重⼤税收违法失信主体、在中国 执⾏信息公开⽹（http://zxgk.court.gov.cn） 中未被列⼊失信被执⾏⼈及在中国政府采购⽹ （www.ccgp.gov.cn）未被列⼊政府采购严重 违法失信⾏为记录名单（处罚期限届满的除外 ，如相关失信记录已失效，供应商需提供相关 证明资料）。供应商需在项⽬电⼦化交易系统 中按要求上传相应证明⽂件并进⾏电⼦签章；</w:t>
      </w:r>
    </w:p>
    <w:p>
      <w:pPr>
        <w:pStyle w:val="null3"/>
      </w:pPr>
      <w:r>
        <w:rPr>
          <w:rFonts w:ascii="仿宋_GB2312" w:hAnsi="仿宋_GB2312" w:cs="仿宋_GB2312" w:eastAsia="仿宋_GB2312"/>
        </w:rPr>
        <w:t>10、⾮联合体投标：本项⽬不接受联合体投标。供应商需在项⽬电 ⼦化交易系统中按要求上传相应证明⽂件并进 ⾏电⼦签章；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宜君县自然资源和林业局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宜君县人社大楼七楼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15209190293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陕西省中投招标有限责任公司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陕西省西安市莲湖区⼤庆路66号恒和智系智慧产业园3号楼703B</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杜艳艳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13991227376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宜君县政府采购管理股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蔡富春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0919-5996058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关于印发&lt;招标代理服务收费管理暂行办法&gt;的通知》（计价格[2002]1980号）和国家发展和改革委员会办公厅颁发的《关于招标代理服务收费有关问题的通知》（发改办价格[2003] 857号）规定标准收取。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宜君县自然资源和林业局</w:t>
      </w:r>
      <w:r>
        <w:rPr>
          <w:rFonts w:ascii="仿宋_GB2312" w:hAnsi="仿宋_GB2312" w:cs="仿宋_GB2312" w:eastAsia="仿宋_GB2312"/>
        </w:rPr>
        <w:t>和</w:t>
      </w:r>
      <w:r>
        <w:rPr>
          <w:rFonts w:ascii="仿宋_GB2312" w:hAnsi="仿宋_GB2312" w:cs="仿宋_GB2312" w:eastAsia="仿宋_GB2312"/>
        </w:rPr>
        <w:t>陕西省中投招标有限责任公司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宜君县自然资源和林业局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陕西省中投招标有限责任公司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宜君县自然资源和林业局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陕西省中投招标有限责任公司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供应商将在采购项⽬实施过程中采⽤⾃有或者第三⽅知识成果的，使⽤该知识成果后，供应商需提供开发接⼝和开发 ⼿册等技术资料，并承诺提供⽆限期⽀持，采购⼈享有使⽤权（含采购⼈委托第三⽅在该项⽬后续开发的使⽤权）。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严格按照招标⽂件及采购⼈要求参数进⾏验收，同时满⾜国家、⾏业相关标推及规范、规定要求。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陕西省中投招标有限责任公司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陕西省中投招标有限责任公司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陕西省中投招标有限责任公司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联系人：杜艳艳</w:t>
      </w:r>
    </w:p>
    <w:p>
      <w:pPr>
        <w:pStyle w:val="null3"/>
      </w:pPr>
      <w:r>
        <w:rPr>
          <w:rFonts w:ascii="仿宋_GB2312" w:hAnsi="仿宋_GB2312" w:cs="仿宋_GB2312" w:eastAsia="仿宋_GB2312"/>
        </w:rPr>
        <w:t>联系电话：13991227376</w:t>
      </w:r>
    </w:p>
    <w:p>
      <w:pPr>
        <w:pStyle w:val="null3"/>
      </w:pPr>
      <w:r>
        <w:rPr>
          <w:rFonts w:ascii="仿宋_GB2312" w:hAnsi="仿宋_GB2312" w:cs="仿宋_GB2312" w:eastAsia="仿宋_GB2312"/>
        </w:rPr>
        <w:t>地址：陕西省西安市莲湖区⼤庆路66号恒和智系智慧产业园3号楼703B</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在自然资源统一调查监测评价框架下，以2024年度国土变更调查成果为底图，开展重点地类及全地类变化监测，掌握相关地类面积、范围、分布和变化等情况。 在第三次全国国土调查（以下简称“三调”）统一时点调查成果及上年度国土变更调查成果基础上，利用最新遥感影像，通过县级实地调查，逐级核查，掌握年度国土利用的变化情况，满足当前自然资源管理工作的需要，更新国土调查成果，保障全国国土调查成果的现势性和准确性。</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1,800,000.00</w:t>
      </w:r>
    </w:p>
    <w:p>
      <w:pPr>
        <w:pStyle w:val="null3"/>
      </w:pPr>
      <w:r>
        <w:rPr>
          <w:rFonts w:ascii="仿宋_GB2312" w:hAnsi="仿宋_GB2312" w:cs="仿宋_GB2312" w:eastAsia="仿宋_GB2312"/>
        </w:rPr>
        <w:t>采购包最高限价（元）: 1,800,000.00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宜君县2025年度国土变更调查项目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标的名称：宜君县2025年度国土变更调查项目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b/>
                <w:color w:val="000000"/>
              </w:rPr>
              <w:t xml:space="preserve"> </w:t>
            </w:r>
            <w:r>
              <w:rPr>
                <w:rFonts w:ascii="仿宋_GB2312" w:hAnsi="仿宋_GB2312" w:cs="仿宋_GB2312" w:eastAsia="仿宋_GB2312"/>
                <w:sz w:val="28"/>
                <w:b/>
                <w:color w:val="000000"/>
              </w:rPr>
              <w:t xml:space="preserve"> 一、服务内容及要求：</w:t>
            </w:r>
          </w:p>
          <w:p>
            <w:pPr>
              <w:pStyle w:val="null3"/>
              <w:jc w:val="both"/>
            </w:pPr>
            <w:r>
              <w:rPr>
                <w:rFonts w:ascii="仿宋_GB2312" w:hAnsi="仿宋_GB2312" w:cs="仿宋_GB2312" w:eastAsia="仿宋_GB2312"/>
                <w:sz w:val="28"/>
                <w:color w:val="000000"/>
              </w:rPr>
              <w:t xml:space="preserve">   1、日常变更调查</w:t>
            </w:r>
          </w:p>
          <w:p>
            <w:pPr>
              <w:pStyle w:val="null3"/>
              <w:ind w:firstLine="560"/>
              <w:jc w:val="both"/>
            </w:pPr>
            <w:r>
              <w:rPr>
                <w:rFonts w:ascii="仿宋_GB2312" w:hAnsi="仿宋_GB2312" w:cs="仿宋_GB2312" w:eastAsia="仿宋_GB2312"/>
                <w:sz w:val="28"/>
                <w:color w:val="000000"/>
              </w:rPr>
              <w:t>根据国土调查监测、耕地保护、督察执法、用途管制、生态修复等工作需要，适时开展日常变更、结果核实与报送工作，经地市级、省级全面核查通过后报部。</w:t>
            </w:r>
          </w:p>
          <w:p>
            <w:pPr>
              <w:pStyle w:val="null3"/>
              <w:ind w:firstLine="560"/>
            </w:pPr>
            <w:r>
              <w:rPr>
                <w:rFonts w:ascii="仿宋_GB2312" w:hAnsi="仿宋_GB2312" w:cs="仿宋_GB2312" w:eastAsia="仿宋_GB2312"/>
                <w:sz w:val="28"/>
                <w:color w:val="000000"/>
              </w:rPr>
              <w:t>2、年底集中调查</w:t>
            </w:r>
          </w:p>
          <w:p>
            <w:pPr>
              <w:pStyle w:val="null3"/>
              <w:ind w:firstLine="560"/>
              <w:jc w:val="both"/>
            </w:pPr>
            <w:r>
              <w:rPr>
                <w:rFonts w:ascii="仿宋_GB2312" w:hAnsi="仿宋_GB2312" w:cs="仿宋_GB2312" w:eastAsia="仿宋_GB2312"/>
                <w:sz w:val="28"/>
                <w:color w:val="000000"/>
              </w:rPr>
              <w:t>年底集中调查是对全年日常变更调查成果进行汇集，结合最新遥感影像对发生新变化的地块开展补充调查，完成县级数据更新，形成年度变更调查成果，并逐级上报。</w:t>
            </w:r>
          </w:p>
          <w:p>
            <w:pPr>
              <w:pStyle w:val="null3"/>
              <w:ind w:firstLine="560"/>
              <w:jc w:val="both"/>
            </w:pPr>
            <w:r>
              <w:rPr>
                <w:rFonts w:ascii="仿宋_GB2312" w:hAnsi="仿宋_GB2312" w:cs="仿宋_GB2312" w:eastAsia="仿宋_GB2312"/>
                <w:sz w:val="28"/>
                <w:color w:val="000000"/>
              </w:rPr>
              <w:t>3、制作调查工作底图</w:t>
            </w:r>
          </w:p>
          <w:p>
            <w:pPr>
              <w:pStyle w:val="null3"/>
              <w:ind w:firstLine="560"/>
              <w:jc w:val="both"/>
            </w:pPr>
            <w:r>
              <w:rPr>
                <w:rFonts w:ascii="仿宋_GB2312" w:hAnsi="仿宋_GB2312" w:cs="仿宋_GB2312" w:eastAsia="仿宋_GB2312"/>
                <w:sz w:val="28"/>
                <w:color w:val="000000"/>
              </w:rPr>
              <w:t>以县级为基本调查单元，结合符合分辨率、时相要求的遥感影像，叠加已在部备案的各类用地管理信息矢量数据、地方在各类监测监管中自主发现的疑似变化地块以及日常变更调查成果，制作县级变更调查工作底图。</w:t>
            </w:r>
          </w:p>
          <w:p>
            <w:pPr>
              <w:pStyle w:val="null3"/>
              <w:ind w:firstLine="560"/>
              <w:jc w:val="both"/>
            </w:pPr>
            <w:r>
              <w:rPr>
                <w:rFonts w:ascii="仿宋_GB2312" w:hAnsi="仿宋_GB2312" w:cs="仿宋_GB2312" w:eastAsia="仿宋_GB2312"/>
                <w:sz w:val="28"/>
                <w:color w:val="000000"/>
              </w:rPr>
              <w:t>4、开展实地调查</w:t>
            </w:r>
          </w:p>
          <w:p>
            <w:pPr>
              <w:pStyle w:val="null3"/>
              <w:ind w:firstLine="560"/>
              <w:jc w:val="both"/>
            </w:pPr>
            <w:r>
              <w:rPr>
                <w:rFonts w:ascii="仿宋_GB2312" w:hAnsi="仿宋_GB2312" w:cs="仿宋_GB2312" w:eastAsia="仿宋_GB2312"/>
                <w:sz w:val="28"/>
                <w:color w:val="000000"/>
              </w:rPr>
              <w:t>以2025年12月31日为标准时点，对调查工作底图中所有的变化信息，进行核实。对新发生变化的地块以及影像未能反映的新增地物，开展实地补测、调查和举证工作，调查要求与日常变更调查要求一致。</w:t>
            </w:r>
          </w:p>
          <w:p>
            <w:pPr>
              <w:pStyle w:val="null3"/>
              <w:ind w:firstLine="560"/>
              <w:jc w:val="both"/>
            </w:pPr>
            <w:r>
              <w:rPr>
                <w:rFonts w:ascii="仿宋_GB2312" w:hAnsi="仿宋_GB2312" w:cs="仿宋_GB2312" w:eastAsia="仿宋_GB2312"/>
                <w:sz w:val="28"/>
                <w:color w:val="000000"/>
              </w:rPr>
              <w:t>5、权属信息更新</w:t>
            </w:r>
          </w:p>
          <w:p>
            <w:pPr>
              <w:pStyle w:val="null3"/>
              <w:ind w:firstLine="560"/>
              <w:jc w:val="both"/>
            </w:pPr>
            <w:r>
              <w:rPr>
                <w:rFonts w:ascii="仿宋_GB2312" w:hAnsi="仿宋_GB2312" w:cs="仿宋_GB2312" w:eastAsia="仿宋_GB2312"/>
                <w:sz w:val="28"/>
                <w:color w:val="000000"/>
              </w:rPr>
              <w:t>按照法律法规规定，土地权属信息以确权登记机构的登记结果为准。调查机构根据确权登记机构提供的登记结果，开展年度国土变更调查成果中的相关权属信息更新工作。</w:t>
            </w:r>
          </w:p>
          <w:p>
            <w:pPr>
              <w:pStyle w:val="null3"/>
              <w:ind w:firstLine="560"/>
              <w:jc w:val="both"/>
            </w:pPr>
            <w:r>
              <w:rPr>
                <w:rFonts w:ascii="仿宋_GB2312" w:hAnsi="仿宋_GB2312" w:cs="仿宋_GB2312" w:eastAsia="仿宋_GB2312"/>
                <w:sz w:val="28"/>
                <w:color w:val="000000"/>
              </w:rPr>
              <w:t>6、“已纳入过渡期处置范围”单独图层入库</w:t>
            </w:r>
          </w:p>
          <w:p>
            <w:pPr>
              <w:pStyle w:val="null3"/>
              <w:ind w:firstLine="560"/>
              <w:jc w:val="both"/>
            </w:pPr>
            <w:r>
              <w:rPr>
                <w:rFonts w:ascii="仿宋_GB2312" w:hAnsi="仿宋_GB2312" w:cs="仿宋_GB2312" w:eastAsia="仿宋_GB2312"/>
                <w:sz w:val="28"/>
                <w:color w:val="000000"/>
              </w:rPr>
              <w:t>依据《陕西省自然资源厅陕西省林业局关于做好2025年度国土变更调查及森林草原湿地荒漠调查监测工作的通知》（陕自然资发〔2025〕1425号）对耕保部门提供的历史流失耕地分类处置结果纳入“已纳入过渡期处置范围”单独图层。</w:t>
            </w:r>
          </w:p>
          <w:p>
            <w:pPr>
              <w:pStyle w:val="null3"/>
              <w:ind w:firstLine="560"/>
              <w:jc w:val="both"/>
            </w:pPr>
            <w:r>
              <w:rPr>
                <w:rFonts w:ascii="仿宋_GB2312" w:hAnsi="仿宋_GB2312" w:cs="仿宋_GB2312" w:eastAsia="仿宋_GB2312"/>
                <w:sz w:val="28"/>
                <w:color w:val="000000"/>
              </w:rPr>
              <w:t>7、专项调查</w:t>
            </w:r>
          </w:p>
          <w:p>
            <w:pPr>
              <w:pStyle w:val="null3"/>
              <w:ind w:firstLine="560"/>
              <w:jc w:val="both"/>
            </w:pPr>
            <w:r>
              <w:rPr>
                <w:rFonts w:ascii="仿宋_GB2312" w:hAnsi="仿宋_GB2312" w:cs="仿宋_GB2312" w:eastAsia="仿宋_GB2312"/>
                <w:sz w:val="28"/>
                <w:color w:val="000000"/>
              </w:rPr>
              <w:t>依据《陕西省自然资源厅陕西省林业局关于做好2025年度国土变更调查及森林草原湿地荒漠调查监测工作的通知》（陕自然资发〔2025〕1425号）、《关于“批而未用”地块上图入库</w:t>
            </w:r>
            <w:r>
              <w:rPr>
                <w:rFonts w:ascii="仿宋_GB2312" w:hAnsi="仿宋_GB2312" w:cs="仿宋_GB2312" w:eastAsia="仿宋_GB2312"/>
                <w:sz w:val="28"/>
                <w:color w:val="000000"/>
              </w:rPr>
              <w:t>填报要求</w:t>
            </w:r>
            <w:r>
              <w:rPr>
                <w:rFonts w:ascii="仿宋_GB2312" w:hAnsi="仿宋_GB2312" w:cs="仿宋_GB2312" w:eastAsia="仿宋_GB2312"/>
                <w:sz w:val="28"/>
                <w:color w:val="000000"/>
              </w:rPr>
              <w:t>》、《陕西省自然资源厅关于调整2025年度变更调查种植作物清单的函》（陕自然资调查函【2025】1761号）等文件要求，开展批而未用图斑、林草湿疑似违法违规图斑、历史流失耕地摸排图斑分析上图工作。</w:t>
            </w:r>
          </w:p>
          <w:p>
            <w:pPr>
              <w:pStyle w:val="null3"/>
              <w:ind w:firstLine="560"/>
              <w:jc w:val="both"/>
            </w:pPr>
            <w:r>
              <w:rPr>
                <w:rFonts w:ascii="仿宋_GB2312" w:hAnsi="仿宋_GB2312" w:cs="仿宋_GB2312" w:eastAsia="仿宋_GB2312"/>
                <w:sz w:val="28"/>
                <w:color w:val="000000"/>
              </w:rPr>
              <w:t>8、年度国土调查数据更新</w:t>
            </w:r>
          </w:p>
          <w:p>
            <w:pPr>
              <w:pStyle w:val="null3"/>
              <w:ind w:firstLine="560"/>
              <w:jc w:val="both"/>
            </w:pPr>
            <w:r>
              <w:rPr>
                <w:rFonts w:ascii="仿宋_GB2312" w:hAnsi="仿宋_GB2312" w:cs="仿宋_GB2312" w:eastAsia="仿宋_GB2312"/>
                <w:sz w:val="28"/>
                <w:color w:val="000000"/>
              </w:rPr>
              <w:t>按照变更调查技术要求、国土调查数据库更新标准等，基于日常变更调查及年底集中调查成果，结合权属信息更新及专项调查数据等成果，开展年度国土调查数据库等成果更新。</w:t>
            </w:r>
          </w:p>
          <w:p>
            <w:pPr>
              <w:pStyle w:val="null3"/>
              <w:ind w:firstLine="560"/>
              <w:jc w:val="both"/>
            </w:pPr>
            <w:r>
              <w:rPr>
                <w:rFonts w:ascii="仿宋_GB2312" w:hAnsi="仿宋_GB2312" w:cs="仿宋_GB2312" w:eastAsia="仿宋_GB2312"/>
                <w:sz w:val="28"/>
                <w:b/>
                <w:color w:val="000000"/>
              </w:rPr>
              <w:t>二、平台及精度要求</w:t>
            </w:r>
          </w:p>
          <w:p>
            <w:pPr>
              <w:pStyle w:val="null3"/>
              <w:ind w:firstLine="560"/>
              <w:jc w:val="both"/>
            </w:pPr>
            <w:r>
              <w:rPr>
                <w:rFonts w:ascii="仿宋_GB2312" w:hAnsi="仿宋_GB2312" w:cs="仿宋_GB2312" w:eastAsia="仿宋_GB2312"/>
                <w:sz w:val="27"/>
                <w:color w:val="000000"/>
              </w:rPr>
              <w:t>1、平台要求</w:t>
            </w:r>
          </w:p>
          <w:p>
            <w:pPr>
              <w:pStyle w:val="null3"/>
              <w:ind w:firstLine="560"/>
              <w:jc w:val="both"/>
            </w:pPr>
            <w:r>
              <w:rPr>
                <w:rFonts w:ascii="仿宋_GB2312" w:hAnsi="仿宋_GB2312" w:cs="仿宋_GB2312" w:eastAsia="仿宋_GB2312"/>
                <w:sz w:val="28"/>
                <w:color w:val="000000"/>
              </w:rPr>
              <w:t>（1）举证资料须上传至“ 国土调查云 ”平台；</w:t>
            </w:r>
          </w:p>
          <w:p>
            <w:pPr>
              <w:pStyle w:val="null3"/>
              <w:ind w:firstLine="560"/>
              <w:jc w:val="both"/>
            </w:pPr>
            <w:r>
              <w:rPr>
                <w:rFonts w:ascii="仿宋_GB2312" w:hAnsi="仿宋_GB2312" w:cs="仿宋_GB2312" w:eastAsia="仿宋_GB2312"/>
                <w:sz w:val="28"/>
                <w:color w:val="000000"/>
              </w:rPr>
              <w:t>（2）数据库成果须符合国家自然资源部要求的格式和标准。</w:t>
            </w:r>
          </w:p>
          <w:p>
            <w:pPr>
              <w:pStyle w:val="null3"/>
              <w:ind w:firstLine="560"/>
              <w:jc w:val="both"/>
            </w:pPr>
            <w:r>
              <w:rPr>
                <w:rFonts w:ascii="仿宋_GB2312" w:hAnsi="仿宋_GB2312" w:cs="仿宋_GB2312" w:eastAsia="仿宋_GB2312"/>
                <w:sz w:val="28"/>
                <w:color w:val="000000"/>
              </w:rPr>
              <w:t>2、数据精度</w:t>
            </w:r>
          </w:p>
          <w:p>
            <w:pPr>
              <w:pStyle w:val="null3"/>
              <w:ind w:firstLine="560"/>
              <w:jc w:val="both"/>
            </w:pPr>
            <w:r>
              <w:rPr>
                <w:rFonts w:ascii="仿宋_GB2312" w:hAnsi="仿宋_GB2312" w:cs="仿宋_GB2312" w:eastAsia="仿宋_GB2312"/>
                <w:sz w:val="28"/>
                <w:color w:val="000000"/>
              </w:rPr>
              <w:t>（1）地类图斑界线清晰、属性正确，与实地现状一致；</w:t>
            </w:r>
          </w:p>
          <w:p>
            <w:pPr>
              <w:pStyle w:val="null3"/>
              <w:ind w:firstLine="560"/>
              <w:jc w:val="both"/>
            </w:pPr>
            <w:r>
              <w:rPr>
                <w:rFonts w:ascii="仿宋_GB2312" w:hAnsi="仿宋_GB2312" w:cs="仿宋_GB2312" w:eastAsia="仿宋_GB2312"/>
                <w:sz w:val="28"/>
                <w:color w:val="000000"/>
              </w:rPr>
              <w:t>（2）耕地、林地、草地、湿地、荒漠化等地类认定准确；</w:t>
            </w:r>
          </w:p>
          <w:p>
            <w:pPr>
              <w:pStyle w:val="null3"/>
              <w:ind w:firstLine="560"/>
              <w:jc w:val="both"/>
            </w:pPr>
            <w:r>
              <w:rPr>
                <w:rFonts w:ascii="仿宋_GB2312" w:hAnsi="仿宋_GB2312" w:cs="仿宋_GB2312" w:eastAsia="仿宋_GB2312"/>
                <w:sz w:val="28"/>
                <w:color w:val="000000"/>
              </w:rPr>
              <w:t>（3）权属调查无争议，界线闭合；</w:t>
            </w:r>
          </w:p>
          <w:p>
            <w:pPr>
              <w:pStyle w:val="null3"/>
              <w:ind w:firstLine="560"/>
              <w:jc w:val="both"/>
            </w:pPr>
            <w:r>
              <w:rPr>
                <w:rFonts w:ascii="仿宋_GB2312" w:hAnsi="仿宋_GB2312" w:cs="仿宋_GB2312" w:eastAsia="仿宋_GB2312"/>
                <w:sz w:val="28"/>
                <w:color w:val="000000"/>
              </w:rPr>
              <w:t>（4）数据库通过省级、国家级核查。</w:t>
            </w:r>
          </w:p>
          <w:p>
            <w:pPr>
              <w:pStyle w:val="null3"/>
              <w:ind w:firstLine="560"/>
              <w:jc w:val="both"/>
            </w:pPr>
            <w:r>
              <w:rPr>
                <w:rFonts w:ascii="仿宋_GB2312" w:hAnsi="仿宋_GB2312" w:cs="仿宋_GB2312" w:eastAsia="仿宋_GB2312"/>
                <w:sz w:val="28"/>
                <w:b/>
                <w:color w:val="000000"/>
              </w:rPr>
              <w:t>三、提交主要成果</w:t>
            </w:r>
          </w:p>
          <w:p>
            <w:pPr>
              <w:pStyle w:val="null3"/>
              <w:ind w:firstLine="560"/>
              <w:jc w:val="both"/>
            </w:pPr>
            <w:r>
              <w:rPr>
                <w:rFonts w:ascii="仿宋_GB2312" w:hAnsi="仿宋_GB2312" w:cs="仿宋_GB2312" w:eastAsia="仿宋_GB2312"/>
                <w:sz w:val="28"/>
                <w:color w:val="000000"/>
              </w:rPr>
              <w:t>1、外业调查成果</w:t>
            </w:r>
          </w:p>
          <w:p>
            <w:pPr>
              <w:pStyle w:val="null3"/>
              <w:ind w:firstLine="560"/>
              <w:jc w:val="both"/>
            </w:pPr>
            <w:r>
              <w:rPr>
                <w:rFonts w:ascii="仿宋_GB2312" w:hAnsi="仿宋_GB2312" w:cs="仿宋_GB2312" w:eastAsia="仿宋_GB2312"/>
                <w:sz w:val="28"/>
                <w:color w:val="000000"/>
              </w:rPr>
              <w:t>图斑外业举证数据包(DB格式)、举证图斑信息表(MDB格式)</w:t>
            </w:r>
          </w:p>
          <w:p>
            <w:pPr>
              <w:pStyle w:val="null3"/>
              <w:ind w:firstLine="560"/>
              <w:jc w:val="both"/>
            </w:pPr>
            <w:r>
              <w:rPr>
                <w:rFonts w:ascii="仿宋_GB2312" w:hAnsi="仿宋_GB2312" w:cs="仿宋_GB2312" w:eastAsia="仿宋_GB2312"/>
                <w:sz w:val="28"/>
                <w:color w:val="000000"/>
              </w:rPr>
              <w:t>2、数据库成果</w:t>
            </w:r>
          </w:p>
          <w:p>
            <w:pPr>
              <w:pStyle w:val="null3"/>
              <w:ind w:firstLine="560"/>
              <w:jc w:val="both"/>
            </w:pPr>
            <w:r>
              <w:rPr>
                <w:rFonts w:ascii="仿宋_GB2312" w:hAnsi="仿宋_GB2312" w:cs="仿宋_GB2312" w:eastAsia="仿宋_GB2312"/>
                <w:sz w:val="28"/>
                <w:color w:val="000000"/>
              </w:rPr>
              <w:t>包括更新后的县级数据库、“变更调查"增量包(含增量信息与统计报表，由数据库质检软件打包生成)。</w:t>
            </w:r>
          </w:p>
          <w:p>
            <w:pPr>
              <w:pStyle w:val="null3"/>
              <w:ind w:firstLine="560"/>
              <w:jc w:val="both"/>
            </w:pPr>
            <w:r>
              <w:rPr>
                <w:rFonts w:ascii="仿宋_GB2312" w:hAnsi="仿宋_GB2312" w:cs="仿宋_GB2312" w:eastAsia="仿宋_GB2312"/>
                <w:sz w:val="28"/>
                <w:color w:val="000000"/>
              </w:rPr>
              <w:t>3、各类报表</w:t>
            </w:r>
          </w:p>
          <w:p>
            <w:pPr>
              <w:pStyle w:val="null3"/>
              <w:ind w:firstLine="560"/>
              <w:jc w:val="both"/>
            </w:pPr>
            <w:r>
              <w:rPr>
                <w:rFonts w:ascii="仿宋_GB2312" w:hAnsi="仿宋_GB2312" w:cs="仿宋_GB2312" w:eastAsia="仿宋_GB2312"/>
                <w:sz w:val="28"/>
                <w:color w:val="000000"/>
              </w:rPr>
              <w:t>包括遥感监测图斑信息核实记录表、各级核查错误图斑列表(MDB格、各类统计汇总表等。</w:t>
            </w:r>
          </w:p>
          <w:p>
            <w:pPr>
              <w:pStyle w:val="null3"/>
              <w:ind w:firstLine="560"/>
              <w:jc w:val="both"/>
            </w:pPr>
            <w:r>
              <w:rPr>
                <w:rFonts w:ascii="仿宋_GB2312" w:hAnsi="仿宋_GB2312" w:cs="仿宋_GB2312" w:eastAsia="仿宋_GB2312"/>
                <w:sz w:val="28"/>
                <w:color w:val="000000"/>
              </w:rPr>
              <w:t>4、文字成果</w:t>
            </w:r>
          </w:p>
          <w:p>
            <w:pPr>
              <w:pStyle w:val="null3"/>
              <w:ind w:firstLine="560"/>
              <w:jc w:val="both"/>
            </w:pPr>
            <w:r>
              <w:rPr>
                <w:rFonts w:ascii="仿宋_GB2312" w:hAnsi="仿宋_GB2312" w:cs="仿宋_GB2312" w:eastAsia="仿宋_GB2312"/>
                <w:sz w:val="28"/>
                <w:color w:val="000000"/>
              </w:rPr>
              <w:t>土地利用变化情况分析报告等。</w:t>
            </w:r>
          </w:p>
          <w:p>
            <w:pPr>
              <w:pStyle w:val="null3"/>
              <w:ind w:firstLine="560"/>
              <w:jc w:val="both"/>
            </w:pPr>
            <w:r>
              <w:rPr>
                <w:rFonts w:ascii="仿宋_GB2312" w:hAnsi="仿宋_GB2312" w:cs="仿宋_GB2312" w:eastAsia="仿宋_GB2312"/>
                <w:sz w:val="27"/>
                <w:color w:val="000000"/>
              </w:rPr>
              <w:t>5、提交最终成果报告份数：纸质版3套，电⼦版1份。</w:t>
            </w:r>
          </w:p>
          <w:p>
            <w:pPr>
              <w:pStyle w:val="null3"/>
              <w:jc w:val="both"/>
            </w:pPr>
            <w:r>
              <w:rPr>
                <w:rFonts w:ascii="仿宋_GB2312" w:hAnsi="仿宋_GB2312" w:cs="仿宋_GB2312" w:eastAsia="仿宋_GB2312"/>
                <w:sz w:val="30"/>
              </w:rPr>
              <w:t xml:space="preserve"> </w:t>
            </w:r>
            <w:r>
              <w:rPr>
                <w:rFonts w:ascii="仿宋_GB2312" w:hAnsi="仿宋_GB2312" w:cs="仿宋_GB2312" w:eastAsia="仿宋_GB2312"/>
                <w:sz w:val="30"/>
                <w:b/>
              </w:rPr>
              <w:t xml:space="preserve"> 四、工作依据</w:t>
            </w:r>
          </w:p>
          <w:p>
            <w:pPr>
              <w:pStyle w:val="null3"/>
              <w:ind w:firstLine="560"/>
              <w:jc w:val="both"/>
            </w:pPr>
            <w:r>
              <w:rPr>
                <w:rFonts w:ascii="仿宋_GB2312" w:hAnsi="仿宋_GB2312" w:cs="仿宋_GB2312" w:eastAsia="仿宋_GB2312"/>
                <w:sz w:val="28"/>
                <w:color w:val="000000"/>
              </w:rPr>
              <w:t>（1）自然资源部办公厅、国家林业和草原局办公室《关于开展 2025 年度全国国土变更调查及森林草原湿地荒漠调查监测工作的通知》（自然资办发〔2025〕33 号）；</w:t>
            </w:r>
          </w:p>
          <w:p>
            <w:pPr>
              <w:pStyle w:val="null3"/>
              <w:ind w:firstLine="560"/>
              <w:jc w:val="both"/>
            </w:pPr>
            <w:r>
              <w:rPr>
                <w:rFonts w:ascii="仿宋_GB2312" w:hAnsi="仿宋_GB2312" w:cs="仿宋_GB2312" w:eastAsia="仿宋_GB2312"/>
                <w:sz w:val="28"/>
                <w:color w:val="000000"/>
              </w:rPr>
              <w:t>（2）《陕西省自然资源厅陕西省林业局关于做好 2025 年度国土变更调查及森林草原湿地荒漠调查监测工作的通知》（陕自然资发〔2025〕1425 号）；</w:t>
            </w:r>
          </w:p>
          <w:p>
            <w:pPr>
              <w:pStyle w:val="null3"/>
              <w:ind w:firstLine="560"/>
              <w:jc w:val="both"/>
            </w:pPr>
            <w:r>
              <w:rPr>
                <w:rFonts w:ascii="仿宋_GB2312" w:hAnsi="仿宋_GB2312" w:cs="仿宋_GB2312" w:eastAsia="仿宋_GB2312"/>
                <w:sz w:val="28"/>
                <w:color w:val="000000"/>
              </w:rPr>
              <w:t>（3）《陕西省自然资源厅关于调整 2025 年度变更调查种植作物清单的函》（陕自然资调查函【2025】1761 号）；</w:t>
            </w:r>
          </w:p>
          <w:p>
            <w:pPr>
              <w:pStyle w:val="null3"/>
              <w:ind w:firstLine="560"/>
              <w:jc w:val="both"/>
            </w:pPr>
            <w:r>
              <w:rPr>
                <w:rFonts w:ascii="仿宋_GB2312" w:hAnsi="仿宋_GB2312" w:cs="仿宋_GB2312" w:eastAsia="仿宋_GB2312"/>
                <w:sz w:val="28"/>
                <w:color w:val="000000"/>
              </w:rPr>
              <w:t>（4）《2025 年度全国国土变更调查及森林草原湿地荒漠调查监测实施方案》；</w:t>
            </w:r>
          </w:p>
          <w:p>
            <w:pPr>
              <w:pStyle w:val="null3"/>
              <w:ind w:firstLine="560"/>
              <w:jc w:val="both"/>
            </w:pPr>
            <w:r>
              <w:rPr>
                <w:rFonts w:ascii="仿宋_GB2312" w:hAnsi="仿宋_GB2312" w:cs="仿宋_GB2312" w:eastAsia="仿宋_GB2312"/>
                <w:sz w:val="28"/>
                <w:color w:val="000000"/>
              </w:rPr>
              <w:t>（5）《2025 年度国土变更调查县级调查技术要求》；</w:t>
            </w:r>
          </w:p>
          <w:p>
            <w:pPr>
              <w:pStyle w:val="null3"/>
              <w:ind w:firstLine="560"/>
              <w:jc w:val="both"/>
            </w:pPr>
            <w:r>
              <w:rPr>
                <w:rFonts w:ascii="仿宋_GB2312" w:hAnsi="仿宋_GB2312" w:cs="仿宋_GB2312" w:eastAsia="仿宋_GB2312"/>
                <w:sz w:val="28"/>
                <w:color w:val="000000"/>
              </w:rPr>
              <w:t>（6）《国土变更调查技术要求》（2025 年度适用）；</w:t>
            </w:r>
          </w:p>
          <w:p>
            <w:pPr>
              <w:pStyle w:val="null3"/>
              <w:ind w:firstLine="560"/>
              <w:jc w:val="both"/>
            </w:pPr>
            <w:r>
              <w:rPr>
                <w:rFonts w:ascii="仿宋_GB2312" w:hAnsi="仿宋_GB2312" w:cs="仿宋_GB2312" w:eastAsia="仿宋_GB2312"/>
                <w:sz w:val="28"/>
                <w:color w:val="000000"/>
              </w:rPr>
              <w:t>（7）《第三次全国国土调查技术规程》</w:t>
            </w:r>
          </w:p>
          <w:p>
            <w:pPr>
              <w:pStyle w:val="null3"/>
              <w:ind w:firstLine="560"/>
              <w:jc w:val="both"/>
            </w:pPr>
            <w:r>
              <w:rPr>
                <w:rFonts w:ascii="仿宋_GB2312" w:hAnsi="仿宋_GB2312" w:cs="仿宋_GB2312" w:eastAsia="仿宋_GB2312"/>
                <w:sz w:val="28"/>
                <w:color w:val="000000"/>
              </w:rPr>
              <w:t>（8）《中华人民共和国土地管理法》；</w:t>
            </w:r>
          </w:p>
          <w:p>
            <w:pPr>
              <w:pStyle w:val="null3"/>
              <w:ind w:firstLine="560"/>
              <w:jc w:val="both"/>
            </w:pPr>
            <w:r>
              <w:rPr>
                <w:rFonts w:ascii="仿宋_GB2312" w:hAnsi="仿宋_GB2312" w:cs="仿宋_GB2312" w:eastAsia="仿宋_GB2312"/>
                <w:sz w:val="28"/>
                <w:color w:val="000000"/>
              </w:rPr>
              <w:t>（9）《土地调查条例实施办法》；</w:t>
            </w:r>
          </w:p>
          <w:p>
            <w:pPr>
              <w:pStyle w:val="null3"/>
              <w:ind w:firstLine="560"/>
              <w:jc w:val="both"/>
            </w:pPr>
            <w:r>
              <w:rPr>
                <w:rFonts w:ascii="仿宋_GB2312" w:hAnsi="仿宋_GB2312" w:cs="仿宋_GB2312" w:eastAsia="仿宋_GB2312"/>
                <w:sz w:val="28"/>
                <w:color w:val="000000"/>
              </w:rPr>
              <w:t>（10）《土地调查条例》。</w:t>
            </w:r>
          </w:p>
          <w:p>
            <w:pPr>
              <w:pStyle w:val="null3"/>
              <w:ind w:firstLine="560"/>
              <w:jc w:val="both"/>
            </w:pPr>
            <w:r>
              <w:rPr>
                <w:rFonts w:ascii="仿宋_GB2312" w:hAnsi="仿宋_GB2312" w:cs="仿宋_GB2312" w:eastAsia="仿宋_GB2312"/>
                <w:sz w:val="28"/>
                <w:color w:val="000000"/>
              </w:rPr>
              <w:t>（11）如有国家、省、市关于本项目最新的标准，按最新的标准执行。</w:t>
            </w:r>
          </w:p>
          <w:p>
            <w:pPr>
              <w:pStyle w:val="null3"/>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供应商须根据本次服务要求，配备有⾜够的相关专业技术⼈员。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供应商须根据本次服务要求，配备有⾜够的相关专业设备。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达到采购⼈相关要求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90日历天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铜川市宜君县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满足相关技术规范、服务合同及采购人要求。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 合同签订后，达到付款条件起15个工作日内，支付合同总金额的40.0%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进度款，项目全部完成后，达到付款条件起15个工作日内，支付合同总金额的40.0%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进度款，成果文件提交验收合格后，达到付款条件起15个工作日内，支付合同总金额的20.0%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中华⼈⺠共和国政府采购法》、《中华⼈⺠共和国⺠法典》中的相关条款执⾏。未按合同或招标⽂件要求提供服务质量不能满⾜采购⼈技术要求，采购单位有权终⽌合同，甚⾄对供应商违约⾏为进⾏追究。未按合同或招标⽂件要求提供服务质量不能满⾜采购⼈技术要求，采购单位有权终⽌合同，甚⾄对供应商违约⾏为进⾏追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1、报价含完成任务所需的税费、核查规划费、⼈⼯费、交通费、专家费、租⻋费、资料费等所有费⽤。 2、合同其他条 -第16⻚- 款：因资⾦拨款审批程序等原因，具体⽀付进度需结合采购⼈资⾦到账情况⽽定，供应商需预⻅且接受该情况。合同其他条款 根据采购⽂件、响应⽂件及合同约定执⾏。</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供应商应提交的相关资格证明材料包1.docx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具有独立承担民事责任能力的法人、其他组织或自然人，并出具合法有效的营业执照或事业单位法人证书等国家规定的相关证明，自然人参与的提供其身份证明；供应商需在项⽬电⼦化交易 系统中按要求上传相应证明⽂件并进⾏电⼦签 章；</w:t>
            </w:r>
          </w:p>
        </w:tc>
        <w:tc>
          <w:tcPr>
            <w:tcW w:type="dxa" w:w="1661"/>
          </w:tcPr>
          <w:p>
            <w:pPr>
              <w:pStyle w:val="null3"/>
            </w:pPr>
            <w:r>
              <w:rPr>
                <w:rFonts w:ascii="仿宋_GB2312" w:hAnsi="仿宋_GB2312" w:cs="仿宋_GB2312" w:eastAsia="仿宋_GB2312"/>
              </w:rPr>
              <w:t>供应商应提交的相关资格证明材料包1.docx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法定代表⼈授权委托书</w:t>
            </w:r>
          </w:p>
        </w:tc>
        <w:tc>
          <w:tcPr>
            <w:tcW w:type="dxa" w:w="3322"/>
          </w:tcPr>
          <w:p>
            <w:pPr>
              <w:pStyle w:val="null3"/>
            </w:pPr>
            <w:r>
              <w:rPr>
                <w:rFonts w:ascii="仿宋_GB2312" w:hAnsi="仿宋_GB2312" w:cs="仿宋_GB2312" w:eastAsia="仿宋_GB2312"/>
              </w:rPr>
              <w:t>法定代表⼈授权委托书（附法定代表⼈、被授 权⼈⾝份证复印件并加盖公章）和被授权⼈⾝ 份证原件。（法定代表⼈参加投标只须提供法 定代表⼈⾝份证明书及⾝份证原件）。供应商 需在项⽬电⼦化交易系统中按要求上传相应证 明⽂件并进⾏电⼦签章；</w:t>
            </w:r>
          </w:p>
        </w:tc>
        <w:tc>
          <w:tcPr>
            <w:tcW w:type="dxa" w:w="1661"/>
          </w:tcPr>
          <w:p>
            <w:pPr>
              <w:pStyle w:val="null3"/>
            </w:pPr>
            <w:r>
              <w:rPr>
                <w:rFonts w:ascii="仿宋_GB2312" w:hAnsi="仿宋_GB2312" w:cs="仿宋_GB2312" w:eastAsia="仿宋_GB2312"/>
              </w:rPr>
              <w:t>供应商应提交的相关资格证明材料包1.docx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供应商须具有⾏政主管部⻔颁发的测绘⼄级（ 含⼄级）及以上资质。供应商 需在项⽬电⼦化交易系统中按要求上传相应证 明⽂件并进⾏电⼦签章；</w:t>
            </w:r>
          </w:p>
        </w:tc>
        <w:tc>
          <w:tcPr>
            <w:tcW w:type="dxa" w:w="1661"/>
          </w:tcPr>
          <w:p>
            <w:pPr>
              <w:pStyle w:val="null3"/>
            </w:pPr>
            <w:r>
              <w:rPr>
                <w:rFonts w:ascii="仿宋_GB2312" w:hAnsi="仿宋_GB2312" w:cs="仿宋_GB2312" w:eastAsia="仿宋_GB2312"/>
              </w:rPr>
              <w:t>供应商应提交的相关资格证明材料包1.docx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财务报告</w:t>
            </w:r>
          </w:p>
        </w:tc>
        <w:tc>
          <w:tcPr>
            <w:tcW w:type="dxa" w:w="3322"/>
          </w:tcPr>
          <w:p>
            <w:pPr>
              <w:pStyle w:val="null3"/>
            </w:pPr>
            <w:r>
              <w:rPr>
                <w:rFonts w:ascii="仿宋_GB2312" w:hAnsi="仿宋_GB2312" w:cs="仿宋_GB2312" w:eastAsia="仿宋_GB2312"/>
              </w:rPr>
              <w:t>提供2024年度或2025年度完整的经审计的财 务报告（成⽴时间⾄投标⽂件提交截⽌时间不 ⾜⼀年的可提供成⽴后任意时段的资产负债表 ），或提交⾃2025年1⽉1⽇以来银⾏（基本⼾ 开⼾⾏）出具的资信证明，或信⽤担保机构出 具的投标担保函（以上三种形式的资料提供任 何⼀种即可）。其他组织和⾃然⼈提供银⾏出 具的资信证明或财务报表。供应商需在项⽬电 ⼦化交易系统中按要求上传相应证明⽂件并进 ⾏电⼦签章；</w:t>
            </w:r>
          </w:p>
        </w:tc>
        <w:tc>
          <w:tcPr>
            <w:tcW w:type="dxa" w:w="1661"/>
          </w:tcPr>
          <w:p>
            <w:pPr>
              <w:pStyle w:val="null3"/>
            </w:pPr>
            <w:r>
              <w:rPr>
                <w:rFonts w:ascii="仿宋_GB2312" w:hAnsi="仿宋_GB2312" w:cs="仿宋_GB2312" w:eastAsia="仿宋_GB2312"/>
              </w:rPr>
              <w:t>供应商应提交的相关资格证明材料包1.docx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完税证明</w:t>
            </w:r>
          </w:p>
        </w:tc>
        <w:tc>
          <w:tcPr>
            <w:tcW w:type="dxa" w:w="3322"/>
          </w:tcPr>
          <w:p>
            <w:pPr>
              <w:pStyle w:val="null3"/>
            </w:pPr>
            <w:r>
              <w:rPr>
                <w:rFonts w:ascii="仿宋_GB2312" w:hAnsi="仿宋_GB2312" w:cs="仿宋_GB2312" w:eastAsia="仿宋_GB2312"/>
              </w:rPr>
              <w:t>提供响应⽂件提交截⽌时间前近六个⽉内⾄少 ⼀个⽉的纳税证明或完税证明（增值税，印花 税，城市维护建设费，企业所得税等⼀种或多 种税种），依法免税的单位应提供相关证明材 料。供应商需在项⽬电⼦化交易系统中按要求 上传相应证明⽂件并进⾏电⼦签章；</w:t>
            </w:r>
          </w:p>
        </w:tc>
        <w:tc>
          <w:tcPr>
            <w:tcW w:type="dxa" w:w="1661"/>
          </w:tcPr>
          <w:p>
            <w:pPr>
              <w:pStyle w:val="null3"/>
            </w:pPr>
            <w:r>
              <w:rPr>
                <w:rFonts w:ascii="仿宋_GB2312" w:hAnsi="仿宋_GB2312" w:cs="仿宋_GB2312" w:eastAsia="仿宋_GB2312"/>
              </w:rPr>
              <w:t>供应商应提交的相关资格证明材料包1.docx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社保缴纳凭证</w:t>
            </w:r>
          </w:p>
        </w:tc>
        <w:tc>
          <w:tcPr>
            <w:tcW w:type="dxa" w:w="3322"/>
          </w:tcPr>
          <w:p>
            <w:pPr>
              <w:pStyle w:val="null3"/>
            </w:pPr>
            <w:r>
              <w:rPr>
                <w:rFonts w:ascii="仿宋_GB2312" w:hAnsi="仿宋_GB2312" w:cs="仿宋_GB2312" w:eastAsia="仿宋_GB2312"/>
              </w:rPr>
              <w:t>提供响应⽂件提交截⽌时间前近六个⽉内⾄少 ⼀个⽉的社会保障资⾦缴存单据或社保机构开 具的社会保险参保缴费情况证明，依法不需要 缴纳社会保障资⾦的单位应提供相关证明材料 。供应商需在项⽬电⼦化交易系统中按要求上 传相应证明⽂件并进⾏电⼦ 签章；</w:t>
            </w:r>
          </w:p>
        </w:tc>
        <w:tc>
          <w:tcPr>
            <w:tcW w:type="dxa" w:w="1661"/>
          </w:tcPr>
          <w:p>
            <w:pPr>
              <w:pStyle w:val="null3"/>
            </w:pPr>
            <w:r>
              <w:rPr>
                <w:rFonts w:ascii="仿宋_GB2312" w:hAnsi="仿宋_GB2312" w:cs="仿宋_GB2312" w:eastAsia="仿宋_GB2312"/>
              </w:rPr>
              <w:t>供应商应提交的相关资格证明材料包1.docx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履⾏合同的能⼒</w:t>
            </w:r>
          </w:p>
        </w:tc>
        <w:tc>
          <w:tcPr>
            <w:tcW w:type="dxa" w:w="3322"/>
          </w:tcPr>
          <w:p>
            <w:pPr>
              <w:pStyle w:val="null3"/>
            </w:pPr>
            <w:r>
              <w:rPr>
                <w:rFonts w:ascii="仿宋_GB2312" w:hAnsi="仿宋_GB2312" w:cs="仿宋_GB2312" w:eastAsia="仿宋_GB2312"/>
              </w:rPr>
              <w:t>提供具有履⾏本合同所必需的设备和专业技术能 ⼒的声明。供应商需在项⽬电⼦化交易系统中 按要求上传相应证明⽂件并进⾏电⼦签章；</w:t>
            </w:r>
          </w:p>
        </w:tc>
        <w:tc>
          <w:tcPr>
            <w:tcW w:type="dxa" w:w="1661"/>
          </w:tcPr>
          <w:p>
            <w:pPr>
              <w:pStyle w:val="null3"/>
            </w:pPr>
            <w:r>
              <w:rPr>
                <w:rFonts w:ascii="仿宋_GB2312" w:hAnsi="仿宋_GB2312" w:cs="仿宋_GB2312" w:eastAsia="仿宋_GB2312"/>
              </w:rPr>
              <w:t>供应商应提交的相关资格证明材料包1.docx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⽆重⼤违法记录的书⾯声明</w:t>
            </w:r>
          </w:p>
        </w:tc>
        <w:tc>
          <w:tcPr>
            <w:tcW w:type="dxa" w:w="3322"/>
          </w:tcPr>
          <w:p>
            <w:pPr>
              <w:pStyle w:val="null3"/>
            </w:pPr>
            <w:r>
              <w:rPr>
                <w:rFonts w:ascii="仿宋_GB2312" w:hAnsi="仿宋_GB2312" w:cs="仿宋_GB2312" w:eastAsia="仿宋_GB2312"/>
              </w:rPr>
              <w:t>参加政府采购活动前3年内，在经营活动中没有 重⼤违法记录的书⾯声明。供应商需在项⽬电 ⼦化交易系统中按要求上传相应证明⽂件并进 ⾏电⼦签章；</w:t>
            </w:r>
          </w:p>
        </w:tc>
        <w:tc>
          <w:tcPr>
            <w:tcW w:type="dxa" w:w="1661"/>
          </w:tcPr>
          <w:p>
            <w:pPr>
              <w:pStyle w:val="null3"/>
            </w:pPr>
            <w:r>
              <w:rPr>
                <w:rFonts w:ascii="仿宋_GB2312" w:hAnsi="仿宋_GB2312" w:cs="仿宋_GB2312" w:eastAsia="仿宋_GB2312"/>
              </w:rPr>
              <w:t>供应商应提交的相关资格证明材料包1.docx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企业信誉截图</w:t>
            </w:r>
          </w:p>
        </w:tc>
        <w:tc>
          <w:tcPr>
            <w:tcW w:type="dxa" w:w="3322"/>
          </w:tcPr>
          <w:p>
            <w:pPr>
              <w:pStyle w:val="null3"/>
            </w:pPr>
            <w:r>
              <w:rPr>
                <w:rFonts w:ascii="仿宋_GB2312" w:hAnsi="仿宋_GB2312" w:cs="仿宋_GB2312" w:eastAsia="仿宋_GB2312"/>
              </w:rPr>
              <w:t>供应商应在信⽤中国（www.creditchina.gov. cn）未被列⼊重⼤税收违法失信主体、在中国 执⾏信息公开⽹（http://zxgk.court.gov.cn） 中未被列⼊失信被执⾏⼈及在中国政府采购⽹ （www.ccgp.gov.cn）未被列⼊政府采购严重 违法失信⾏为记录名单（处罚期限届满的除外 ，如相关失信记录已失效，供应商需提供相关 证明资料）。供应商需在项⽬电⼦化交易系统 中按要求上传相应证明⽂件并进⾏电⼦签章；</w:t>
            </w:r>
          </w:p>
        </w:tc>
        <w:tc>
          <w:tcPr>
            <w:tcW w:type="dxa" w:w="1661"/>
          </w:tcPr>
          <w:p>
            <w:pPr>
              <w:pStyle w:val="null3"/>
            </w:pPr>
            <w:r>
              <w:rPr>
                <w:rFonts w:ascii="仿宋_GB2312" w:hAnsi="仿宋_GB2312" w:cs="仿宋_GB2312" w:eastAsia="仿宋_GB2312"/>
              </w:rPr>
              <w:t>供应商应提交的相关资格证明材料包1.docx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本项⽬不接受联合体投标。供应商需在项⽬电 ⼦化交易系统中按要求上传相应证明⽂件并进 ⾏电⼦签章；</w:t>
            </w:r>
          </w:p>
        </w:tc>
        <w:tc>
          <w:tcPr>
            <w:tcW w:type="dxa" w:w="1661"/>
          </w:tcPr>
          <w:p>
            <w:pPr>
              <w:pStyle w:val="null3"/>
            </w:pPr>
            <w:r>
              <w:rPr>
                <w:rFonts w:ascii="仿宋_GB2312" w:hAnsi="仿宋_GB2312" w:cs="仿宋_GB2312" w:eastAsia="仿宋_GB2312"/>
              </w:rPr>
              <w:t>供应商应提交的相关资格证明材料包1.docx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磋商响应⽂件的签署盖章</w:t>
            </w:r>
          </w:p>
        </w:tc>
        <w:tc>
          <w:tcPr>
            <w:tcW w:type="dxa" w:w="3322"/>
          </w:tcPr>
          <w:p>
            <w:pPr>
              <w:pStyle w:val="null3"/>
            </w:pPr>
            <w:r>
              <w:rPr>
                <w:rFonts w:ascii="仿宋_GB2312" w:hAnsi="仿宋_GB2312" w:cs="仿宋_GB2312" w:eastAsia="仿宋_GB2312"/>
              </w:rPr>
              <w:t>磋商响应⽂件上法定代表⼈或其授权代表⼈的 签字⻬全并加盖公章</w:t>
            </w:r>
          </w:p>
        </w:tc>
        <w:tc>
          <w:tcPr>
            <w:tcW w:type="dxa" w:w="1661"/>
          </w:tcPr>
          <w:p>
            <w:pPr>
              <w:pStyle w:val="null3"/>
            </w:pPr>
            <w:r>
              <w:rPr>
                <w:rFonts w:ascii="仿宋_GB2312" w:hAnsi="仿宋_GB2312" w:cs="仿宋_GB2312" w:eastAsia="仿宋_GB2312"/>
              </w:rPr>
              <w:t>响应文件封面 中小企业声明函 商务应答表 服务内容及服务要求应答表 标的清单 供应商应提交的相关资格证明材料包1.docx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只能有⼀个有效报价，不得提交选择性报价， 且报价不超过采购预算⾦额或最⾼限价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期 应满⾜磋商⽂件中的规定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项目理解和分析</w:t>
            </w:r>
          </w:p>
        </w:tc>
        <w:tc>
          <w:tcPr>
            <w:tcW w:type="dxa" w:w="2492"/>
          </w:tcPr>
          <w:p>
            <w:pPr>
              <w:pStyle w:val="null3"/>
            </w:pPr>
            <w:r>
              <w:rPr>
                <w:rFonts w:ascii="仿宋_GB2312" w:hAnsi="仿宋_GB2312" w:cs="仿宋_GB2312" w:eastAsia="仿宋_GB2312"/>
              </w:rPr>
              <w:t>评审内容包括：①项目理解②需求分析。每一项内容全面详细、阐述条理清晰得2分，满分4分，每项存在一处缺陷，扣0.5分，扣完为止。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评审内容包括：①总体工作方案②项目实施计划③组织实施方案。 每一项内容全面详细、阐述条理清晰得3分，满分9分，每项存在一处缺陷，扣0.5分，扣完为止。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项目重点、难点分析</w:t>
            </w:r>
          </w:p>
        </w:tc>
        <w:tc>
          <w:tcPr>
            <w:tcW w:type="dxa" w:w="2492"/>
          </w:tcPr>
          <w:p>
            <w:pPr>
              <w:pStyle w:val="null3"/>
            </w:pPr>
            <w:r>
              <w:rPr>
                <w:rFonts w:ascii="仿宋_GB2312" w:hAnsi="仿宋_GB2312" w:cs="仿宋_GB2312" w:eastAsia="仿宋_GB2312"/>
              </w:rPr>
              <w:t>评审内容包括：①对项目实施重、难点的认识、理解及分析②针对项目实施重、难点提出工作思路③针对项目实施重、难点拟定的解决方案。每一项内容全面详细、阐述条理清晰得2分，满分6分，每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根据供应商提供的：①质量保障目标；②主要的质量控制点；③质量保障体系及措施；④成果质量检验内容与标准。以上内容专门针对本项目且阐述明晰、全面、合理得8分，每缺一项内容扣2分，若上述内容存在瑕疵，每处存在1处瑕疵扣0.5分，扣完为止。“瑕疵”指内容明显错误，或内容不完整或缺少关键点，或不适用本项目特性、套用其他项目内容或内容不能满足本项目实际需求等相关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进度计划及保障措施</w:t>
            </w:r>
          </w:p>
        </w:tc>
        <w:tc>
          <w:tcPr>
            <w:tcW w:type="dxa" w:w="2492"/>
          </w:tcPr>
          <w:p>
            <w:pPr>
              <w:pStyle w:val="null3"/>
            </w:pPr>
            <w:r>
              <w:rPr>
                <w:rFonts w:ascii="仿宋_GB2312" w:hAnsi="仿宋_GB2312" w:cs="仿宋_GB2312" w:eastAsia="仿宋_GB2312"/>
              </w:rPr>
              <w:t>根据供应商提供的：①进度计划目标；②设备保障能力；③人员保障计划；④应急处理预案。以上内容专门针对本项目且阐述明晰、全面、合理得8分，每缺一项内容扣2分，若上述内容存在瑕疵，每处存在1处瑕疵扣0.5分，扣完为止。“瑕疵”指内容明显错误，或内容不完整或缺少关键点，或不适用本项目特性、套用其他项目内容或内容不能满足本项目实际需求等相关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后续技术服务方案及措施</w:t>
            </w:r>
          </w:p>
        </w:tc>
        <w:tc>
          <w:tcPr>
            <w:tcW w:type="dxa" w:w="2492"/>
          </w:tcPr>
          <w:p>
            <w:pPr>
              <w:pStyle w:val="null3"/>
            </w:pPr>
            <w:r>
              <w:rPr>
                <w:rFonts w:ascii="仿宋_GB2312" w:hAnsi="仿宋_GB2312" w:cs="仿宋_GB2312" w:eastAsia="仿宋_GB2312"/>
              </w:rPr>
              <w:t>评审内容包括：①售后服务方案②服务承诺： 每一项内容全面详细、阐述条理清晰得2.5分，满分5分，每项存在一处缺陷，扣0.5分，扣完为止。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1、项目负责人同时具备测绘相关专业高级工程师职称证书及注册测绘师执业资格证书，得5分；未提供不得分。 2、技术负责人同时具备测绘相关专业高级工程师职称证书及注册测绘师执业资格证书，得5分；持有测绘专业高级工程师证书或注册测绘师证书其中任意一项的，得2分；未提供不得分。 3、拟为本项目配备的其他人员中（除项目负责人、技术负责人）每有一名具有测绘相关专业中级及以上职称人员得2分，本项最高12分，未提供不得分； 注：人员不重复计分，需提供职称证复印件和开标前6个月内至少一个月社保证明并加盖公章，否则不计分。</w:t>
            </w:r>
          </w:p>
        </w:tc>
        <w:tc>
          <w:tcPr>
            <w:tcW w:type="dxa" w:w="831"/>
          </w:tcPr>
          <w:p>
            <w:pPr>
              <w:pStyle w:val="null3"/>
              <w:jc w:val="right"/>
            </w:pPr>
            <w:r>
              <w:rPr>
                <w:rFonts w:ascii="仿宋_GB2312" w:hAnsi="仿宋_GB2312" w:cs="仿宋_GB2312" w:eastAsia="仿宋_GB2312"/>
              </w:rPr>
              <w:t>22.0000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拟投入设备</w:t>
            </w:r>
          </w:p>
        </w:tc>
        <w:tc>
          <w:tcPr>
            <w:tcW w:type="dxa" w:w="2492"/>
          </w:tcPr>
          <w:p>
            <w:pPr>
              <w:pStyle w:val="null3"/>
            </w:pPr>
            <w:r>
              <w:rPr>
                <w:rFonts w:ascii="仿宋_GB2312" w:hAnsi="仿宋_GB2312" w:cs="仿宋_GB2312" w:eastAsia="仿宋_GB2312"/>
              </w:rPr>
              <w:t>1、提供本项目实施所必须的无人机设备，每提供一台计2分，本项最高10分； 2、提供本项目实施所必须的全站仪、GPS设备等测绘设备，每提供一台得1分；本项最高6分；未提供不得分。 以提供的设备购置发票为评审依据。</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提供2023年6月1日至今类似项目业绩（本项目为国土变更调查类项目，以合同签订时间为准），需附合同协议书复印件（加盖单位公章），每个业绩得2分，满分12分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1.经资格性及符合性审查合格的磋 商响应⽂件，其磋商报价为有效磋 商报价。 2.满⾜竞争性磋商⽂件实 质性要求且最后报价最低的供应商 的价格为磋商基准价，其价格分为 满分10分。 3.磋商报价得分=（磋 商基准价/最后磋商报价）×10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详见附件：供应商应提交的相关资格证明材料包1.docx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