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F710DF">
      <w:pPr>
        <w:pStyle w:val="17"/>
        <w:snapToGrid w:val="0"/>
        <w:spacing w:before="0" w:beforeAutospacing="0" w:after="0" w:afterAutospacing="0" w:line="360" w:lineRule="auto"/>
        <w:jc w:val="center"/>
        <w:textAlignment w:val="baseline"/>
        <w:rPr>
          <w:rFonts w:hint="eastAsia" w:ascii="宋体" w:hAnsi="宋体" w:eastAsia="宋体" w:cs="宋体"/>
          <w:b/>
          <w:i w:val="0"/>
          <w:caps w:val="0"/>
          <w:color w:val="000000"/>
          <w:spacing w:val="0"/>
          <w:w w:val="100"/>
          <w:kern w:val="44"/>
          <w:sz w:val="32"/>
          <w:szCs w:val="32"/>
        </w:rPr>
      </w:pPr>
    </w:p>
    <w:p w14:paraId="2B90E6CD">
      <w:pPr>
        <w:pStyle w:val="17"/>
        <w:snapToGrid w:val="0"/>
        <w:spacing w:before="0" w:beforeAutospacing="0" w:after="0" w:afterAutospacing="0" w:line="360" w:lineRule="auto"/>
        <w:jc w:val="center"/>
        <w:textAlignment w:val="baseline"/>
        <w:rPr>
          <w:rFonts w:hint="eastAsia" w:ascii="宋体" w:hAnsi="宋体" w:eastAsia="宋体" w:cs="宋体"/>
          <w:b/>
          <w:i w:val="0"/>
          <w:caps w:val="0"/>
          <w:color w:val="000000"/>
          <w:spacing w:val="0"/>
          <w:w w:val="100"/>
          <w:kern w:val="44"/>
          <w:sz w:val="32"/>
          <w:szCs w:val="32"/>
        </w:rPr>
      </w:pPr>
    </w:p>
    <w:p w14:paraId="6D226FB5">
      <w:pPr>
        <w:pStyle w:val="17"/>
        <w:snapToGrid w:val="0"/>
        <w:spacing w:before="0" w:beforeAutospacing="0" w:after="0" w:afterAutospacing="0" w:line="360" w:lineRule="auto"/>
        <w:jc w:val="center"/>
        <w:textAlignment w:val="baseline"/>
        <w:rPr>
          <w:rFonts w:hint="eastAsia" w:ascii="宋体" w:hAnsi="宋体" w:eastAsia="宋体" w:cs="宋体"/>
          <w:b/>
          <w:i w:val="0"/>
          <w:caps w:val="0"/>
          <w:color w:val="000000"/>
          <w:spacing w:val="0"/>
          <w:w w:val="100"/>
          <w:kern w:val="44"/>
          <w:sz w:val="32"/>
          <w:szCs w:val="32"/>
        </w:rPr>
      </w:pPr>
      <w:r>
        <w:rPr>
          <w:rFonts w:hint="eastAsia" w:ascii="宋体" w:hAnsi="宋体" w:eastAsia="宋体" w:cs="宋体"/>
          <w:b/>
          <w:i w:val="0"/>
          <w:caps w:val="0"/>
          <w:color w:val="000000"/>
          <w:spacing w:val="0"/>
          <w:w w:val="100"/>
          <w:kern w:val="44"/>
          <w:sz w:val="32"/>
          <w:szCs w:val="32"/>
        </w:rPr>
        <w:t>拟签订的合同条款文本（以最终</w:t>
      </w:r>
      <w:r>
        <w:rPr>
          <w:rFonts w:hint="eastAsia" w:ascii="宋体" w:hAnsi="宋体" w:eastAsia="宋体" w:cs="宋体"/>
          <w:b/>
          <w:i w:val="0"/>
          <w:caps w:val="0"/>
          <w:color w:val="000000"/>
          <w:spacing w:val="0"/>
          <w:w w:val="100"/>
          <w:kern w:val="44"/>
          <w:sz w:val="32"/>
          <w:szCs w:val="32"/>
          <w:lang w:val="en-US" w:eastAsia="zh-CN"/>
        </w:rPr>
        <w:t>签订</w:t>
      </w:r>
      <w:r>
        <w:rPr>
          <w:rFonts w:hint="eastAsia" w:ascii="宋体" w:hAnsi="宋体" w:eastAsia="宋体" w:cs="宋体"/>
          <w:b/>
          <w:i w:val="0"/>
          <w:caps w:val="0"/>
          <w:color w:val="000000"/>
          <w:spacing w:val="0"/>
          <w:w w:val="100"/>
          <w:kern w:val="44"/>
          <w:sz w:val="32"/>
          <w:szCs w:val="32"/>
        </w:rPr>
        <w:t>版本为准）</w:t>
      </w:r>
    </w:p>
    <w:p w14:paraId="35E68FB9">
      <w:pPr>
        <w:pStyle w:val="8"/>
        <w:ind w:firstLine="640" w:firstLineChars="200"/>
        <w:rPr>
          <w:rFonts w:ascii="仿宋" w:hAnsi="仿宋"/>
          <w:szCs w:val="32"/>
        </w:rPr>
      </w:pPr>
    </w:p>
    <w:p w14:paraId="6DCF4BF1">
      <w:pPr>
        <w:jc w:val="center"/>
        <w:rPr>
          <w:rFonts w:hint="eastAsia" w:asciiTheme="minorEastAsia" w:hAnsiTheme="minorEastAsia" w:eastAsiaTheme="minorEastAsia" w:cstheme="minorEastAsia"/>
          <w:sz w:val="28"/>
          <w:szCs w:val="22"/>
        </w:rPr>
      </w:pPr>
      <w:r>
        <w:rPr>
          <w:rFonts w:hint="eastAsia" w:asciiTheme="minorEastAsia" w:hAnsiTheme="minorEastAsia" w:eastAsiaTheme="minorEastAsia" w:cstheme="minorEastAsia"/>
          <w:sz w:val="28"/>
          <w:szCs w:val="22"/>
          <w:u w:val="single"/>
          <w:lang w:val="en-US" w:eastAsia="zh-CN"/>
        </w:rPr>
        <w:t xml:space="preserve">                      </w:t>
      </w:r>
      <w:r>
        <w:rPr>
          <w:rFonts w:hint="eastAsia" w:asciiTheme="minorEastAsia" w:hAnsiTheme="minorEastAsia" w:eastAsiaTheme="minorEastAsia" w:cstheme="minorEastAsia"/>
          <w:sz w:val="28"/>
          <w:szCs w:val="22"/>
        </w:rPr>
        <w:t>项目</w:t>
      </w:r>
    </w:p>
    <w:p w14:paraId="02A7702E">
      <w:pPr>
        <w:pStyle w:val="8"/>
        <w:ind w:firstLine="560" w:firstLineChars="200"/>
        <w:jc w:val="center"/>
        <w:rPr>
          <w:rFonts w:hint="eastAsia" w:asciiTheme="minorEastAsia" w:hAnsiTheme="minorEastAsia" w:eastAsiaTheme="minorEastAsia" w:cstheme="minorEastAsia"/>
          <w:sz w:val="28"/>
          <w:szCs w:val="28"/>
        </w:rPr>
      </w:pPr>
    </w:p>
    <w:p w14:paraId="390804DD">
      <w:pPr>
        <w:pStyle w:val="8"/>
        <w:ind w:firstLine="560" w:firstLineChars="200"/>
        <w:jc w:val="center"/>
        <w:rPr>
          <w:rFonts w:hint="eastAsia" w:asciiTheme="minorEastAsia" w:hAnsiTheme="minorEastAsia" w:eastAsiaTheme="minorEastAsia" w:cstheme="minorEastAsia"/>
          <w:sz w:val="28"/>
          <w:szCs w:val="28"/>
        </w:rPr>
      </w:pPr>
    </w:p>
    <w:p w14:paraId="5AEDD78E">
      <w:pPr>
        <w:pStyle w:val="8"/>
        <w:ind w:firstLine="560" w:firstLineChars="200"/>
        <w:rPr>
          <w:rFonts w:hint="eastAsia" w:asciiTheme="minorEastAsia" w:hAnsiTheme="minorEastAsia" w:eastAsiaTheme="minorEastAsia" w:cstheme="minorEastAsia"/>
          <w:sz w:val="28"/>
          <w:szCs w:val="28"/>
        </w:rPr>
      </w:pPr>
    </w:p>
    <w:p w14:paraId="1B843765">
      <w:pPr>
        <w:jc w:val="center"/>
        <w:rPr>
          <w:rFonts w:hint="eastAsia" w:asciiTheme="minorEastAsia" w:hAnsiTheme="minorEastAsia" w:eastAsiaTheme="minorEastAsia" w:cstheme="minorEastAsia"/>
          <w:b/>
          <w:sz w:val="28"/>
          <w:szCs w:val="22"/>
        </w:rPr>
      </w:pPr>
      <w:r>
        <w:rPr>
          <w:rFonts w:hint="eastAsia" w:asciiTheme="minorEastAsia" w:hAnsiTheme="minorEastAsia" w:eastAsiaTheme="minorEastAsia" w:cstheme="minorEastAsia"/>
          <w:b/>
          <w:sz w:val="28"/>
          <w:szCs w:val="22"/>
        </w:rPr>
        <w:t>合　　同</w:t>
      </w:r>
    </w:p>
    <w:p w14:paraId="32CA2DEA">
      <w:pPr>
        <w:pStyle w:val="8"/>
        <w:ind w:firstLine="560" w:firstLineChars="200"/>
        <w:rPr>
          <w:rFonts w:hint="eastAsia" w:asciiTheme="minorEastAsia" w:hAnsiTheme="minorEastAsia" w:eastAsiaTheme="minorEastAsia" w:cstheme="minorEastAsia"/>
          <w:sz w:val="28"/>
          <w:szCs w:val="28"/>
        </w:rPr>
      </w:pPr>
    </w:p>
    <w:p w14:paraId="74D65052">
      <w:pPr>
        <w:pStyle w:val="8"/>
        <w:ind w:firstLine="560" w:firstLineChars="200"/>
        <w:rPr>
          <w:rFonts w:hint="eastAsia" w:asciiTheme="minorEastAsia" w:hAnsiTheme="minorEastAsia" w:eastAsiaTheme="minorEastAsia" w:cstheme="minorEastAsia"/>
          <w:sz w:val="28"/>
          <w:szCs w:val="28"/>
        </w:rPr>
      </w:pPr>
    </w:p>
    <w:p w14:paraId="46A2C841">
      <w:pPr>
        <w:ind w:firstLine="1400" w:firstLineChars="500"/>
        <w:rPr>
          <w:rFonts w:hint="eastAsia" w:asciiTheme="minorEastAsia" w:hAnsiTheme="minorEastAsia" w:eastAsiaTheme="minorEastAsia" w:cstheme="minorEastAsia"/>
          <w:sz w:val="28"/>
          <w:szCs w:val="22"/>
        </w:rPr>
      </w:pPr>
      <w:r>
        <w:rPr>
          <w:rFonts w:hint="eastAsia" w:asciiTheme="minorEastAsia" w:hAnsiTheme="minorEastAsia" w:eastAsiaTheme="minorEastAsia" w:cstheme="minorEastAsia"/>
          <w:sz w:val="28"/>
          <w:szCs w:val="22"/>
        </w:rPr>
        <w:t>合同编号：</w:t>
      </w:r>
      <w:r>
        <w:rPr>
          <w:rFonts w:hint="eastAsia" w:asciiTheme="minorEastAsia" w:hAnsiTheme="minorEastAsia" w:eastAsiaTheme="minorEastAsia" w:cstheme="minorEastAsia"/>
          <w:sz w:val="28"/>
          <w:szCs w:val="22"/>
          <w:u w:val="single"/>
          <w:lang w:val="en-US" w:eastAsia="zh-CN"/>
        </w:rPr>
        <w:t xml:space="preserve">                         </w:t>
      </w:r>
    </w:p>
    <w:p w14:paraId="2EB7278E">
      <w:pPr>
        <w:rPr>
          <w:rFonts w:hint="eastAsia" w:asciiTheme="minorEastAsia" w:hAnsiTheme="minorEastAsia" w:eastAsiaTheme="minorEastAsia" w:cstheme="minorEastAsia"/>
          <w:sz w:val="28"/>
          <w:szCs w:val="22"/>
        </w:rPr>
      </w:pPr>
    </w:p>
    <w:p w14:paraId="70D33CC6">
      <w:pPr>
        <w:rPr>
          <w:rFonts w:hint="eastAsia" w:asciiTheme="minorEastAsia" w:hAnsiTheme="minorEastAsia" w:eastAsiaTheme="minorEastAsia" w:cstheme="minorEastAsia"/>
          <w:sz w:val="28"/>
          <w:szCs w:val="22"/>
        </w:rPr>
      </w:pPr>
    </w:p>
    <w:p w14:paraId="3FCC2474">
      <w:pPr>
        <w:ind w:firstLine="1400" w:firstLineChars="500"/>
        <w:rPr>
          <w:rFonts w:hint="eastAsia" w:asciiTheme="minorEastAsia" w:hAnsiTheme="minorEastAsia" w:eastAsiaTheme="minorEastAsia" w:cstheme="minorEastAsia"/>
          <w:sz w:val="28"/>
          <w:szCs w:val="22"/>
        </w:rPr>
      </w:pPr>
      <w:r>
        <w:rPr>
          <w:rFonts w:hint="eastAsia" w:asciiTheme="minorEastAsia" w:hAnsiTheme="minorEastAsia" w:eastAsiaTheme="minorEastAsia" w:cstheme="minorEastAsia"/>
          <w:sz w:val="28"/>
          <w:szCs w:val="22"/>
        </w:rPr>
        <w:t>甲　　方：</w:t>
      </w:r>
      <w:r>
        <w:rPr>
          <w:rFonts w:hint="eastAsia" w:asciiTheme="minorEastAsia" w:hAnsiTheme="minorEastAsia" w:eastAsiaTheme="minorEastAsia" w:cstheme="minorEastAsia"/>
          <w:sz w:val="28"/>
          <w:szCs w:val="22"/>
          <w:lang w:val="en-US" w:eastAsia="zh-CN"/>
        </w:rPr>
        <w:t xml:space="preserve"> </w:t>
      </w:r>
      <w:r>
        <w:rPr>
          <w:rFonts w:hint="eastAsia" w:asciiTheme="minorEastAsia" w:hAnsiTheme="minorEastAsia" w:eastAsiaTheme="minorEastAsia" w:cstheme="minorEastAsia"/>
          <w:sz w:val="28"/>
          <w:szCs w:val="22"/>
          <w:u w:val="single"/>
          <w:lang w:val="en-US" w:eastAsia="zh-CN"/>
        </w:rPr>
        <w:t xml:space="preserve">                         </w:t>
      </w:r>
      <w:r>
        <w:rPr>
          <w:rFonts w:hint="eastAsia" w:asciiTheme="minorEastAsia" w:hAnsiTheme="minorEastAsia" w:eastAsiaTheme="minorEastAsia" w:cstheme="minorEastAsia"/>
          <w:sz w:val="28"/>
          <w:szCs w:val="22"/>
        </w:rPr>
        <w:t>(采购人名称)</w:t>
      </w:r>
    </w:p>
    <w:p w14:paraId="670BBEF5">
      <w:pPr>
        <w:rPr>
          <w:rFonts w:hint="eastAsia" w:asciiTheme="minorEastAsia" w:hAnsiTheme="minorEastAsia" w:eastAsiaTheme="minorEastAsia" w:cstheme="minorEastAsia"/>
          <w:sz w:val="28"/>
          <w:szCs w:val="22"/>
        </w:rPr>
      </w:pPr>
    </w:p>
    <w:p w14:paraId="3882FECD">
      <w:pPr>
        <w:rPr>
          <w:rFonts w:hint="eastAsia" w:asciiTheme="minorEastAsia" w:hAnsiTheme="minorEastAsia" w:eastAsiaTheme="minorEastAsia" w:cstheme="minorEastAsia"/>
          <w:sz w:val="28"/>
          <w:szCs w:val="22"/>
        </w:rPr>
      </w:pPr>
    </w:p>
    <w:p w14:paraId="2B998D49">
      <w:pPr>
        <w:rPr>
          <w:rFonts w:hint="eastAsia" w:asciiTheme="minorEastAsia" w:hAnsiTheme="minorEastAsia" w:eastAsiaTheme="minorEastAsia" w:cstheme="minorEastAsia"/>
          <w:sz w:val="28"/>
          <w:szCs w:val="22"/>
        </w:rPr>
      </w:pPr>
      <w:r>
        <w:rPr>
          <w:rFonts w:hint="eastAsia" w:asciiTheme="minorEastAsia" w:hAnsiTheme="minorEastAsia" w:eastAsiaTheme="minorEastAsia" w:cstheme="minorEastAsia"/>
          <w:sz w:val="28"/>
          <w:szCs w:val="22"/>
        </w:rPr>
        <w:t xml:space="preserve">          乙　　方：</w:t>
      </w:r>
      <w:r>
        <w:rPr>
          <w:rFonts w:hint="eastAsia" w:asciiTheme="minorEastAsia" w:hAnsiTheme="minorEastAsia" w:eastAsiaTheme="minorEastAsia" w:cstheme="minorEastAsia"/>
          <w:sz w:val="28"/>
          <w:szCs w:val="22"/>
          <w:u w:val="single"/>
          <w:lang w:val="en-US" w:eastAsia="zh-CN"/>
        </w:rPr>
        <w:t xml:space="preserve">                          </w:t>
      </w:r>
      <w:r>
        <w:rPr>
          <w:rFonts w:hint="eastAsia" w:asciiTheme="minorEastAsia" w:hAnsiTheme="minorEastAsia" w:eastAsiaTheme="minorEastAsia" w:cstheme="minorEastAsia"/>
          <w:sz w:val="28"/>
          <w:szCs w:val="22"/>
        </w:rPr>
        <w:t>(中标人名称)</w:t>
      </w:r>
    </w:p>
    <w:p w14:paraId="5596D4C8">
      <w:pPr>
        <w:widowControl/>
        <w:tabs>
          <w:tab w:val="left" w:pos="1620"/>
        </w:tabs>
        <w:jc w:val="center"/>
        <w:rPr>
          <w:rFonts w:hint="eastAsia" w:asciiTheme="minorEastAsia" w:hAnsiTheme="minorEastAsia" w:eastAsiaTheme="minorEastAsia" w:cstheme="minorEastAsia"/>
          <w:b/>
          <w:color w:val="auto"/>
          <w:sz w:val="36"/>
          <w:szCs w:val="36"/>
        </w:rPr>
      </w:pPr>
      <w:r>
        <w:br w:type="page"/>
      </w:r>
      <w:r>
        <w:rPr>
          <w:rFonts w:hint="eastAsia" w:asciiTheme="minorEastAsia" w:hAnsiTheme="minorEastAsia" w:eastAsiaTheme="minorEastAsia" w:cstheme="minorEastAsia"/>
          <w:b/>
          <w:color w:val="auto"/>
          <w:sz w:val="36"/>
          <w:szCs w:val="36"/>
          <w:lang w:bidi="ar"/>
        </w:rPr>
        <w:t>合同范本</w:t>
      </w:r>
    </w:p>
    <w:p w14:paraId="2F93A3C7">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1"/>
          <w:sz w:val="21"/>
          <w:szCs w:val="21"/>
        </w:rPr>
        <w:t>（注：本合同作为合同的示范格式，甲方有权在签订合同时对合同的相关条款及内容作</w:t>
      </w:r>
      <w:r>
        <w:rPr>
          <w:rFonts w:hint="eastAsia" w:ascii="微软雅黑" w:hAnsi="微软雅黑" w:eastAsia="微软雅黑" w:cs="微软雅黑"/>
          <w:spacing w:val="11"/>
          <w:sz w:val="21"/>
          <w:szCs w:val="21"/>
        </w:rPr>
        <w:t xml:space="preserve"> </w:t>
      </w:r>
      <w:r>
        <w:rPr>
          <w:rFonts w:hint="eastAsia" w:ascii="微软雅黑" w:hAnsi="微软雅黑" w:eastAsia="微软雅黑" w:cs="微软雅黑"/>
          <w:spacing w:val="-2"/>
          <w:sz w:val="21"/>
          <w:szCs w:val="21"/>
        </w:rPr>
        <w:t>进一步细化和修改）</w:t>
      </w:r>
    </w:p>
    <w:p w14:paraId="2AD8BE53">
      <w:pPr>
        <w:keepNext w:val="0"/>
        <w:keepLines w:val="0"/>
        <w:pageBreakBefore w:val="0"/>
        <w:widowControl w:val="0"/>
        <w:kinsoku/>
        <w:wordWrap/>
        <w:overflowPunct/>
        <w:topLinePunct w:val="0"/>
        <w:autoSpaceDE/>
        <w:autoSpaceDN/>
        <w:bidi w:val="0"/>
        <w:adjustRightInd/>
        <w:snapToGrid/>
        <w:spacing w:line="520" w:lineRule="exact"/>
        <w:ind w:left="0" w:right="0" w:firstLine="404"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4"/>
          <w:sz w:val="21"/>
          <w:szCs w:val="21"/>
        </w:rPr>
        <w:t>合同编号：</w:t>
      </w:r>
    </w:p>
    <w:p w14:paraId="0AF8A1BF">
      <w:pPr>
        <w:keepNext w:val="0"/>
        <w:keepLines w:val="0"/>
        <w:pageBreakBefore w:val="0"/>
        <w:widowControl w:val="0"/>
        <w:kinsoku/>
        <w:wordWrap/>
        <w:overflowPunct/>
        <w:topLinePunct w:val="0"/>
        <w:autoSpaceDE/>
        <w:autoSpaceDN/>
        <w:bidi w:val="0"/>
        <w:adjustRightInd/>
        <w:snapToGrid/>
        <w:spacing w:line="520" w:lineRule="exact"/>
        <w:ind w:left="0" w:right="0" w:firstLine="404"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4"/>
          <w:sz w:val="21"/>
          <w:szCs w:val="21"/>
        </w:rPr>
        <w:t>签订地点：</w:t>
      </w:r>
    </w:p>
    <w:p w14:paraId="398199C0">
      <w:pPr>
        <w:keepNext w:val="0"/>
        <w:keepLines w:val="0"/>
        <w:pageBreakBefore w:val="0"/>
        <w:widowControl w:val="0"/>
        <w:kinsoku/>
        <w:wordWrap/>
        <w:overflowPunct/>
        <w:topLinePunct w:val="0"/>
        <w:autoSpaceDE/>
        <w:autoSpaceDN/>
        <w:bidi w:val="0"/>
        <w:adjustRightInd/>
        <w:snapToGrid/>
        <w:spacing w:line="520" w:lineRule="exact"/>
        <w:ind w:left="0" w:right="0" w:firstLine="404"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4"/>
          <w:sz w:val="21"/>
          <w:szCs w:val="21"/>
        </w:rPr>
        <w:t>签订时间：</w:t>
      </w:r>
    </w:p>
    <w:p w14:paraId="705D9933">
      <w:pPr>
        <w:keepNext w:val="0"/>
        <w:keepLines w:val="0"/>
        <w:pageBreakBefore w:val="0"/>
        <w:widowControl w:val="0"/>
        <w:kinsoku/>
        <w:wordWrap/>
        <w:overflowPunct/>
        <w:topLinePunct w:val="0"/>
        <w:autoSpaceDE/>
        <w:autoSpaceDN/>
        <w:bidi w:val="0"/>
        <w:adjustRightInd/>
        <w:snapToGrid/>
        <w:spacing w:line="520" w:lineRule="exact"/>
        <w:ind w:left="0" w:right="0" w:firstLine="408"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3"/>
          <w:sz w:val="21"/>
          <w:szCs w:val="21"/>
        </w:rPr>
        <w:t>采购人（甲方</w:t>
      </w:r>
      <w:r>
        <w:rPr>
          <w:rFonts w:hint="eastAsia" w:ascii="微软雅黑" w:hAnsi="微软雅黑" w:eastAsia="微软雅黑" w:cs="微软雅黑"/>
          <w:sz w:val="21"/>
          <w:szCs w:val="21"/>
        </w:rPr>
        <w:t>）：</w:t>
      </w:r>
    </w:p>
    <w:p w14:paraId="59CC9404">
      <w:pPr>
        <w:keepNext w:val="0"/>
        <w:keepLines w:val="0"/>
        <w:pageBreakBefore w:val="0"/>
        <w:widowControl w:val="0"/>
        <w:kinsoku/>
        <w:wordWrap/>
        <w:overflowPunct/>
        <w:topLinePunct w:val="0"/>
        <w:autoSpaceDE/>
        <w:autoSpaceDN/>
        <w:bidi w:val="0"/>
        <w:adjustRightInd/>
        <w:snapToGrid/>
        <w:spacing w:line="520" w:lineRule="exact"/>
        <w:ind w:left="0" w:right="0" w:firstLine="408"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3"/>
          <w:sz w:val="21"/>
          <w:szCs w:val="21"/>
        </w:rPr>
        <w:t>供应商（乙方</w:t>
      </w:r>
      <w:r>
        <w:rPr>
          <w:rFonts w:hint="eastAsia" w:ascii="微软雅黑" w:hAnsi="微软雅黑" w:eastAsia="微软雅黑" w:cs="微软雅黑"/>
          <w:sz w:val="21"/>
          <w:szCs w:val="21"/>
        </w:rPr>
        <w:t>）：</w:t>
      </w:r>
    </w:p>
    <w:p w14:paraId="641F6AAD">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rPr>
          <w:rFonts w:hint="eastAsia" w:ascii="微软雅黑" w:hAnsi="微软雅黑" w:eastAsia="微软雅黑" w:cs="微软雅黑"/>
          <w:spacing w:val="4"/>
          <w:sz w:val="21"/>
          <w:szCs w:val="21"/>
        </w:rPr>
      </w:pPr>
      <w:r>
        <w:rPr>
          <w:rFonts w:hint="eastAsia" w:ascii="微软雅黑" w:hAnsi="微软雅黑" w:eastAsia="微软雅黑" w:cs="微软雅黑"/>
          <w:sz w:val="21"/>
          <w:szCs w:val="21"/>
        </w:rPr>
        <w:t>根据《中华人民共和国政府采购法》及实施条例、《中华人民共和国民法典》和</w:t>
      </w:r>
      <w:r>
        <w:rPr>
          <w:rFonts w:hint="eastAsia" w:ascii="微软雅黑" w:hAnsi="微软雅黑" w:eastAsia="微软雅黑" w:cs="微软雅黑"/>
          <w:spacing w:val="5"/>
          <w:sz w:val="21"/>
          <w:szCs w:val="21"/>
          <w:u w:val="single" w:color="auto"/>
          <w:lang w:val="en-US" w:eastAsia="zh-CN"/>
        </w:rPr>
        <w:t xml:space="preserve">     </w:t>
      </w:r>
      <w:r>
        <w:rPr>
          <w:rFonts w:hint="eastAsia" w:ascii="微软雅黑" w:hAnsi="微软雅黑" w:eastAsia="微软雅黑" w:cs="微软雅黑"/>
          <w:spacing w:val="4"/>
          <w:sz w:val="21"/>
          <w:szCs w:val="21"/>
          <w:u w:val="single" w:color="auto"/>
        </w:rPr>
        <w:t xml:space="preserve"> </w:t>
      </w:r>
      <w:r>
        <w:rPr>
          <w:rFonts w:hint="eastAsia" w:ascii="微软雅黑" w:hAnsi="微软雅黑" w:eastAsia="微软雅黑" w:cs="微软雅黑"/>
          <w:spacing w:val="4"/>
          <w:sz w:val="21"/>
          <w:szCs w:val="21"/>
        </w:rPr>
        <w:t>（采购项目编号：</w:t>
      </w:r>
      <w:r>
        <w:rPr>
          <w:rFonts w:hint="eastAsia" w:ascii="微软雅黑" w:hAnsi="微软雅黑" w:eastAsia="微软雅黑" w:cs="微软雅黑"/>
          <w:sz w:val="21"/>
          <w:szCs w:val="21"/>
          <w:u w:val="single" w:color="auto"/>
          <w:lang w:val="en-US" w:eastAsia="zh-CN"/>
        </w:rPr>
        <w:t xml:space="preserve">     </w:t>
      </w:r>
      <w:r>
        <w:rPr>
          <w:rFonts w:hint="eastAsia" w:ascii="微软雅黑" w:hAnsi="微软雅黑" w:eastAsia="微软雅黑" w:cs="微软雅黑"/>
          <w:spacing w:val="4"/>
          <w:sz w:val="21"/>
          <w:szCs w:val="21"/>
        </w:rPr>
        <w:t>）的竞争性磋商文件、竞争性磋商响应文件等有关规定，为确保甲方采购项目的顺利实施，甲、乙双方在平等自愿原则下签订本合同，并共同遵守如下条款：</w:t>
      </w:r>
    </w:p>
    <w:p w14:paraId="1FA31BD5">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rPr>
      </w:pPr>
      <w:r>
        <w:rPr>
          <w:rFonts w:hint="eastAsia" w:ascii="微软雅黑" w:hAnsi="微软雅黑" w:eastAsia="微软雅黑" w:cs="微软雅黑"/>
          <w:b/>
          <w:bCs/>
          <w:spacing w:val="-7"/>
          <w:sz w:val="21"/>
          <w:szCs w:val="21"/>
        </w:rPr>
        <w:t>第</w:t>
      </w:r>
      <w:r>
        <w:rPr>
          <w:rFonts w:hint="eastAsia" w:ascii="微软雅黑" w:hAnsi="微软雅黑" w:eastAsia="微软雅黑" w:cs="微软雅黑"/>
          <w:b/>
          <w:bCs/>
          <w:spacing w:val="-7"/>
          <w:sz w:val="21"/>
          <w:szCs w:val="21"/>
          <w:lang w:val="en-US" w:eastAsia="zh-CN"/>
        </w:rPr>
        <w:t>一</w:t>
      </w:r>
      <w:r>
        <w:rPr>
          <w:rFonts w:hint="eastAsia" w:ascii="微软雅黑" w:hAnsi="微软雅黑" w:eastAsia="微软雅黑" w:cs="微软雅黑"/>
          <w:b/>
          <w:bCs/>
          <w:spacing w:val="-7"/>
          <w:sz w:val="21"/>
          <w:szCs w:val="21"/>
        </w:rPr>
        <w:t>条</w:t>
      </w:r>
      <w:r>
        <w:rPr>
          <w:rFonts w:hint="eastAsia" w:ascii="微软雅黑" w:hAnsi="微软雅黑" w:eastAsia="微软雅黑" w:cs="微软雅黑"/>
          <w:b/>
          <w:bCs/>
          <w:spacing w:val="-7"/>
          <w:sz w:val="21"/>
          <w:szCs w:val="21"/>
          <w:lang w:val="en-US" w:eastAsia="zh-CN"/>
        </w:rPr>
        <w:t xml:space="preserve">  </w:t>
      </w:r>
      <w:r>
        <w:rPr>
          <w:rFonts w:hint="eastAsia" w:ascii="微软雅黑" w:hAnsi="微软雅黑" w:eastAsia="微软雅黑" w:cs="微软雅黑"/>
          <w:b/>
          <w:bCs/>
          <w:spacing w:val="-7"/>
          <w:sz w:val="21"/>
          <w:szCs w:val="21"/>
        </w:rPr>
        <w:t>项目基本情况</w:t>
      </w:r>
    </w:p>
    <w:p w14:paraId="70083AE5">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pacing w:val="-7"/>
          <w:sz w:val="21"/>
          <w:szCs w:val="21"/>
          <w:lang w:val="en-US" w:eastAsia="zh-CN"/>
        </w:rPr>
      </w:pPr>
      <w:r>
        <w:rPr>
          <w:rFonts w:hint="eastAsia" w:ascii="微软雅黑" w:hAnsi="微软雅黑" w:eastAsia="微软雅黑" w:cs="微软雅黑"/>
          <w:spacing w:val="-7"/>
          <w:sz w:val="21"/>
          <w:szCs w:val="21"/>
          <w:lang w:val="en-US" w:eastAsia="zh-CN"/>
        </w:rPr>
        <w:t>项目概况：汉中市南郑区中小学幼园2026-2028学年度校方责任保险采购项目</w:t>
      </w:r>
    </w:p>
    <w:p w14:paraId="250A1075">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default" w:ascii="微软雅黑" w:hAnsi="微软雅黑" w:eastAsia="微软雅黑" w:cs="微软雅黑"/>
          <w:spacing w:val="-7"/>
          <w:sz w:val="21"/>
          <w:szCs w:val="21"/>
          <w:lang w:val="en-US"/>
        </w:rPr>
      </w:pPr>
      <w:r>
        <w:rPr>
          <w:rFonts w:hint="eastAsia" w:ascii="微软雅黑" w:hAnsi="微软雅黑" w:eastAsia="微软雅黑" w:cs="微软雅黑"/>
          <w:spacing w:val="-7"/>
          <w:sz w:val="21"/>
          <w:szCs w:val="21"/>
          <w:lang w:val="en-US" w:eastAsia="zh-CN"/>
        </w:rPr>
        <w:t>服务地点：采购人指定地点</w:t>
      </w:r>
    </w:p>
    <w:p w14:paraId="7608150F">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rPr>
      </w:pPr>
      <w:r>
        <w:rPr>
          <w:rFonts w:hint="eastAsia" w:ascii="微软雅黑" w:hAnsi="微软雅黑" w:eastAsia="微软雅黑" w:cs="微软雅黑"/>
          <w:b/>
          <w:bCs/>
          <w:spacing w:val="-7"/>
          <w:sz w:val="21"/>
          <w:szCs w:val="21"/>
        </w:rPr>
        <w:t>第</w:t>
      </w:r>
      <w:r>
        <w:rPr>
          <w:rFonts w:hint="eastAsia" w:ascii="微软雅黑" w:hAnsi="微软雅黑" w:eastAsia="微软雅黑" w:cs="微软雅黑"/>
          <w:b/>
          <w:bCs/>
          <w:spacing w:val="-7"/>
          <w:sz w:val="21"/>
          <w:szCs w:val="21"/>
          <w:lang w:val="en-US" w:eastAsia="zh-CN"/>
        </w:rPr>
        <w:t>二</w:t>
      </w:r>
      <w:r>
        <w:rPr>
          <w:rFonts w:hint="eastAsia" w:ascii="微软雅黑" w:hAnsi="微软雅黑" w:eastAsia="微软雅黑" w:cs="微软雅黑"/>
          <w:b/>
          <w:bCs/>
          <w:spacing w:val="-7"/>
          <w:sz w:val="21"/>
          <w:szCs w:val="21"/>
        </w:rPr>
        <w:t>条</w:t>
      </w:r>
      <w:r>
        <w:rPr>
          <w:rFonts w:hint="eastAsia" w:ascii="微软雅黑" w:hAnsi="微软雅黑" w:eastAsia="微软雅黑" w:cs="微软雅黑"/>
          <w:b/>
          <w:bCs/>
          <w:spacing w:val="-7"/>
          <w:sz w:val="21"/>
          <w:szCs w:val="21"/>
          <w:lang w:val="en-US" w:eastAsia="zh-CN"/>
        </w:rPr>
        <w:t xml:space="preserve">  </w:t>
      </w:r>
      <w:r>
        <w:rPr>
          <w:rFonts w:hint="eastAsia" w:ascii="微软雅黑" w:hAnsi="微软雅黑" w:eastAsia="微软雅黑" w:cs="微软雅黑"/>
          <w:b/>
          <w:bCs/>
          <w:spacing w:val="-7"/>
          <w:sz w:val="21"/>
          <w:szCs w:val="21"/>
        </w:rPr>
        <w:t>合同期限</w:t>
      </w:r>
    </w:p>
    <w:p w14:paraId="39E2E74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right="0" w:rightChars="0" w:firstLine="392" w:firstLineChars="200"/>
        <w:jc w:val="both"/>
        <w:textAlignment w:val="auto"/>
        <w:outlineLvl w:val="0"/>
        <w:rPr>
          <w:rFonts w:hint="eastAsia" w:ascii="微软雅黑" w:hAnsi="微软雅黑" w:eastAsia="微软雅黑" w:cs="微软雅黑"/>
          <w:b/>
          <w:bCs/>
          <w:spacing w:val="-7"/>
          <w:sz w:val="21"/>
          <w:szCs w:val="21"/>
          <w:lang w:eastAsia="zh-CN"/>
        </w:rPr>
      </w:pPr>
      <w:r>
        <w:rPr>
          <w:rFonts w:hint="eastAsia" w:ascii="微软雅黑" w:hAnsi="微软雅黑" w:eastAsia="微软雅黑" w:cs="微软雅黑"/>
          <w:b/>
          <w:bCs/>
          <w:spacing w:val="-7"/>
          <w:sz w:val="21"/>
          <w:szCs w:val="21"/>
          <w:lang w:eastAsia="zh-CN"/>
        </w:rPr>
        <w:t>服务期</w:t>
      </w:r>
      <w:r>
        <w:rPr>
          <w:rFonts w:hint="eastAsia" w:ascii="微软雅黑" w:hAnsi="微软雅黑" w:eastAsia="微软雅黑" w:cs="微软雅黑"/>
          <w:b/>
          <w:bCs/>
          <w:spacing w:val="-7"/>
          <w:sz w:val="21"/>
          <w:szCs w:val="21"/>
          <w:lang w:val="en-US" w:eastAsia="zh-CN"/>
        </w:rPr>
        <w:t>两</w:t>
      </w:r>
      <w:r>
        <w:rPr>
          <w:rFonts w:hint="eastAsia" w:ascii="微软雅黑" w:hAnsi="微软雅黑" w:eastAsia="微软雅黑" w:cs="微软雅黑"/>
          <w:b/>
          <w:bCs/>
          <w:spacing w:val="-7"/>
          <w:sz w:val="21"/>
          <w:szCs w:val="21"/>
          <w:lang w:eastAsia="zh-CN"/>
        </w:rPr>
        <w:t>年。</w:t>
      </w:r>
      <w:bookmarkStart w:id="10" w:name="_GoBack"/>
      <w:bookmarkEnd w:id="10"/>
    </w:p>
    <w:p w14:paraId="117C39BE">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第三条  投保险种、基准单价与报价规则</w:t>
      </w:r>
    </w:p>
    <w:p w14:paraId="6241D29A">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bookmarkStart w:id="0" w:name="heading_2"/>
      <w:r>
        <w:rPr>
          <w:rFonts w:hint="eastAsia" w:ascii="微软雅黑" w:hAnsi="微软雅黑" w:eastAsia="微软雅黑" w:cs="微软雅黑"/>
          <w:b/>
          <w:bCs/>
          <w:spacing w:val="-7"/>
          <w:sz w:val="21"/>
          <w:szCs w:val="21"/>
          <w:lang w:val="en-US" w:eastAsia="zh-CN"/>
        </w:rPr>
        <w:t>（一）投保险种</w:t>
      </w:r>
      <w:bookmarkEnd w:id="0"/>
    </w:p>
    <w:p w14:paraId="0B0146CB">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pacing w:val="-7"/>
          <w:sz w:val="21"/>
          <w:szCs w:val="21"/>
          <w:lang w:val="en-US" w:eastAsia="zh-CN"/>
        </w:rPr>
      </w:pPr>
      <w:r>
        <w:rPr>
          <w:rFonts w:hint="eastAsia" w:ascii="微软雅黑" w:hAnsi="微软雅黑" w:eastAsia="微软雅黑" w:cs="微软雅黑"/>
          <w:spacing w:val="-7"/>
          <w:sz w:val="21"/>
          <w:szCs w:val="21"/>
          <w:lang w:val="en-US" w:eastAsia="zh-CN"/>
        </w:rPr>
        <w:t>1.学生校方责任险（含附加境外责任、附加研学旅行责任），基准单价 5 元 / 生 / 年；</w:t>
      </w:r>
    </w:p>
    <w:p w14:paraId="00064CD3">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pacing w:val="-7"/>
          <w:sz w:val="21"/>
          <w:szCs w:val="21"/>
          <w:lang w:val="en-US" w:eastAsia="zh-CN"/>
        </w:rPr>
      </w:pPr>
      <w:r>
        <w:rPr>
          <w:rFonts w:hint="eastAsia" w:ascii="微软雅黑" w:hAnsi="微软雅黑" w:eastAsia="微软雅黑" w:cs="微软雅黑"/>
          <w:spacing w:val="-7"/>
          <w:sz w:val="21"/>
          <w:szCs w:val="21"/>
          <w:lang w:val="en-US" w:eastAsia="zh-CN"/>
        </w:rPr>
        <w:t>2.学生校方无过失责任险，基准单价 5 元 / 生 / 年；</w:t>
      </w:r>
    </w:p>
    <w:p w14:paraId="7E39DAD6">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pacing w:val="-7"/>
          <w:sz w:val="21"/>
          <w:szCs w:val="21"/>
          <w:lang w:val="en-US" w:eastAsia="zh-CN"/>
        </w:rPr>
      </w:pPr>
      <w:r>
        <w:rPr>
          <w:rFonts w:hint="eastAsia" w:ascii="微软雅黑" w:hAnsi="微软雅黑" w:eastAsia="微软雅黑" w:cs="微软雅黑"/>
          <w:spacing w:val="-7"/>
          <w:sz w:val="21"/>
          <w:szCs w:val="21"/>
          <w:lang w:val="en-US" w:eastAsia="zh-CN"/>
        </w:rPr>
        <w:t>3.教职工校方责任险，基准单价 100 元 / 人 / 年。</w:t>
      </w:r>
    </w:p>
    <w:p w14:paraId="7FC881E9">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bookmarkStart w:id="1" w:name="heading_3"/>
      <w:r>
        <w:rPr>
          <w:rFonts w:hint="eastAsia" w:ascii="微软雅黑" w:hAnsi="微软雅黑" w:eastAsia="微软雅黑" w:cs="微软雅黑"/>
          <w:b/>
          <w:bCs/>
          <w:spacing w:val="-7"/>
          <w:sz w:val="21"/>
          <w:szCs w:val="21"/>
          <w:lang w:val="en-US" w:eastAsia="zh-CN"/>
        </w:rPr>
        <w:t>（二）保费计价规则</w:t>
      </w:r>
      <w:bookmarkEnd w:id="1"/>
    </w:p>
    <w:p w14:paraId="75CB0489">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pacing w:val="-7"/>
          <w:sz w:val="21"/>
          <w:szCs w:val="21"/>
          <w:lang w:val="en-US" w:eastAsia="zh-CN"/>
        </w:rPr>
      </w:pPr>
      <w:r>
        <w:rPr>
          <w:rFonts w:hint="eastAsia" w:ascii="微软雅黑" w:hAnsi="微软雅黑" w:eastAsia="微软雅黑" w:cs="微软雅黑"/>
          <w:spacing w:val="-7"/>
          <w:sz w:val="21"/>
          <w:szCs w:val="21"/>
          <w:lang w:val="en-US" w:eastAsia="zh-CN"/>
        </w:rPr>
        <w:t>1.本项目整体中标下浮率：</w:t>
      </w:r>
      <w:r>
        <w:rPr>
          <w:rFonts w:hint="eastAsia" w:ascii="微软雅黑" w:hAnsi="微软雅黑" w:eastAsia="微软雅黑" w:cs="微软雅黑"/>
          <w:spacing w:val="-7"/>
          <w:sz w:val="21"/>
          <w:szCs w:val="21"/>
          <w:u w:val="single"/>
          <w:lang w:val="en-US" w:eastAsia="zh-CN"/>
        </w:rPr>
        <w:t xml:space="preserve">     </w:t>
      </w:r>
      <w:r>
        <w:rPr>
          <w:rFonts w:hint="eastAsia" w:ascii="微软雅黑" w:hAnsi="微软雅黑" w:eastAsia="微软雅黑" w:cs="微软雅黑"/>
          <w:spacing w:val="-7"/>
          <w:sz w:val="21"/>
          <w:szCs w:val="21"/>
          <w:lang w:val="en-US" w:eastAsia="zh-CN"/>
        </w:rPr>
        <w:t>%（合同期内固定不变，乙方不得调整）；</w:t>
      </w:r>
    </w:p>
    <w:p w14:paraId="5075B719">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pacing w:val="-7"/>
          <w:sz w:val="21"/>
          <w:szCs w:val="21"/>
          <w:lang w:val="en-US" w:eastAsia="zh-CN"/>
        </w:rPr>
      </w:pPr>
      <w:r>
        <w:rPr>
          <w:rFonts w:hint="eastAsia" w:ascii="微软雅黑" w:hAnsi="微软雅黑" w:eastAsia="微软雅黑" w:cs="微软雅黑"/>
          <w:spacing w:val="-7"/>
          <w:sz w:val="21"/>
          <w:szCs w:val="21"/>
          <w:lang w:val="en-US" w:eastAsia="zh-CN"/>
        </w:rPr>
        <w:t>2.执行单价 = 对应险种基准单价 ×（1 - 中标下浮率）；</w:t>
      </w:r>
    </w:p>
    <w:p w14:paraId="49E86CBE">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pacing w:val="-7"/>
          <w:sz w:val="21"/>
          <w:szCs w:val="21"/>
          <w:lang w:val="en-US" w:eastAsia="zh-CN"/>
        </w:rPr>
      </w:pPr>
      <w:r>
        <w:rPr>
          <w:rFonts w:hint="eastAsia" w:ascii="微软雅黑" w:hAnsi="微软雅黑" w:eastAsia="微软雅黑" w:cs="微软雅黑"/>
          <w:spacing w:val="-7"/>
          <w:sz w:val="21"/>
          <w:szCs w:val="21"/>
          <w:lang w:val="en-US" w:eastAsia="zh-CN"/>
        </w:rPr>
        <w:t>3.单险种年度保费 = 实际参保人数 × 基准单价 ×（1 - 中标下浮率）；</w:t>
      </w:r>
    </w:p>
    <w:p w14:paraId="5D7AB80A">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pacing w:val="-7"/>
          <w:sz w:val="21"/>
          <w:szCs w:val="21"/>
          <w:lang w:val="en-US" w:eastAsia="zh-CN"/>
        </w:rPr>
      </w:pPr>
      <w:r>
        <w:rPr>
          <w:rFonts w:hint="eastAsia" w:ascii="微软雅黑" w:hAnsi="微软雅黑" w:eastAsia="微软雅黑" w:cs="微软雅黑"/>
          <w:spacing w:val="-7"/>
          <w:sz w:val="21"/>
          <w:szCs w:val="21"/>
          <w:lang w:val="en-US" w:eastAsia="zh-CN"/>
        </w:rPr>
        <w:t>4.投标仅允许填报单一整体下浮率，不接受分险种差异化下浮、阶梯下浮，多下浮方案视为无效响应；</w:t>
      </w:r>
    </w:p>
    <w:p w14:paraId="4F553E3E">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pacing w:val="-6"/>
          <w:sz w:val="21"/>
          <w:szCs w:val="21"/>
          <w:lang w:val="en-US" w:eastAsia="zh-CN"/>
        </w:rPr>
      </w:pPr>
      <w:r>
        <w:rPr>
          <w:rFonts w:hint="eastAsia" w:ascii="微软雅黑" w:hAnsi="微软雅黑" w:eastAsia="微软雅黑" w:cs="微软雅黑"/>
          <w:spacing w:val="-7"/>
          <w:sz w:val="21"/>
          <w:szCs w:val="21"/>
          <w:lang w:val="en-US" w:eastAsia="zh-CN"/>
        </w:rPr>
        <w:t>5.报价包含承保、上门单证送达、现场查勘、理赔、法律援助、安全培训、应急协调、档案管理、人工、交通、税费、风险防控物资、应急垫付资金成本等本项目全部服务成本，采购人不再支付任何额外费用、垫付费用。</w:t>
      </w:r>
    </w:p>
    <w:p w14:paraId="5C8E2E1E">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第四条  保险赔偿限额（实质性条款，零免赔）</w:t>
      </w:r>
    </w:p>
    <w:p w14:paraId="1881E3A5">
      <w:pPr>
        <w:keepNext w:val="0"/>
        <w:keepLines w:val="0"/>
        <w:pageBreakBefore w:val="0"/>
        <w:widowControl w:val="0"/>
        <w:kinsoku/>
        <w:wordWrap/>
        <w:overflowPunct/>
        <w:topLinePunct w:val="0"/>
        <w:autoSpaceDE/>
        <w:autoSpaceDN/>
        <w:bidi w:val="0"/>
        <w:adjustRightInd/>
        <w:snapToGrid/>
        <w:spacing w:line="520" w:lineRule="exact"/>
        <w:ind w:left="0" w:leftChars="0" w:right="0" w:firstLine="392" w:firstLineChars="200"/>
        <w:jc w:val="both"/>
        <w:textAlignment w:val="auto"/>
        <w:outlineLvl w:val="0"/>
        <w:rPr>
          <w:rFonts w:hint="default" w:ascii="微软雅黑" w:hAnsi="微软雅黑" w:eastAsia="微软雅黑" w:cs="微软雅黑"/>
          <w:spacing w:val="-7"/>
          <w:sz w:val="21"/>
          <w:szCs w:val="21"/>
          <w:lang w:val="en-US" w:eastAsia="zh-CN"/>
        </w:rPr>
      </w:pPr>
      <w:bookmarkStart w:id="2" w:name="heading_5"/>
      <w:r>
        <w:rPr>
          <w:rFonts w:hint="default" w:ascii="微软雅黑" w:hAnsi="微软雅黑" w:eastAsia="微软雅黑" w:cs="微软雅黑"/>
          <w:spacing w:val="-7"/>
          <w:sz w:val="21"/>
          <w:szCs w:val="21"/>
          <w:lang w:val="en-US" w:eastAsia="zh-CN"/>
        </w:rPr>
        <w:t>1. 学生校方责任险</w:t>
      </w:r>
      <w:bookmarkEnd w:id="2"/>
    </w:p>
    <w:p w14:paraId="39CBEE68">
      <w:pPr>
        <w:keepNext w:val="0"/>
        <w:keepLines w:val="0"/>
        <w:pageBreakBefore w:val="0"/>
        <w:widowControl w:val="0"/>
        <w:kinsoku/>
        <w:wordWrap/>
        <w:overflowPunct/>
        <w:topLinePunct w:val="0"/>
        <w:autoSpaceDE/>
        <w:autoSpaceDN/>
        <w:bidi w:val="0"/>
        <w:adjustRightInd/>
        <w:snapToGrid/>
        <w:spacing w:line="520" w:lineRule="exact"/>
        <w:ind w:left="416" w:leftChars="130" w:right="0" w:firstLine="0" w:firstLineChars="0"/>
        <w:jc w:val="both"/>
        <w:textAlignment w:val="auto"/>
        <w:outlineLvl w:val="0"/>
        <w:rPr>
          <w:rFonts w:hint="default" w:ascii="微软雅黑" w:hAnsi="微软雅黑" w:eastAsia="微软雅黑" w:cs="微软雅黑"/>
          <w:spacing w:val="-7"/>
          <w:sz w:val="21"/>
          <w:szCs w:val="21"/>
          <w:lang w:val="en-US" w:eastAsia="zh-CN"/>
        </w:rPr>
      </w:pPr>
      <w:r>
        <w:rPr>
          <w:rFonts w:hint="default" w:ascii="微软雅黑" w:hAnsi="微软雅黑" w:eastAsia="微软雅黑" w:cs="微软雅黑"/>
          <w:spacing w:val="-7"/>
          <w:sz w:val="21"/>
          <w:szCs w:val="21"/>
          <w:lang w:val="en-US" w:eastAsia="zh-CN"/>
        </w:rPr>
        <w:t>（1）每生每年累计限额≥50 万元；</w:t>
      </w:r>
      <w:r>
        <w:rPr>
          <w:rFonts w:hint="default" w:ascii="微软雅黑" w:hAnsi="微软雅黑" w:eastAsia="微软雅黑" w:cs="微软雅黑"/>
          <w:spacing w:val="-7"/>
          <w:sz w:val="21"/>
          <w:szCs w:val="21"/>
          <w:lang w:val="en-US" w:eastAsia="zh-CN"/>
        </w:rPr>
        <w:br w:type="textWrapping"/>
      </w:r>
      <w:r>
        <w:rPr>
          <w:rFonts w:hint="default" w:ascii="微软雅黑" w:hAnsi="微软雅黑" w:eastAsia="微软雅黑" w:cs="微软雅黑"/>
          <w:spacing w:val="-7"/>
          <w:sz w:val="21"/>
          <w:szCs w:val="21"/>
          <w:lang w:val="en-US" w:eastAsia="zh-CN"/>
        </w:rPr>
        <w:t>（2）每校每次事故限额≥600 万元；</w:t>
      </w:r>
      <w:r>
        <w:rPr>
          <w:rFonts w:hint="default" w:ascii="微软雅黑" w:hAnsi="微软雅黑" w:eastAsia="微软雅黑" w:cs="微软雅黑"/>
          <w:spacing w:val="-7"/>
          <w:sz w:val="21"/>
          <w:szCs w:val="21"/>
          <w:lang w:val="en-US" w:eastAsia="zh-CN"/>
        </w:rPr>
        <w:br w:type="textWrapping"/>
      </w:r>
      <w:r>
        <w:rPr>
          <w:rFonts w:hint="default" w:ascii="微软雅黑" w:hAnsi="微软雅黑" w:eastAsia="微软雅黑" w:cs="微软雅黑"/>
          <w:spacing w:val="-7"/>
          <w:sz w:val="21"/>
          <w:szCs w:val="21"/>
          <w:lang w:val="en-US" w:eastAsia="zh-CN"/>
        </w:rPr>
        <w:t>（3）每校每年累计限额≥2000 万元；</w:t>
      </w:r>
    </w:p>
    <w:p w14:paraId="22CCE9E6">
      <w:pPr>
        <w:keepNext w:val="0"/>
        <w:keepLines w:val="0"/>
        <w:pageBreakBefore w:val="0"/>
        <w:widowControl w:val="0"/>
        <w:kinsoku/>
        <w:wordWrap/>
        <w:overflowPunct/>
        <w:topLinePunct w:val="0"/>
        <w:autoSpaceDE/>
        <w:autoSpaceDN/>
        <w:bidi w:val="0"/>
        <w:adjustRightInd/>
        <w:snapToGrid/>
        <w:spacing w:line="520" w:lineRule="exact"/>
        <w:ind w:left="0" w:leftChars="0" w:right="0" w:firstLine="392" w:firstLineChars="200"/>
        <w:jc w:val="both"/>
        <w:textAlignment w:val="auto"/>
        <w:outlineLvl w:val="0"/>
        <w:rPr>
          <w:rFonts w:hint="default" w:ascii="微软雅黑" w:hAnsi="微软雅黑" w:eastAsia="微软雅黑" w:cs="微软雅黑"/>
          <w:spacing w:val="-7"/>
          <w:sz w:val="21"/>
          <w:szCs w:val="21"/>
          <w:lang w:val="en-US" w:eastAsia="zh-CN"/>
        </w:rPr>
      </w:pPr>
      <w:r>
        <w:rPr>
          <w:rFonts w:hint="default" w:ascii="微软雅黑" w:hAnsi="微软雅黑" w:eastAsia="微软雅黑" w:cs="微软雅黑"/>
          <w:spacing w:val="-7"/>
          <w:sz w:val="21"/>
          <w:szCs w:val="21"/>
          <w:lang w:val="en-US" w:eastAsia="zh-CN"/>
        </w:rPr>
        <w:t>（4）无免赔额，赔付包含医疗费、伤残 / 死亡赔偿金、护理费、交通费、精神损害抚慰金、诉讼费等全部合理损失。</w:t>
      </w:r>
    </w:p>
    <w:p w14:paraId="6CF2D323">
      <w:pPr>
        <w:keepNext w:val="0"/>
        <w:keepLines w:val="0"/>
        <w:pageBreakBefore w:val="0"/>
        <w:widowControl w:val="0"/>
        <w:kinsoku/>
        <w:wordWrap/>
        <w:overflowPunct/>
        <w:topLinePunct w:val="0"/>
        <w:autoSpaceDE/>
        <w:autoSpaceDN/>
        <w:bidi w:val="0"/>
        <w:adjustRightInd/>
        <w:snapToGrid/>
        <w:spacing w:line="520" w:lineRule="exact"/>
        <w:ind w:left="0" w:leftChars="0" w:right="0" w:firstLine="392" w:firstLineChars="200"/>
        <w:jc w:val="both"/>
        <w:textAlignment w:val="auto"/>
        <w:outlineLvl w:val="0"/>
        <w:rPr>
          <w:rFonts w:hint="default" w:ascii="微软雅黑" w:hAnsi="微软雅黑" w:eastAsia="微软雅黑" w:cs="微软雅黑"/>
          <w:spacing w:val="-7"/>
          <w:sz w:val="21"/>
          <w:szCs w:val="21"/>
          <w:lang w:val="en-US" w:eastAsia="zh-CN"/>
        </w:rPr>
      </w:pPr>
      <w:bookmarkStart w:id="3" w:name="heading_6"/>
      <w:r>
        <w:rPr>
          <w:rFonts w:hint="default" w:ascii="微软雅黑" w:hAnsi="微软雅黑" w:eastAsia="微软雅黑" w:cs="微软雅黑"/>
          <w:spacing w:val="-7"/>
          <w:sz w:val="21"/>
          <w:szCs w:val="21"/>
          <w:lang w:val="en-US" w:eastAsia="zh-CN"/>
        </w:rPr>
        <w:t>2. 学生校方无过失责任险</w:t>
      </w:r>
      <w:bookmarkEnd w:id="3"/>
    </w:p>
    <w:p w14:paraId="45DCCDDF">
      <w:pPr>
        <w:keepNext w:val="0"/>
        <w:keepLines w:val="0"/>
        <w:pageBreakBefore w:val="0"/>
        <w:widowControl w:val="0"/>
        <w:kinsoku/>
        <w:wordWrap/>
        <w:overflowPunct/>
        <w:topLinePunct w:val="0"/>
        <w:autoSpaceDE/>
        <w:autoSpaceDN/>
        <w:bidi w:val="0"/>
        <w:adjustRightInd/>
        <w:snapToGrid/>
        <w:spacing w:line="520" w:lineRule="exact"/>
        <w:ind w:left="416" w:leftChars="130" w:right="0" w:firstLine="0" w:firstLineChars="0"/>
        <w:jc w:val="both"/>
        <w:textAlignment w:val="auto"/>
        <w:outlineLvl w:val="0"/>
        <w:rPr>
          <w:rFonts w:hint="default" w:ascii="微软雅黑" w:hAnsi="微软雅黑" w:eastAsia="微软雅黑" w:cs="微软雅黑"/>
          <w:spacing w:val="-7"/>
          <w:sz w:val="21"/>
          <w:szCs w:val="21"/>
          <w:lang w:val="en-US" w:eastAsia="zh-CN"/>
        </w:rPr>
      </w:pPr>
      <w:r>
        <w:rPr>
          <w:rFonts w:hint="default" w:ascii="微软雅黑" w:hAnsi="微软雅黑" w:eastAsia="微软雅黑" w:cs="微软雅黑"/>
          <w:spacing w:val="-7"/>
          <w:sz w:val="21"/>
          <w:szCs w:val="21"/>
          <w:lang w:val="en-US" w:eastAsia="zh-CN"/>
        </w:rPr>
        <w:t>（1）每生每年累计限额≥16 万元；</w:t>
      </w:r>
      <w:r>
        <w:rPr>
          <w:rFonts w:hint="default" w:ascii="微软雅黑" w:hAnsi="微软雅黑" w:eastAsia="微软雅黑" w:cs="微软雅黑"/>
          <w:spacing w:val="-7"/>
          <w:sz w:val="21"/>
          <w:szCs w:val="21"/>
          <w:lang w:val="en-US" w:eastAsia="zh-CN"/>
        </w:rPr>
        <w:br w:type="textWrapping"/>
      </w:r>
      <w:r>
        <w:rPr>
          <w:rFonts w:hint="default" w:ascii="微软雅黑" w:hAnsi="微软雅黑" w:eastAsia="微软雅黑" w:cs="微软雅黑"/>
          <w:spacing w:val="-7"/>
          <w:sz w:val="21"/>
          <w:szCs w:val="21"/>
          <w:lang w:val="en-US" w:eastAsia="zh-CN"/>
        </w:rPr>
        <w:t>（2）每校每次事故限额≥200 万元；</w:t>
      </w:r>
      <w:r>
        <w:rPr>
          <w:rFonts w:hint="default" w:ascii="微软雅黑" w:hAnsi="微软雅黑" w:eastAsia="微软雅黑" w:cs="微软雅黑"/>
          <w:spacing w:val="-7"/>
          <w:sz w:val="21"/>
          <w:szCs w:val="21"/>
          <w:lang w:val="en-US" w:eastAsia="zh-CN"/>
        </w:rPr>
        <w:br w:type="textWrapping"/>
      </w:r>
      <w:r>
        <w:rPr>
          <w:rFonts w:hint="default" w:ascii="微软雅黑" w:hAnsi="微软雅黑" w:eastAsia="微软雅黑" w:cs="微软雅黑"/>
          <w:spacing w:val="-7"/>
          <w:sz w:val="21"/>
          <w:szCs w:val="21"/>
          <w:lang w:val="en-US" w:eastAsia="zh-CN"/>
        </w:rPr>
        <w:t>（3）每校每年累计限额≥600 万元；</w:t>
      </w:r>
      <w:r>
        <w:rPr>
          <w:rFonts w:hint="default" w:ascii="微软雅黑" w:hAnsi="微软雅黑" w:eastAsia="微软雅黑" w:cs="微软雅黑"/>
          <w:spacing w:val="-7"/>
          <w:sz w:val="21"/>
          <w:szCs w:val="21"/>
          <w:lang w:val="en-US" w:eastAsia="zh-CN"/>
        </w:rPr>
        <w:br w:type="textWrapping"/>
      </w:r>
      <w:r>
        <w:rPr>
          <w:rFonts w:hint="default" w:ascii="微软雅黑" w:hAnsi="微软雅黑" w:eastAsia="微软雅黑" w:cs="微软雅黑"/>
          <w:spacing w:val="-7"/>
          <w:sz w:val="21"/>
          <w:szCs w:val="21"/>
          <w:lang w:val="en-US" w:eastAsia="zh-CN"/>
        </w:rPr>
        <w:t>（4）无免赔、无分项赔付比例限制。</w:t>
      </w:r>
    </w:p>
    <w:p w14:paraId="2F99557B">
      <w:pPr>
        <w:keepNext w:val="0"/>
        <w:keepLines w:val="0"/>
        <w:pageBreakBefore w:val="0"/>
        <w:widowControl w:val="0"/>
        <w:kinsoku/>
        <w:wordWrap/>
        <w:overflowPunct/>
        <w:topLinePunct w:val="0"/>
        <w:autoSpaceDE/>
        <w:autoSpaceDN/>
        <w:bidi w:val="0"/>
        <w:adjustRightInd/>
        <w:snapToGrid/>
        <w:spacing w:line="520" w:lineRule="exact"/>
        <w:ind w:left="0" w:leftChars="0" w:right="0" w:firstLine="392" w:firstLineChars="200"/>
        <w:jc w:val="both"/>
        <w:textAlignment w:val="auto"/>
        <w:outlineLvl w:val="0"/>
        <w:rPr>
          <w:rFonts w:hint="default" w:ascii="微软雅黑" w:hAnsi="微软雅黑" w:eastAsia="微软雅黑" w:cs="微软雅黑"/>
          <w:spacing w:val="-7"/>
          <w:sz w:val="21"/>
          <w:szCs w:val="21"/>
          <w:lang w:val="en-US" w:eastAsia="zh-CN"/>
        </w:rPr>
      </w:pPr>
      <w:bookmarkStart w:id="4" w:name="heading_7"/>
      <w:r>
        <w:rPr>
          <w:rFonts w:hint="default" w:ascii="微软雅黑" w:hAnsi="微软雅黑" w:eastAsia="微软雅黑" w:cs="微软雅黑"/>
          <w:spacing w:val="-7"/>
          <w:sz w:val="21"/>
          <w:szCs w:val="21"/>
          <w:lang w:val="en-US" w:eastAsia="zh-CN"/>
        </w:rPr>
        <w:t>3. 教职工校方责任险</w:t>
      </w:r>
      <w:bookmarkEnd w:id="4"/>
    </w:p>
    <w:p w14:paraId="2BA5D69C">
      <w:pPr>
        <w:keepNext w:val="0"/>
        <w:keepLines w:val="0"/>
        <w:pageBreakBefore w:val="0"/>
        <w:widowControl w:val="0"/>
        <w:kinsoku/>
        <w:wordWrap/>
        <w:overflowPunct/>
        <w:topLinePunct w:val="0"/>
        <w:autoSpaceDE/>
        <w:autoSpaceDN/>
        <w:bidi w:val="0"/>
        <w:adjustRightInd/>
        <w:snapToGrid/>
        <w:spacing w:line="520" w:lineRule="exact"/>
        <w:ind w:left="416" w:leftChars="130" w:right="0" w:firstLine="0" w:firstLineChars="0"/>
        <w:jc w:val="both"/>
        <w:textAlignment w:val="auto"/>
        <w:outlineLvl w:val="0"/>
        <w:rPr>
          <w:rFonts w:hint="default" w:ascii="微软雅黑" w:hAnsi="微软雅黑" w:eastAsia="微软雅黑" w:cs="微软雅黑"/>
          <w:spacing w:val="-7"/>
          <w:sz w:val="21"/>
          <w:szCs w:val="21"/>
          <w:lang w:val="en-US" w:eastAsia="zh-CN"/>
        </w:rPr>
      </w:pPr>
      <w:r>
        <w:rPr>
          <w:rFonts w:hint="default" w:ascii="微软雅黑" w:hAnsi="微软雅黑" w:eastAsia="微软雅黑" w:cs="微软雅黑"/>
          <w:spacing w:val="-7"/>
          <w:sz w:val="21"/>
          <w:szCs w:val="21"/>
          <w:lang w:val="en-US" w:eastAsia="zh-CN"/>
        </w:rPr>
        <w:t>（1）每人伤亡限额≥70 万元；</w:t>
      </w:r>
      <w:r>
        <w:rPr>
          <w:rFonts w:hint="default" w:ascii="微软雅黑" w:hAnsi="微软雅黑" w:eastAsia="微软雅黑" w:cs="微软雅黑"/>
          <w:spacing w:val="-7"/>
          <w:sz w:val="21"/>
          <w:szCs w:val="21"/>
          <w:lang w:val="en-US" w:eastAsia="zh-CN"/>
        </w:rPr>
        <w:br w:type="textWrapping"/>
      </w:r>
      <w:r>
        <w:rPr>
          <w:rFonts w:hint="default" w:ascii="微软雅黑" w:hAnsi="微软雅黑" w:eastAsia="微软雅黑" w:cs="微软雅黑"/>
          <w:spacing w:val="-7"/>
          <w:sz w:val="21"/>
          <w:szCs w:val="21"/>
          <w:lang w:val="en-US" w:eastAsia="zh-CN"/>
        </w:rPr>
        <w:t>（2）伤残单项限额≥10 万元；</w:t>
      </w:r>
      <w:r>
        <w:rPr>
          <w:rFonts w:hint="default" w:ascii="微软雅黑" w:hAnsi="微软雅黑" w:eastAsia="微软雅黑" w:cs="微软雅黑"/>
          <w:spacing w:val="-7"/>
          <w:sz w:val="21"/>
          <w:szCs w:val="21"/>
          <w:lang w:val="en-US" w:eastAsia="zh-CN"/>
        </w:rPr>
        <w:br w:type="textWrapping"/>
      </w:r>
      <w:r>
        <w:rPr>
          <w:rFonts w:hint="default" w:ascii="微软雅黑" w:hAnsi="微软雅黑" w:eastAsia="微软雅黑" w:cs="微软雅黑"/>
          <w:spacing w:val="-7"/>
          <w:sz w:val="21"/>
          <w:szCs w:val="21"/>
          <w:lang w:val="en-US" w:eastAsia="zh-CN"/>
        </w:rPr>
        <w:t>（3）每次事故限额≥1000 万元；</w:t>
      </w:r>
      <w:r>
        <w:rPr>
          <w:rFonts w:hint="default" w:ascii="微软雅黑" w:hAnsi="微软雅黑" w:eastAsia="微软雅黑" w:cs="微软雅黑"/>
          <w:spacing w:val="-7"/>
          <w:sz w:val="21"/>
          <w:szCs w:val="21"/>
          <w:lang w:val="en-US" w:eastAsia="zh-CN"/>
        </w:rPr>
        <w:br w:type="textWrapping"/>
      </w:r>
      <w:r>
        <w:rPr>
          <w:rFonts w:hint="default" w:ascii="微软雅黑" w:hAnsi="微软雅黑" w:eastAsia="微软雅黑" w:cs="微软雅黑"/>
          <w:spacing w:val="-7"/>
          <w:sz w:val="21"/>
          <w:szCs w:val="21"/>
          <w:lang w:val="en-US" w:eastAsia="zh-CN"/>
        </w:rPr>
        <w:t>（4）法律费用单项限额≥200 万元；</w:t>
      </w:r>
      <w:r>
        <w:rPr>
          <w:rFonts w:hint="default" w:ascii="微软雅黑" w:hAnsi="微软雅黑" w:eastAsia="微软雅黑" w:cs="微软雅黑"/>
          <w:spacing w:val="-7"/>
          <w:sz w:val="21"/>
          <w:szCs w:val="21"/>
          <w:lang w:val="en-US" w:eastAsia="zh-CN"/>
        </w:rPr>
        <w:br w:type="textWrapping"/>
      </w:r>
      <w:r>
        <w:rPr>
          <w:rFonts w:hint="default" w:ascii="微软雅黑" w:hAnsi="微软雅黑" w:eastAsia="微软雅黑" w:cs="微软雅黑"/>
          <w:spacing w:val="-7"/>
          <w:sz w:val="21"/>
          <w:szCs w:val="21"/>
          <w:lang w:val="en-US" w:eastAsia="zh-CN"/>
        </w:rPr>
        <w:t>（5）无免赔，覆盖工伤、人身损害全部合理维权支出。</w:t>
      </w:r>
    </w:p>
    <w:p w14:paraId="5AD0DE98">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第五条   服务承诺</w:t>
      </w:r>
    </w:p>
    <w:p w14:paraId="18A561B0">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rPr>
          <w:rFonts w:hint="eastAsia" w:ascii="微软雅黑" w:hAnsi="微软雅黑" w:eastAsia="微软雅黑" w:cs="微软雅黑"/>
          <w:spacing w:val="-1"/>
          <w:sz w:val="21"/>
          <w:szCs w:val="21"/>
          <w:lang w:val="en-US" w:eastAsia="zh-CN"/>
        </w:rPr>
      </w:pPr>
      <w:r>
        <w:rPr>
          <w:rFonts w:hint="eastAsia" w:ascii="微软雅黑" w:hAnsi="微软雅黑" w:eastAsia="微软雅黑" w:cs="微软雅黑"/>
          <w:spacing w:val="-1"/>
          <w:sz w:val="21"/>
          <w:szCs w:val="21"/>
          <w:lang w:val="en-US" w:eastAsia="zh-CN"/>
        </w:rPr>
        <w:t>以响应文件、澄清表（函）、合同等相关文件为准。</w:t>
      </w:r>
    </w:p>
    <w:p w14:paraId="51771D2B">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第六条  甲方的权利和义务</w:t>
      </w:r>
    </w:p>
    <w:p w14:paraId="42EA9851">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rPr>
          <w:rFonts w:hint="eastAsia" w:ascii="微软雅黑" w:hAnsi="微软雅黑" w:eastAsia="微软雅黑" w:cs="微软雅黑"/>
          <w:spacing w:val="-1"/>
          <w:sz w:val="21"/>
          <w:szCs w:val="21"/>
          <w:lang w:val="en-US" w:eastAsia="zh-CN"/>
        </w:rPr>
      </w:pPr>
      <w:r>
        <w:rPr>
          <w:rFonts w:hint="eastAsia" w:ascii="微软雅黑" w:hAnsi="微软雅黑" w:eastAsia="微软雅黑" w:cs="微软雅黑"/>
          <w:spacing w:val="-1"/>
          <w:sz w:val="21"/>
          <w:szCs w:val="21"/>
          <w:lang w:val="en-US" w:eastAsia="zh-CN"/>
        </w:rPr>
        <w:t>1、甲方有权对合同规定范围内乙方的服务行为进行监督和检查，拥有监管权。对甲方认为不合理的部分有权下达整改通知书，并要求乙方限期整改。</w:t>
      </w:r>
    </w:p>
    <w:p w14:paraId="5B05BE0D">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rPr>
          <w:rFonts w:hint="eastAsia" w:ascii="微软雅黑" w:hAnsi="微软雅黑" w:eastAsia="微软雅黑" w:cs="微软雅黑"/>
          <w:spacing w:val="-1"/>
          <w:sz w:val="21"/>
          <w:szCs w:val="21"/>
          <w:lang w:val="en-US" w:eastAsia="zh-CN"/>
        </w:rPr>
      </w:pPr>
      <w:r>
        <w:rPr>
          <w:rFonts w:hint="eastAsia" w:ascii="微软雅黑" w:hAnsi="微软雅黑" w:eastAsia="微软雅黑" w:cs="微软雅黑"/>
          <w:spacing w:val="-1"/>
          <w:sz w:val="21"/>
          <w:szCs w:val="21"/>
          <w:lang w:val="en-US" w:eastAsia="zh-CN"/>
        </w:rPr>
        <w:t>2、负责检查监督乙方管理工作的实施及制度的执行情况。</w:t>
      </w:r>
    </w:p>
    <w:p w14:paraId="5BD117EB">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rPr>
          <w:rFonts w:hint="eastAsia" w:ascii="微软雅黑" w:hAnsi="微软雅黑" w:eastAsia="微软雅黑" w:cs="微软雅黑"/>
          <w:spacing w:val="-1"/>
          <w:sz w:val="21"/>
          <w:szCs w:val="21"/>
          <w:lang w:val="en-US" w:eastAsia="zh-CN"/>
        </w:rPr>
      </w:pPr>
      <w:r>
        <w:rPr>
          <w:rFonts w:hint="eastAsia" w:ascii="微软雅黑" w:hAnsi="微软雅黑" w:eastAsia="微软雅黑" w:cs="微软雅黑"/>
          <w:spacing w:val="-1"/>
          <w:sz w:val="21"/>
          <w:szCs w:val="21"/>
          <w:lang w:val="en-US" w:eastAsia="zh-CN"/>
        </w:rPr>
        <w:t>3、根据本合同规定，按时向乙方支付应付服务费用。</w:t>
      </w:r>
    </w:p>
    <w:p w14:paraId="6C411A73">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rPr>
          <w:rFonts w:hint="eastAsia" w:ascii="微软雅黑" w:hAnsi="微软雅黑" w:eastAsia="微软雅黑" w:cs="微软雅黑"/>
          <w:spacing w:val="-1"/>
          <w:sz w:val="21"/>
          <w:szCs w:val="21"/>
          <w:lang w:val="en-US" w:eastAsia="zh-CN"/>
        </w:rPr>
      </w:pPr>
      <w:r>
        <w:rPr>
          <w:rFonts w:hint="eastAsia" w:ascii="微软雅黑" w:hAnsi="微软雅黑" w:eastAsia="微软雅黑" w:cs="微软雅黑"/>
          <w:spacing w:val="-1"/>
          <w:sz w:val="21"/>
          <w:szCs w:val="21"/>
          <w:lang w:val="en-US" w:eastAsia="zh-CN"/>
        </w:rPr>
        <w:t>4、国家法律、法规所规定由甲方承担的其它责任。</w:t>
      </w:r>
    </w:p>
    <w:p w14:paraId="4397EE22">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第七条  乙方的权利和义务</w:t>
      </w:r>
    </w:p>
    <w:p w14:paraId="6F71882A">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b/>
          <w:bCs/>
          <w:sz w:val="21"/>
          <w:szCs w:val="21"/>
        </w:rPr>
      </w:pPr>
      <w:bookmarkStart w:id="5" w:name="heading_10"/>
      <w:r>
        <w:rPr>
          <w:rFonts w:hint="eastAsia" w:ascii="微软雅黑" w:hAnsi="微软雅黑" w:eastAsia="微软雅黑" w:cs="微软雅黑"/>
          <w:b/>
          <w:bCs/>
          <w:sz w:val="21"/>
          <w:szCs w:val="21"/>
        </w:rPr>
        <w:t>一、承保服务</w:t>
      </w:r>
      <w:bookmarkEnd w:id="5"/>
    </w:p>
    <w:p w14:paraId="38AD410C">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sz w:val="21"/>
          <w:szCs w:val="21"/>
        </w:rPr>
        <w:t>设立甲方专属服务专班，配置持证项目负责人、承保、理赔、法务人员，对接人员具备 2 年以上校责险服务经验；7×8 小时在岗，24 小时应急电话畅通。</w:t>
      </w:r>
    </w:p>
    <w:p w14:paraId="7815DAB2">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2.</w:t>
      </w:r>
      <w:r>
        <w:rPr>
          <w:rFonts w:hint="eastAsia" w:ascii="微软雅黑" w:hAnsi="微软雅黑" w:eastAsia="微软雅黑" w:cs="微软雅黑"/>
          <w:sz w:val="21"/>
          <w:szCs w:val="21"/>
        </w:rPr>
        <w:t>每学期组织不少于 2 场全县校园安全、保险政策专题培训。</w:t>
      </w:r>
    </w:p>
    <w:p w14:paraId="191FBADC">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3.</w:t>
      </w:r>
      <w:r>
        <w:rPr>
          <w:rFonts w:hint="eastAsia" w:ascii="微软雅黑" w:hAnsi="微软雅黑" w:eastAsia="微软雅黑" w:cs="微软雅黑"/>
          <w:sz w:val="21"/>
          <w:szCs w:val="21"/>
        </w:rPr>
        <w:t>收到完整投保材料 5 个工作日内出具纸质保单、增值税发票、电子保单并上门送达；人员、学校更名、合并、增减等保全变更，收齐材料 5 个工作日出具批单及发票，同步更新全县投保台账。</w:t>
      </w:r>
    </w:p>
    <w:p w14:paraId="388473C6">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4.</w:t>
      </w:r>
      <w:r>
        <w:rPr>
          <w:rFonts w:hint="eastAsia" w:ascii="微软雅黑" w:hAnsi="微软雅黑" w:eastAsia="微软雅黑" w:cs="微软雅黑"/>
          <w:sz w:val="21"/>
          <w:szCs w:val="21"/>
        </w:rPr>
        <w:t>每月 5 日前向甲方书面报送投保明细、人员变动、单证发放汇总台账；严禁跨区域展业、强制 / 诱导学校搭配其他商业保险。</w:t>
      </w:r>
    </w:p>
    <w:p w14:paraId="33BEDD64">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5.</w:t>
      </w:r>
      <w:r>
        <w:rPr>
          <w:rFonts w:hint="eastAsia" w:ascii="微软雅黑" w:hAnsi="微软雅黑" w:eastAsia="微软雅黑" w:cs="微软雅黑"/>
          <w:sz w:val="21"/>
          <w:szCs w:val="21"/>
        </w:rPr>
        <w:t xml:space="preserve">项目核心工作人员更换须提前 </w:t>
      </w:r>
      <w:r>
        <w:rPr>
          <w:rFonts w:hint="eastAsia" w:ascii="微软雅黑" w:hAnsi="微软雅黑" w:eastAsia="微软雅黑" w:cs="微软雅黑"/>
          <w:sz w:val="21"/>
          <w:szCs w:val="21"/>
          <w:lang w:val="en-US" w:eastAsia="zh-CN"/>
        </w:rPr>
        <w:t>5</w:t>
      </w:r>
      <w:r>
        <w:rPr>
          <w:rFonts w:hint="eastAsia" w:ascii="微软雅黑" w:hAnsi="微软雅黑" w:eastAsia="微软雅黑" w:cs="微软雅黑"/>
          <w:sz w:val="21"/>
          <w:szCs w:val="21"/>
        </w:rPr>
        <w:t xml:space="preserve"> 日书面报备甲方，未经同意不得调换。</w:t>
      </w:r>
    </w:p>
    <w:p w14:paraId="77BD1744">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default"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6.满足采购需求及合同约定。</w:t>
      </w:r>
    </w:p>
    <w:p w14:paraId="1B688F75">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bookmarkStart w:id="6" w:name="heading_11"/>
      <w:r>
        <w:rPr>
          <w:rFonts w:hint="eastAsia" w:ascii="微软雅黑" w:hAnsi="微软雅黑" w:eastAsia="微软雅黑" w:cs="微软雅黑"/>
          <w:b/>
          <w:bCs/>
          <w:sz w:val="21"/>
          <w:szCs w:val="21"/>
        </w:rPr>
        <w:t>二、理赔服务</w:t>
      </w:r>
      <w:bookmarkEnd w:id="6"/>
    </w:p>
    <w:p w14:paraId="7045B2FF">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sz w:val="21"/>
          <w:szCs w:val="21"/>
        </w:rPr>
        <w:t>在</w:t>
      </w:r>
      <w:r>
        <w:rPr>
          <w:rFonts w:hint="eastAsia" w:ascii="微软雅黑" w:hAnsi="微软雅黑" w:eastAsia="微软雅黑" w:cs="微软雅黑"/>
          <w:sz w:val="21"/>
          <w:szCs w:val="21"/>
          <w:lang w:val="en-US" w:eastAsia="zh-CN"/>
        </w:rPr>
        <w:t>南郑区</w:t>
      </w:r>
      <w:r>
        <w:rPr>
          <w:rFonts w:hint="eastAsia" w:ascii="微软雅黑" w:hAnsi="微软雅黑" w:eastAsia="微软雅黑" w:cs="微软雅黑"/>
          <w:sz w:val="21"/>
          <w:szCs w:val="21"/>
        </w:rPr>
        <w:t>设立专属理赔办公点，配备专职持证理赔人员与查勘设备，对外统一公示报案、投诉热线。</w:t>
      </w:r>
    </w:p>
    <w:p w14:paraId="631317C9">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2.</w:t>
      </w:r>
      <w:r>
        <w:rPr>
          <w:rFonts w:hint="eastAsia" w:ascii="微软雅黑" w:hAnsi="微软雅黑" w:eastAsia="微软雅黑" w:cs="微软雅黑"/>
          <w:sz w:val="21"/>
          <w:szCs w:val="21"/>
        </w:rPr>
        <w:t>时效标准：工作日报案 30 分钟响应；一般伤害 2 小时到场查勘；重伤、死亡、群体性事故 1 小时到场；甲方反馈投诉、报案重要事项 3 个工作日书面答复。</w:t>
      </w:r>
    </w:p>
    <w:p w14:paraId="67F10774">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3.</w:t>
      </w:r>
      <w:r>
        <w:rPr>
          <w:rFonts w:hint="eastAsia" w:ascii="微软雅黑" w:hAnsi="微软雅黑" w:eastAsia="微软雅黑" w:cs="微软雅黑"/>
          <w:sz w:val="21"/>
          <w:szCs w:val="21"/>
        </w:rPr>
        <w:t>材料齐全案件 5 个工作日出具赔款通知书；重大疑难案件最长 25 个工作日结案；拒赔案件出具完整书面法律说明。</w:t>
      </w:r>
    </w:p>
    <w:p w14:paraId="25520E39">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4.</w:t>
      </w:r>
      <w:r>
        <w:rPr>
          <w:rFonts w:hint="eastAsia" w:ascii="微软雅黑" w:hAnsi="微软雅黑" w:eastAsia="微软雅黑" w:cs="微软雅黑"/>
          <w:sz w:val="21"/>
          <w:szCs w:val="21"/>
        </w:rPr>
        <w:t>小额快赔：1000 元以下 2 个工作日到账，3000 元以下 3 个工作日到账，5000 元以下 5 个工作日到账，赔款直接拨付校方或受害方账户。</w:t>
      </w:r>
    </w:p>
    <w:p w14:paraId="55E1FD0D">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5.</w:t>
      </w:r>
      <w:r>
        <w:rPr>
          <w:rFonts w:hint="eastAsia" w:ascii="微软雅黑" w:hAnsi="微软雅黑" w:eastAsia="微软雅黑" w:cs="微软雅黑"/>
          <w:sz w:val="21"/>
          <w:szCs w:val="21"/>
        </w:rPr>
        <w:t>重大事故预付：责任清晰、赔偿初步达成后 5 个工作日内预付预估赔款 50%；根据甲方书面申请提供应急医疗费垫付服务。</w:t>
      </w:r>
    </w:p>
    <w:p w14:paraId="07D72A49">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6.</w:t>
      </w:r>
      <w:r>
        <w:rPr>
          <w:rFonts w:hint="eastAsia" w:ascii="微软雅黑" w:hAnsi="微软雅黑" w:eastAsia="微软雅黑" w:cs="微软雅黑"/>
          <w:sz w:val="21"/>
          <w:szCs w:val="21"/>
        </w:rPr>
        <w:t>通融赔付：乙方初步判定不属于保险责任，甲方出具书面协调意见后，3 个工作日出具赔付方案酌情赔付。</w:t>
      </w:r>
    </w:p>
    <w:p w14:paraId="77B34B45">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7.</w:t>
      </w:r>
      <w:r>
        <w:rPr>
          <w:rFonts w:hint="eastAsia" w:ascii="微软雅黑" w:hAnsi="微软雅黑" w:eastAsia="微软雅黑" w:cs="微软雅黑"/>
          <w:sz w:val="21"/>
          <w:szCs w:val="21"/>
        </w:rPr>
        <w:t>全部报案、查勘、赔付档案完整归档，档案留存不少于 10 年。</w:t>
      </w:r>
    </w:p>
    <w:p w14:paraId="2C2BB8C7">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b/>
          <w:bCs/>
          <w:sz w:val="21"/>
          <w:szCs w:val="21"/>
        </w:rPr>
      </w:pPr>
      <w:bookmarkStart w:id="7" w:name="heading_12"/>
      <w:r>
        <w:rPr>
          <w:rFonts w:hint="eastAsia" w:ascii="微软雅黑" w:hAnsi="微软雅黑" w:eastAsia="微软雅黑" w:cs="微软雅黑"/>
          <w:b/>
          <w:bCs/>
          <w:sz w:val="21"/>
          <w:szCs w:val="21"/>
        </w:rPr>
        <w:t>三、法律援助服务</w:t>
      </w:r>
      <w:bookmarkEnd w:id="7"/>
    </w:p>
    <w:p w14:paraId="06082215">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sz w:val="21"/>
          <w:szCs w:val="21"/>
        </w:rPr>
        <w:t>组建专属校园法务小组，事故全程免费提供法律指导，居中调解家校赔偿纠纷。</w:t>
      </w:r>
    </w:p>
    <w:p w14:paraId="66C20D7B">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2.</w:t>
      </w:r>
      <w:r>
        <w:rPr>
          <w:rFonts w:hint="eastAsia" w:ascii="微软雅黑" w:hAnsi="微软雅黑" w:eastAsia="微软雅黑" w:cs="微软雅黑"/>
          <w:sz w:val="21"/>
          <w:szCs w:val="21"/>
        </w:rPr>
        <w:t>协商不成进入诉讼的，乙方无偿指派具备人身损害办案经验律师出庭代理；甲方自行聘请律师的，乙方认可法院判决，不得拒赔少赔。</w:t>
      </w:r>
    </w:p>
    <w:p w14:paraId="2C520F2B">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3.</w:t>
      </w:r>
      <w:r>
        <w:rPr>
          <w:rFonts w:hint="eastAsia" w:ascii="微软雅黑" w:hAnsi="微软雅黑" w:eastAsia="微软雅黑" w:cs="微软雅黑"/>
          <w:sz w:val="21"/>
          <w:szCs w:val="21"/>
        </w:rPr>
        <w:t>因乙方法律服务缺位、推诿造成校方经济损失，全部由乙方承担。</w:t>
      </w:r>
    </w:p>
    <w:p w14:paraId="1953C977">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b/>
          <w:bCs/>
          <w:sz w:val="21"/>
          <w:szCs w:val="21"/>
        </w:rPr>
      </w:pPr>
      <w:bookmarkStart w:id="8" w:name="heading_13"/>
      <w:r>
        <w:rPr>
          <w:rFonts w:hint="eastAsia" w:ascii="微软雅黑" w:hAnsi="微软雅黑" w:eastAsia="微软雅黑" w:cs="微软雅黑"/>
          <w:b/>
          <w:bCs/>
          <w:sz w:val="21"/>
          <w:szCs w:val="21"/>
        </w:rPr>
        <w:t>四、增值与风险防控服务</w:t>
      </w:r>
      <w:bookmarkEnd w:id="8"/>
    </w:p>
    <w:p w14:paraId="1D4F6B10">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sz w:val="21"/>
          <w:szCs w:val="21"/>
        </w:rPr>
        <w:t>大型活动（运动会、研学、汇演等）免费提供风险指导、定制保障方案；每年组织校园安全应急演练。</w:t>
      </w:r>
    </w:p>
    <w:p w14:paraId="041CFCD6">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2.</w:t>
      </w:r>
      <w:r>
        <w:rPr>
          <w:rFonts w:hint="eastAsia" w:ascii="微软雅黑" w:hAnsi="微软雅黑" w:eastAsia="微软雅黑" w:cs="微软雅黑"/>
          <w:sz w:val="21"/>
          <w:szCs w:val="21"/>
        </w:rPr>
        <w:t>每季度提交全县校园风险分析报告，年度提交完整工作汇总报告。</w:t>
      </w:r>
    </w:p>
    <w:p w14:paraId="0CC978AE">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3.</w:t>
      </w:r>
      <w:r>
        <w:rPr>
          <w:rFonts w:hint="eastAsia" w:ascii="微软雅黑" w:hAnsi="微软雅黑" w:eastAsia="微软雅黑" w:cs="微软雅黑"/>
          <w:sz w:val="21"/>
          <w:szCs w:val="21"/>
        </w:rPr>
        <w:t>按年度实收总保费不低于 8% 设立校园风险防控专项经费，用于隐患排查、应急物资、安全培训等，每季度向甲方提交经费使用台账。</w:t>
      </w:r>
    </w:p>
    <w:p w14:paraId="5892058B">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4.</w:t>
      </w:r>
      <w:r>
        <w:rPr>
          <w:rFonts w:hint="eastAsia" w:ascii="微软雅黑" w:hAnsi="微软雅黑" w:eastAsia="微软雅黑" w:cs="微软雅黑"/>
          <w:sz w:val="21"/>
          <w:szCs w:val="21"/>
        </w:rPr>
        <w:t>履行磋商响应文件承诺的本地化特色增值服务：</w:t>
      </w:r>
      <w:r>
        <w:rPr>
          <w:rFonts w:hint="eastAsia" w:ascii="微软雅黑" w:hAnsi="微软雅黑" w:eastAsia="微软雅黑" w:cs="微软雅黑"/>
          <w:sz w:val="21"/>
          <w:szCs w:val="21"/>
          <w:u w:val="single"/>
          <w:lang w:val="en-US" w:eastAsia="zh-CN"/>
        </w:rPr>
        <w:t xml:space="preserve">                      </w:t>
      </w:r>
      <w:r>
        <w:rPr>
          <w:rFonts w:hint="eastAsia" w:ascii="微软雅黑" w:hAnsi="微软雅黑" w:eastAsia="微软雅黑" w:cs="微软雅黑"/>
          <w:sz w:val="21"/>
          <w:szCs w:val="21"/>
        </w:rPr>
        <w:t>。</w:t>
      </w:r>
    </w:p>
    <w:p w14:paraId="37D4C66D">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第八条  结算与付款方式</w:t>
      </w:r>
    </w:p>
    <w:p w14:paraId="46D66678">
      <w:pPr>
        <w:keepNext w:val="0"/>
        <w:keepLines w:val="0"/>
        <w:pageBreakBefore w:val="0"/>
        <w:widowControl w:val="0"/>
        <w:kinsoku/>
        <w:wordWrap/>
        <w:overflowPunct/>
        <w:topLinePunct w:val="0"/>
        <w:autoSpaceDE/>
        <w:autoSpaceDN/>
        <w:bidi w:val="0"/>
        <w:adjustRightInd/>
        <w:snapToGrid/>
        <w:spacing w:line="520" w:lineRule="exact"/>
        <w:ind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rPr>
        <w:t>1. 结算模式为先承保、后付费；全</w:t>
      </w:r>
      <w:r>
        <w:rPr>
          <w:rFonts w:hint="eastAsia" w:ascii="微软雅黑" w:hAnsi="微软雅黑" w:eastAsia="微软雅黑" w:cs="微软雅黑"/>
          <w:sz w:val="21"/>
          <w:szCs w:val="21"/>
          <w:lang w:eastAsia="zh-CN"/>
        </w:rPr>
        <w:t>区</w:t>
      </w:r>
      <w:r>
        <w:rPr>
          <w:rFonts w:hint="eastAsia" w:ascii="微软雅黑" w:hAnsi="微软雅黑" w:eastAsia="微软雅黑" w:cs="微软雅黑"/>
          <w:sz w:val="21"/>
          <w:szCs w:val="21"/>
        </w:rPr>
        <w:t>全部学校投保办结，保单、发票全部交付采购人核验投保台账无误后启动付款流程。</w:t>
      </w:r>
    </w:p>
    <w:p w14:paraId="40145C51">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rPr>
        <w:t>2. 达到付款条件后50个工作日内一次性完成保费支付；到期日为法定节假日、休息日的顺延至下一个工作日。年度最终结算总保费=各校实际参保人数×对应险种基准单价×（1－中标下浮率）。</w:t>
      </w:r>
    </w:p>
    <w:p w14:paraId="2BF423FA">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b/>
          <w:bCs/>
          <w:spacing w:val="-7"/>
          <w:sz w:val="21"/>
          <w:szCs w:val="21"/>
          <w:lang w:val="en-US" w:eastAsia="zh-CN"/>
        </w:rPr>
        <w:t>第九条  验收标准</w:t>
      </w:r>
    </w:p>
    <w:p w14:paraId="1758DBE9">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1、阶段性分项验收</w:t>
      </w:r>
    </w:p>
    <w:p w14:paraId="48FD799C">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（1）承保单证验收：核查是否完成全区各校投保协助、宣传培训；收到投保材料5个工作日内完整交付纸质保单、发票、电子保单；人员、校址变更等保全业务是否按时出具批单票据。</w:t>
      </w:r>
    </w:p>
    <w:p w14:paraId="17070C29">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（2）理赔专项验收：发生校园事故后，是否严格按照本文件理赔时效、赔付标准、预付赔款、查勘要求落实服务。</w:t>
      </w:r>
    </w:p>
    <w:p w14:paraId="469F9885">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2、年度综合考核验收</w:t>
      </w:r>
    </w:p>
    <w:p w14:paraId="19970C68">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服务期满统一开展综合验收，由区教体局组织全区学校开展服务满意度测评，考核维度含承保时效、理赔响应、法律援助、人员对接、投诉处置、风险增值服务；综合满意度低于80分视为年度服务验收不合格。</w:t>
      </w:r>
    </w:p>
    <w:p w14:paraId="191E94E4">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3、验收依据</w:t>
      </w:r>
    </w:p>
    <w:p w14:paraId="5E659657">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（1）采购合同及全部附件；</w:t>
      </w:r>
    </w:p>
    <w:p w14:paraId="2E05C4A2">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（2）国家现行法律法规、保险行业管理规范；</w:t>
      </w:r>
    </w:p>
    <w:p w14:paraId="3DA26183">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（3）磋商文件、成交供应商响应文件、澄清、补充函件；</w:t>
      </w:r>
    </w:p>
    <w:p w14:paraId="76783EA6">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（4）月度投保台账、理赔档案、培训记录、往来沟通文书。</w:t>
      </w:r>
    </w:p>
    <w:p w14:paraId="78D95DDF">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第十条  违约责任</w:t>
      </w:r>
    </w:p>
    <w:p w14:paraId="13EC7E58">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b/>
          <w:bCs/>
          <w:spacing w:val="-7"/>
          <w:sz w:val="21"/>
          <w:szCs w:val="21"/>
          <w:lang w:val="en-US" w:eastAsia="zh-CN"/>
        </w:rPr>
        <w:t>第十一条  保密义务</w:t>
      </w:r>
      <w:r>
        <w:rPr>
          <w:rFonts w:hint="eastAsia" w:ascii="微软雅黑" w:hAnsi="微软雅黑" w:eastAsia="微软雅黑" w:cs="微软雅黑"/>
          <w:sz w:val="21"/>
          <w:szCs w:val="21"/>
        </w:rPr>
        <w:t xml:space="preserve"> </w:t>
      </w:r>
    </w:p>
    <w:p w14:paraId="6DFDAED6">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lang w:val="en-US" w:eastAsia="zh-CN"/>
        </w:rPr>
      </w:pPr>
      <w:r>
        <w:rPr>
          <w:rFonts w:hint="eastAsia" w:ascii="微软雅黑" w:hAnsi="微软雅黑" w:eastAsia="微软雅黑" w:cs="微软雅黑"/>
          <w:sz w:val="21"/>
          <w:szCs w:val="21"/>
          <w:lang w:val="en-US" w:eastAsia="zh-CN"/>
        </w:rPr>
        <w:t>2</w:t>
      </w:r>
      <w:r>
        <w:rPr>
          <w:rFonts w:hint="eastAsia" w:ascii="微软雅黑" w:hAnsi="微软雅黑" w:eastAsia="微软雅黑" w:cs="微软雅黑"/>
          <w:sz w:val="21"/>
          <w:szCs w:val="21"/>
        </w:rPr>
        <w:t>、</w:t>
      </w:r>
      <w:r>
        <w:rPr>
          <w:rFonts w:hint="eastAsia" w:ascii="微软雅黑" w:hAnsi="微软雅黑" w:eastAsia="微软雅黑" w:cs="微软雅黑"/>
          <w:sz w:val="21"/>
          <w:szCs w:val="21"/>
          <w:lang w:val="en-US" w:eastAsia="zh-CN"/>
        </w:rPr>
        <w:t>其他</w:t>
      </w:r>
      <w:r>
        <w:rPr>
          <w:rFonts w:hint="eastAsia" w:ascii="微软雅黑" w:hAnsi="微软雅黑" w:eastAsia="微软雅黑" w:cs="微软雅黑"/>
          <w:sz w:val="21"/>
          <w:szCs w:val="21"/>
        </w:rPr>
        <w:t>相关标准，及采购人</w:t>
      </w:r>
      <w:r>
        <w:rPr>
          <w:rFonts w:hint="eastAsia" w:ascii="微软雅黑" w:hAnsi="微软雅黑" w:eastAsia="微软雅黑" w:cs="微软雅黑"/>
          <w:sz w:val="21"/>
          <w:szCs w:val="21"/>
          <w:lang w:val="en-US" w:eastAsia="zh-CN"/>
        </w:rPr>
        <w:t>要求</w:t>
      </w:r>
      <w:r>
        <w:rPr>
          <w:rFonts w:hint="eastAsia" w:ascii="微软雅黑" w:hAnsi="微软雅黑" w:eastAsia="微软雅黑" w:cs="微软雅黑"/>
          <w:sz w:val="21"/>
          <w:szCs w:val="21"/>
        </w:rPr>
        <w:t>。</w:t>
      </w:r>
    </w:p>
    <w:p w14:paraId="4C93C209">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第十二条  合同的变更和终止</w:t>
      </w:r>
    </w:p>
    <w:p w14:paraId="16123232">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1"/>
          <w:sz w:val="21"/>
          <w:szCs w:val="21"/>
        </w:rPr>
        <w:t>除《中华人民共和国政府采购法》第49条、第50条第二款规定的情形外，本合同一经签</w:t>
      </w:r>
    </w:p>
    <w:p w14:paraId="51613262">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rPr>
          <w:rFonts w:hint="eastAsia" w:ascii="微软雅黑" w:hAnsi="微软雅黑" w:eastAsia="微软雅黑" w:cs="微软雅黑"/>
          <w:sz w:val="21"/>
          <w:szCs w:val="21"/>
        </w:rPr>
      </w:pPr>
      <w:r>
        <w:rPr>
          <w:rFonts w:hint="eastAsia" w:ascii="微软雅黑" w:hAnsi="微软雅黑" w:eastAsia="微软雅黑" w:cs="微软雅黑"/>
          <w:spacing w:val="-1"/>
          <w:sz w:val="21"/>
          <w:szCs w:val="21"/>
        </w:rPr>
        <w:t>订，甲乙双方不得擅自变更、中止或终止合同。</w:t>
      </w:r>
    </w:p>
    <w:p w14:paraId="3D259016">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第十三条  解决合同纠纷的方式</w:t>
      </w:r>
    </w:p>
    <w:p w14:paraId="3F769B20">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1"/>
          <w:sz w:val="21"/>
          <w:szCs w:val="21"/>
        </w:rPr>
        <w:t>1、在执行本合同中发生的或与本合同有关的争端，双方应通过友好协商解决，经协商在</w:t>
      </w:r>
      <w:r>
        <w:rPr>
          <w:rFonts w:hint="eastAsia" w:ascii="微软雅黑" w:hAnsi="微软雅黑" w:eastAsia="微软雅黑" w:cs="微软雅黑"/>
          <w:spacing w:val="-1"/>
          <w:sz w:val="21"/>
          <w:szCs w:val="21"/>
          <w:u w:val="single"/>
          <w:lang w:val="en-US" w:eastAsia="zh-CN"/>
        </w:rPr>
        <w:t xml:space="preserve">   </w:t>
      </w:r>
      <w:r>
        <w:rPr>
          <w:rFonts w:hint="eastAsia" w:ascii="微软雅黑" w:hAnsi="微软雅黑" w:eastAsia="微软雅黑" w:cs="微软雅黑"/>
          <w:spacing w:val="-1"/>
          <w:sz w:val="21"/>
          <w:szCs w:val="21"/>
        </w:rPr>
        <w:t>天内不能达成协议时，则采取以下第____种方式解决争议：</w:t>
      </w:r>
    </w:p>
    <w:p w14:paraId="51CC64DF">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1"/>
          <w:sz w:val="21"/>
          <w:szCs w:val="21"/>
        </w:rPr>
        <w:t>（1）向甲方所在地有管辖权的人民法院提起诉讼；</w:t>
      </w:r>
    </w:p>
    <w:p w14:paraId="3EE9DD2B">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1"/>
          <w:sz w:val="21"/>
          <w:szCs w:val="21"/>
        </w:rPr>
        <w:t>（2）向</w:t>
      </w:r>
      <w:r>
        <w:rPr>
          <w:rFonts w:hint="eastAsia" w:ascii="微软雅黑" w:hAnsi="微软雅黑" w:eastAsia="微软雅黑" w:cs="微软雅黑"/>
          <w:spacing w:val="-1"/>
          <w:sz w:val="21"/>
          <w:szCs w:val="21"/>
          <w:u w:val="single"/>
          <w:lang w:val="en-US" w:eastAsia="zh-CN"/>
        </w:rPr>
        <w:t xml:space="preserve">       </w:t>
      </w:r>
      <w:r>
        <w:rPr>
          <w:rFonts w:hint="eastAsia" w:ascii="微软雅黑" w:hAnsi="微软雅黑" w:eastAsia="微软雅黑" w:cs="微软雅黑"/>
          <w:spacing w:val="-1"/>
          <w:sz w:val="21"/>
          <w:szCs w:val="21"/>
        </w:rPr>
        <w:t>仲裁委员会按其仲裁规则申请仲裁。</w:t>
      </w:r>
    </w:p>
    <w:p w14:paraId="367D1D42">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1"/>
          <w:sz w:val="21"/>
          <w:szCs w:val="21"/>
        </w:rPr>
        <w:t>2、在仲裁期间，本合同应继续履行。</w:t>
      </w:r>
    </w:p>
    <w:p w14:paraId="0ECCF8E8">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第十四条  合同生效及其他</w:t>
      </w:r>
    </w:p>
    <w:p w14:paraId="0F628C10">
      <w:pPr>
        <w:keepNext w:val="0"/>
        <w:keepLines w:val="0"/>
        <w:pageBreakBefore w:val="0"/>
        <w:widowControl w:val="0"/>
        <w:kinsoku/>
        <w:wordWrap/>
        <w:overflowPunct/>
        <w:topLinePunct w:val="0"/>
        <w:autoSpaceDE/>
        <w:autoSpaceDN/>
        <w:bidi w:val="0"/>
        <w:adjustRightInd/>
        <w:snapToGrid/>
        <w:spacing w:line="520" w:lineRule="exact"/>
        <w:ind w:left="0" w:right="0" w:firstLine="416"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1"/>
          <w:sz w:val="21"/>
          <w:szCs w:val="21"/>
        </w:rPr>
        <w:t>1、合同经双方法定代表人或授权委托代理人签字并加盖单位公章后生效。</w:t>
      </w:r>
    </w:p>
    <w:p w14:paraId="35CB8A34">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rPr>
        <w:t>2、合同执行中涉及采购资金和采购内容修改或补充的，须经</w:t>
      </w:r>
      <w:r>
        <w:rPr>
          <w:rFonts w:hint="eastAsia" w:ascii="微软雅黑" w:hAnsi="微软雅黑" w:eastAsia="微软雅黑" w:cs="微软雅黑"/>
          <w:spacing w:val="-1"/>
          <w:sz w:val="21"/>
          <w:szCs w:val="21"/>
        </w:rPr>
        <w:t>政府采购监管部门审批，</w:t>
      </w:r>
    </w:p>
    <w:p w14:paraId="0CA56B19">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并签书面补充协议报政府采购监督管理部门备</w:t>
      </w:r>
      <w:r>
        <w:rPr>
          <w:rFonts w:hint="eastAsia" w:ascii="微软雅黑" w:hAnsi="微软雅黑" w:eastAsia="微软雅黑" w:cs="微软雅黑"/>
          <w:spacing w:val="-1"/>
          <w:sz w:val="21"/>
          <w:szCs w:val="21"/>
        </w:rPr>
        <w:t>案，方可作为主合同不可分割的一部分。</w:t>
      </w:r>
    </w:p>
    <w:p w14:paraId="329983CB">
      <w:pPr>
        <w:keepNext w:val="0"/>
        <w:keepLines w:val="0"/>
        <w:pageBreakBefore w:val="0"/>
        <w:widowControl w:val="0"/>
        <w:kinsoku/>
        <w:wordWrap/>
        <w:overflowPunct/>
        <w:topLinePunct w:val="0"/>
        <w:autoSpaceDE/>
        <w:autoSpaceDN/>
        <w:bidi w:val="0"/>
        <w:adjustRightInd/>
        <w:snapToGrid/>
        <w:spacing w:line="520" w:lineRule="exact"/>
        <w:ind w:left="0" w:right="0" w:firstLine="408"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3"/>
          <w:sz w:val="21"/>
          <w:szCs w:val="21"/>
        </w:rPr>
        <w:t>3、本合同一式</w:t>
      </w:r>
      <w:r>
        <w:rPr>
          <w:rFonts w:hint="eastAsia" w:ascii="微软雅黑" w:hAnsi="微软雅黑" w:eastAsia="微软雅黑" w:cs="微软雅黑"/>
          <w:spacing w:val="-3"/>
          <w:sz w:val="21"/>
          <w:szCs w:val="21"/>
          <w:u w:val="single"/>
          <w:lang w:val="en-US" w:eastAsia="zh-CN"/>
        </w:rPr>
        <w:t xml:space="preserve">   </w:t>
      </w:r>
      <w:r>
        <w:rPr>
          <w:rFonts w:hint="eastAsia" w:ascii="微软雅黑" w:hAnsi="微软雅黑" w:eastAsia="微软雅黑" w:cs="微软雅黑"/>
          <w:spacing w:val="-3"/>
          <w:sz w:val="21"/>
          <w:szCs w:val="21"/>
        </w:rPr>
        <w:t>份，</w:t>
      </w:r>
      <w:r>
        <w:rPr>
          <w:rFonts w:hint="eastAsia" w:ascii="微软雅黑" w:hAnsi="微软雅黑" w:eastAsia="微软雅黑" w:cs="微软雅黑"/>
          <w:spacing w:val="-44"/>
          <w:sz w:val="21"/>
          <w:szCs w:val="21"/>
        </w:rPr>
        <w:t xml:space="preserve"> </w:t>
      </w:r>
      <w:r>
        <w:rPr>
          <w:rFonts w:hint="eastAsia" w:ascii="微软雅黑" w:hAnsi="微软雅黑" w:eastAsia="微软雅黑" w:cs="微软雅黑"/>
          <w:spacing w:val="-3"/>
          <w:sz w:val="21"/>
          <w:szCs w:val="21"/>
        </w:rPr>
        <w:t>自双方签章之日起起效。</w:t>
      </w:r>
      <w:r>
        <w:rPr>
          <w:rFonts w:hint="eastAsia" w:ascii="微软雅黑" w:hAnsi="微软雅黑" w:eastAsia="微软雅黑" w:cs="微软雅黑"/>
          <w:spacing w:val="-65"/>
          <w:sz w:val="21"/>
          <w:szCs w:val="21"/>
        </w:rPr>
        <w:t xml:space="preserve"> </w:t>
      </w:r>
      <w:r>
        <w:rPr>
          <w:rFonts w:hint="eastAsia" w:ascii="微软雅黑" w:hAnsi="微软雅黑" w:eastAsia="微软雅黑" w:cs="微软雅黑"/>
          <w:spacing w:val="-3"/>
          <w:sz w:val="21"/>
          <w:szCs w:val="21"/>
        </w:rPr>
        <w:t>甲方</w:t>
      </w:r>
      <w:r>
        <w:rPr>
          <w:rFonts w:hint="eastAsia" w:ascii="微软雅黑" w:hAnsi="微软雅黑" w:eastAsia="微软雅黑" w:cs="微软雅黑"/>
          <w:spacing w:val="-3"/>
          <w:sz w:val="21"/>
          <w:szCs w:val="21"/>
          <w:u w:val="single"/>
          <w:lang w:val="en-US" w:eastAsia="zh-CN"/>
        </w:rPr>
        <w:t xml:space="preserve">    </w:t>
      </w:r>
      <w:r>
        <w:rPr>
          <w:rFonts w:hint="eastAsia" w:ascii="微软雅黑" w:hAnsi="微软雅黑" w:eastAsia="微软雅黑" w:cs="微软雅黑"/>
          <w:spacing w:val="-3"/>
          <w:sz w:val="21"/>
          <w:szCs w:val="21"/>
        </w:rPr>
        <w:t>份，乙方</w:t>
      </w:r>
      <w:r>
        <w:rPr>
          <w:rFonts w:hint="eastAsia" w:ascii="微软雅黑" w:hAnsi="微软雅黑" w:eastAsia="微软雅黑" w:cs="微软雅黑"/>
          <w:spacing w:val="-3"/>
          <w:sz w:val="21"/>
          <w:szCs w:val="21"/>
          <w:u w:val="single"/>
          <w:lang w:val="en-US" w:eastAsia="zh-CN"/>
        </w:rPr>
        <w:t xml:space="preserve">   </w:t>
      </w:r>
      <w:r>
        <w:rPr>
          <w:rFonts w:hint="eastAsia" w:ascii="微软雅黑" w:hAnsi="微软雅黑" w:eastAsia="微软雅黑" w:cs="微软雅黑"/>
          <w:spacing w:val="-3"/>
          <w:sz w:val="21"/>
          <w:szCs w:val="21"/>
        </w:rPr>
        <w:t>份，具有同等法律效</w:t>
      </w:r>
      <w:r>
        <w:rPr>
          <w:rFonts w:hint="eastAsia" w:ascii="微软雅黑" w:hAnsi="微软雅黑" w:eastAsia="微软雅黑" w:cs="微软雅黑"/>
          <w:spacing w:val="-9"/>
          <w:sz w:val="21"/>
          <w:szCs w:val="21"/>
        </w:rPr>
        <w:t>力。</w:t>
      </w:r>
    </w:p>
    <w:p w14:paraId="2DF774D5">
      <w:pPr>
        <w:keepNext w:val="0"/>
        <w:keepLines w:val="0"/>
        <w:pageBreakBefore w:val="0"/>
        <w:widowControl w:val="0"/>
        <w:kinsoku/>
        <w:wordWrap/>
        <w:overflowPunct/>
        <w:topLinePunct w:val="0"/>
        <w:autoSpaceDE/>
        <w:autoSpaceDN/>
        <w:bidi w:val="0"/>
        <w:adjustRightInd/>
        <w:snapToGrid/>
        <w:spacing w:line="520" w:lineRule="exact"/>
        <w:ind w:left="0" w:right="0" w:firstLine="392" w:firstLineChars="200"/>
        <w:jc w:val="both"/>
        <w:textAlignment w:val="auto"/>
        <w:outlineLvl w:val="0"/>
        <w:rPr>
          <w:rFonts w:hint="eastAsia" w:ascii="微软雅黑" w:hAnsi="微软雅黑" w:eastAsia="微软雅黑" w:cs="微软雅黑"/>
          <w:b/>
          <w:bCs/>
          <w:spacing w:val="-7"/>
          <w:sz w:val="21"/>
          <w:szCs w:val="21"/>
          <w:lang w:val="en-US" w:eastAsia="zh-CN"/>
        </w:rPr>
      </w:pPr>
      <w:r>
        <w:rPr>
          <w:rFonts w:hint="eastAsia" w:ascii="微软雅黑" w:hAnsi="微软雅黑" w:eastAsia="微软雅黑" w:cs="微软雅黑"/>
          <w:b/>
          <w:bCs/>
          <w:spacing w:val="-7"/>
          <w:sz w:val="21"/>
          <w:szCs w:val="21"/>
          <w:lang w:val="en-US" w:eastAsia="zh-CN"/>
        </w:rPr>
        <w:t>第十五条  附件</w:t>
      </w:r>
    </w:p>
    <w:p w14:paraId="276CF782">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rPr>
        <w:t>1、本合同书</w:t>
      </w:r>
    </w:p>
    <w:p w14:paraId="12F7D8D8">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rPr>
        <w:t>2、</w:t>
      </w:r>
      <w:r>
        <w:rPr>
          <w:rFonts w:hint="eastAsia" w:ascii="微软雅黑" w:hAnsi="微软雅黑" w:eastAsia="微软雅黑" w:cs="微软雅黑"/>
          <w:sz w:val="21"/>
          <w:szCs w:val="21"/>
          <w:lang w:eastAsia="zh-CN"/>
        </w:rPr>
        <w:t>中标</w:t>
      </w:r>
      <w:r>
        <w:rPr>
          <w:rFonts w:hint="eastAsia" w:ascii="微软雅黑" w:hAnsi="微软雅黑" w:eastAsia="微软雅黑" w:cs="微软雅黑"/>
          <w:sz w:val="21"/>
          <w:szCs w:val="21"/>
        </w:rPr>
        <w:t>通知书</w:t>
      </w:r>
      <w:r>
        <w:rPr>
          <w:rFonts w:hint="eastAsia" w:ascii="微软雅黑" w:hAnsi="微软雅黑" w:eastAsia="微软雅黑" w:cs="微软雅黑"/>
          <w:sz w:val="21"/>
          <w:szCs w:val="21"/>
        </w:rPr>
        <w:tab/>
      </w:r>
    </w:p>
    <w:p w14:paraId="485A8E5B">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rPr>
        <w:t>3、协议</w:t>
      </w:r>
    </w:p>
    <w:p w14:paraId="2FA532B8">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rPr>
        <w:t>4、</w:t>
      </w:r>
      <w:r>
        <w:rPr>
          <w:rFonts w:hint="eastAsia" w:ascii="微软雅黑" w:hAnsi="微软雅黑" w:eastAsia="微软雅黑" w:cs="微软雅黑"/>
          <w:sz w:val="21"/>
          <w:szCs w:val="21"/>
          <w:lang w:val="en-US" w:eastAsia="zh-CN"/>
        </w:rPr>
        <w:t>采购</w:t>
      </w:r>
      <w:r>
        <w:rPr>
          <w:rFonts w:hint="eastAsia" w:ascii="微软雅黑" w:hAnsi="微软雅黑" w:eastAsia="微软雅黑" w:cs="微软雅黑"/>
          <w:sz w:val="21"/>
          <w:szCs w:val="21"/>
        </w:rPr>
        <w:t>文件(含澄清文件)</w:t>
      </w:r>
    </w:p>
    <w:p w14:paraId="68A31A1E">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rPr>
        <w:t>5、响应文件</w:t>
      </w:r>
    </w:p>
    <w:p w14:paraId="6D03ADC2">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both"/>
        <w:textAlignment w:val="auto"/>
        <w:rPr>
          <w:rFonts w:hint="eastAsia" w:ascii="微软雅黑" w:hAnsi="微软雅黑" w:eastAsia="微软雅黑" w:cs="微软雅黑"/>
          <w:sz w:val="21"/>
          <w:szCs w:val="21"/>
        </w:rPr>
      </w:pPr>
    </w:p>
    <w:p w14:paraId="743806FA">
      <w:pPr>
        <w:keepNext w:val="0"/>
        <w:keepLines w:val="0"/>
        <w:pageBreakBefore w:val="0"/>
        <w:widowControl w:val="0"/>
        <w:kinsoku/>
        <w:wordWrap/>
        <w:overflowPunct/>
        <w:topLinePunct w:val="0"/>
        <w:autoSpaceDE/>
        <w:autoSpaceDN/>
        <w:bidi w:val="0"/>
        <w:adjustRightInd/>
        <w:snapToGrid/>
        <w:spacing w:line="440" w:lineRule="exact"/>
        <w:ind w:left="0" w:right="0" w:firstLine="420" w:firstLineChars="200"/>
        <w:jc w:val="both"/>
        <w:textAlignment w:val="auto"/>
        <w:rPr>
          <w:rFonts w:hint="eastAsia" w:ascii="微软雅黑" w:hAnsi="微软雅黑" w:eastAsia="微软雅黑" w:cs="微软雅黑"/>
          <w:sz w:val="21"/>
          <w:szCs w:val="21"/>
        </w:rPr>
      </w:pPr>
    </w:p>
    <w:p w14:paraId="71E17439">
      <w:pPr>
        <w:keepNext w:val="0"/>
        <w:keepLines w:val="0"/>
        <w:pageBreakBefore w:val="0"/>
        <w:widowControl w:val="0"/>
        <w:kinsoku/>
        <w:wordWrap/>
        <w:overflowPunct/>
        <w:topLinePunct w:val="0"/>
        <w:autoSpaceDE/>
        <w:autoSpaceDN/>
        <w:bidi w:val="0"/>
        <w:adjustRightInd/>
        <w:snapToGrid/>
        <w:spacing w:line="520" w:lineRule="exact"/>
        <w:ind w:left="0" w:right="0" w:firstLine="420"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z w:val="21"/>
          <w:szCs w:val="21"/>
        </w:rPr>
        <w:t>甲方</w:t>
      </w:r>
      <w:r>
        <w:rPr>
          <w:rFonts w:hint="eastAsia" w:ascii="微软雅黑" w:hAnsi="微软雅黑" w:eastAsia="微软雅黑" w:cs="微软雅黑"/>
          <w:spacing w:val="-15"/>
          <w:sz w:val="21"/>
          <w:szCs w:val="21"/>
        </w:rPr>
        <w:t>：</w:t>
      </w:r>
      <w:r>
        <w:rPr>
          <w:rFonts w:hint="eastAsia" w:ascii="微软雅黑" w:hAnsi="微软雅黑" w:eastAsia="微软雅黑" w:cs="微软雅黑"/>
          <w:spacing w:val="56"/>
          <w:sz w:val="21"/>
          <w:szCs w:val="21"/>
        </w:rPr>
        <w:t xml:space="preserve">  </w:t>
      </w:r>
      <w:r>
        <w:rPr>
          <w:rFonts w:hint="eastAsia" w:ascii="微软雅黑" w:hAnsi="微软雅黑" w:eastAsia="微软雅黑" w:cs="微软雅黑"/>
          <w:spacing w:val="-15"/>
          <w:sz w:val="21"/>
          <w:szCs w:val="21"/>
        </w:rPr>
        <w:t>（</w:t>
      </w:r>
      <w:r>
        <w:rPr>
          <w:rFonts w:hint="eastAsia" w:ascii="微软雅黑" w:hAnsi="微软雅黑" w:eastAsia="微软雅黑" w:cs="微软雅黑"/>
          <w:sz w:val="21"/>
          <w:szCs w:val="21"/>
        </w:rPr>
        <w:t>盖章）                     乙方</w:t>
      </w:r>
      <w:r>
        <w:rPr>
          <w:rFonts w:hint="eastAsia" w:ascii="微软雅黑" w:hAnsi="微软雅黑" w:eastAsia="微软雅黑" w:cs="微软雅黑"/>
          <w:spacing w:val="-15"/>
          <w:sz w:val="21"/>
          <w:szCs w:val="21"/>
        </w:rPr>
        <w:t>：</w:t>
      </w:r>
      <w:r>
        <w:rPr>
          <w:rFonts w:hint="eastAsia" w:ascii="微软雅黑" w:hAnsi="微软雅黑" w:eastAsia="微软雅黑" w:cs="微软雅黑"/>
          <w:spacing w:val="1"/>
          <w:sz w:val="21"/>
          <w:szCs w:val="21"/>
        </w:rPr>
        <w:t xml:space="preserve">   </w:t>
      </w:r>
      <w:r>
        <w:rPr>
          <w:rFonts w:hint="eastAsia" w:ascii="微软雅黑" w:hAnsi="微软雅黑" w:eastAsia="微软雅黑" w:cs="微软雅黑"/>
          <w:spacing w:val="-15"/>
          <w:sz w:val="21"/>
          <w:szCs w:val="21"/>
        </w:rPr>
        <w:t>（</w:t>
      </w:r>
      <w:r>
        <w:rPr>
          <w:rFonts w:hint="eastAsia" w:ascii="微软雅黑" w:hAnsi="微软雅黑" w:eastAsia="微软雅黑" w:cs="微软雅黑"/>
          <w:sz w:val="21"/>
          <w:szCs w:val="21"/>
        </w:rPr>
        <w:t>盖章）</w:t>
      </w:r>
    </w:p>
    <w:p w14:paraId="4B761748">
      <w:pPr>
        <w:keepNext w:val="0"/>
        <w:keepLines w:val="0"/>
        <w:pageBreakBefore w:val="0"/>
        <w:widowControl w:val="0"/>
        <w:kinsoku/>
        <w:wordWrap/>
        <w:overflowPunct/>
        <w:topLinePunct w:val="0"/>
        <w:autoSpaceDE/>
        <w:autoSpaceDN/>
        <w:bidi w:val="0"/>
        <w:adjustRightInd/>
        <w:snapToGrid/>
        <w:spacing w:line="520" w:lineRule="exact"/>
        <w:ind w:left="0" w:right="0" w:firstLine="408"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3"/>
          <w:sz w:val="21"/>
          <w:szCs w:val="21"/>
        </w:rPr>
        <w:t>法定代表人（授权代表</w:t>
      </w:r>
      <w:r>
        <w:rPr>
          <w:rFonts w:hint="eastAsia" w:ascii="微软雅黑" w:hAnsi="微软雅黑" w:eastAsia="微软雅黑" w:cs="微软雅黑"/>
          <w:spacing w:val="3"/>
          <w:sz w:val="21"/>
          <w:szCs w:val="21"/>
        </w:rPr>
        <w:t>）：</w:t>
      </w:r>
      <w:r>
        <w:rPr>
          <w:rFonts w:hint="eastAsia" w:ascii="微软雅黑" w:hAnsi="微软雅黑" w:eastAsia="微软雅黑" w:cs="微软雅黑"/>
          <w:spacing w:val="1"/>
          <w:sz w:val="21"/>
          <w:szCs w:val="21"/>
        </w:rPr>
        <w:t xml:space="preserve">              </w:t>
      </w:r>
      <w:r>
        <w:rPr>
          <w:rFonts w:hint="eastAsia" w:ascii="微软雅黑" w:hAnsi="微软雅黑" w:eastAsia="微软雅黑" w:cs="微软雅黑"/>
          <w:spacing w:val="-3"/>
          <w:sz w:val="21"/>
          <w:szCs w:val="21"/>
        </w:rPr>
        <w:t>法定代表人（授权代表</w:t>
      </w:r>
      <w:r>
        <w:rPr>
          <w:rFonts w:hint="eastAsia" w:ascii="微软雅黑" w:hAnsi="微软雅黑" w:eastAsia="微软雅黑" w:cs="微软雅黑"/>
          <w:spacing w:val="3"/>
          <w:sz w:val="21"/>
          <w:szCs w:val="21"/>
        </w:rPr>
        <w:t>）：</w:t>
      </w:r>
    </w:p>
    <w:p w14:paraId="471EE638">
      <w:pPr>
        <w:keepNext w:val="0"/>
        <w:keepLines w:val="0"/>
        <w:pageBreakBefore w:val="0"/>
        <w:widowControl w:val="0"/>
        <w:kinsoku/>
        <w:wordWrap/>
        <w:overflowPunct/>
        <w:topLinePunct w:val="0"/>
        <w:autoSpaceDE/>
        <w:autoSpaceDN/>
        <w:bidi w:val="0"/>
        <w:adjustRightInd/>
        <w:snapToGrid/>
        <w:spacing w:line="520" w:lineRule="exact"/>
        <w:ind w:left="0" w:right="0" w:firstLine="388"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8"/>
          <w:sz w:val="21"/>
          <w:szCs w:val="21"/>
        </w:rPr>
        <w:t>地</w:t>
      </w:r>
      <w:r>
        <w:rPr>
          <w:rFonts w:hint="eastAsia" w:ascii="微软雅黑" w:hAnsi="微软雅黑" w:eastAsia="微软雅黑" w:cs="微软雅黑"/>
          <w:spacing w:val="4"/>
          <w:sz w:val="21"/>
          <w:szCs w:val="21"/>
        </w:rPr>
        <w:t xml:space="preserve">    </w:t>
      </w:r>
      <w:r>
        <w:rPr>
          <w:rFonts w:hint="eastAsia" w:ascii="微软雅黑" w:hAnsi="微软雅黑" w:eastAsia="微软雅黑" w:cs="微软雅黑"/>
          <w:spacing w:val="-8"/>
          <w:sz w:val="21"/>
          <w:szCs w:val="21"/>
        </w:rPr>
        <w:t>址</w:t>
      </w:r>
      <w:r>
        <w:rPr>
          <w:rFonts w:hint="eastAsia" w:ascii="微软雅黑" w:hAnsi="微软雅黑" w:eastAsia="微软雅黑" w:cs="微软雅黑"/>
          <w:spacing w:val="-77"/>
          <w:sz w:val="21"/>
          <w:szCs w:val="21"/>
        </w:rPr>
        <w:t xml:space="preserve"> </w:t>
      </w:r>
      <w:r>
        <w:rPr>
          <w:rFonts w:hint="eastAsia" w:ascii="微软雅黑" w:hAnsi="微软雅黑" w:eastAsia="微软雅黑" w:cs="微软雅黑"/>
          <w:spacing w:val="-8"/>
          <w:sz w:val="21"/>
          <w:szCs w:val="21"/>
        </w:rPr>
        <w:t xml:space="preserve">：                </w:t>
      </w:r>
      <w:r>
        <w:rPr>
          <w:rFonts w:hint="eastAsia" w:ascii="微软雅黑" w:hAnsi="微软雅黑" w:eastAsia="微软雅黑" w:cs="微软雅黑"/>
          <w:spacing w:val="-9"/>
          <w:sz w:val="21"/>
          <w:szCs w:val="21"/>
        </w:rPr>
        <w:t xml:space="preserve">             </w:t>
      </w:r>
      <w:r>
        <w:rPr>
          <w:rFonts w:hint="eastAsia" w:ascii="微软雅黑" w:hAnsi="微软雅黑" w:eastAsia="微软雅黑" w:cs="微软雅黑"/>
          <w:spacing w:val="-9"/>
          <w:sz w:val="21"/>
          <w:szCs w:val="21"/>
          <w:lang w:val="en-US" w:eastAsia="zh-CN"/>
        </w:rPr>
        <w:t xml:space="preserve">  </w:t>
      </w:r>
      <w:r>
        <w:rPr>
          <w:rFonts w:hint="eastAsia" w:ascii="微软雅黑" w:hAnsi="微软雅黑" w:eastAsia="微软雅黑" w:cs="微软雅黑"/>
          <w:spacing w:val="-9"/>
          <w:sz w:val="21"/>
          <w:szCs w:val="21"/>
        </w:rPr>
        <w:t xml:space="preserve"> </w:t>
      </w:r>
      <w:r>
        <w:rPr>
          <w:rFonts w:hint="eastAsia" w:ascii="微软雅黑" w:hAnsi="微软雅黑" w:eastAsia="微软雅黑" w:cs="微软雅黑"/>
          <w:spacing w:val="-9"/>
          <w:sz w:val="21"/>
          <w:szCs w:val="21"/>
          <w:lang w:val="en-US" w:eastAsia="zh-CN"/>
        </w:rPr>
        <w:t xml:space="preserve"> </w:t>
      </w:r>
      <w:r>
        <w:rPr>
          <w:rFonts w:hint="eastAsia" w:ascii="微软雅黑" w:hAnsi="微软雅黑" w:eastAsia="微软雅黑" w:cs="微软雅黑"/>
          <w:spacing w:val="-9"/>
          <w:sz w:val="21"/>
          <w:szCs w:val="21"/>
        </w:rPr>
        <w:t>地</w:t>
      </w:r>
      <w:r>
        <w:rPr>
          <w:rFonts w:hint="eastAsia" w:ascii="微软雅黑" w:hAnsi="微软雅黑" w:eastAsia="微软雅黑" w:cs="微软雅黑"/>
          <w:spacing w:val="4"/>
          <w:sz w:val="21"/>
          <w:szCs w:val="21"/>
        </w:rPr>
        <w:t xml:space="preserve">    </w:t>
      </w:r>
      <w:r>
        <w:rPr>
          <w:rFonts w:hint="eastAsia" w:ascii="微软雅黑" w:hAnsi="微软雅黑" w:eastAsia="微软雅黑" w:cs="微软雅黑"/>
          <w:spacing w:val="-9"/>
          <w:sz w:val="21"/>
          <w:szCs w:val="21"/>
        </w:rPr>
        <w:t>址：</w:t>
      </w:r>
    </w:p>
    <w:p w14:paraId="1F2010F3">
      <w:pPr>
        <w:keepNext w:val="0"/>
        <w:keepLines w:val="0"/>
        <w:pageBreakBefore w:val="0"/>
        <w:widowControl w:val="0"/>
        <w:kinsoku/>
        <w:wordWrap/>
        <w:overflowPunct/>
        <w:topLinePunct w:val="0"/>
        <w:autoSpaceDE/>
        <w:autoSpaceDN/>
        <w:bidi w:val="0"/>
        <w:adjustRightInd/>
        <w:snapToGrid/>
        <w:spacing w:line="520" w:lineRule="exact"/>
        <w:ind w:left="0" w:right="0" w:firstLine="408"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3"/>
          <w:sz w:val="21"/>
          <w:szCs w:val="21"/>
        </w:rPr>
        <w:t>开户银行：</w:t>
      </w:r>
      <w:r>
        <w:rPr>
          <w:rFonts w:hint="eastAsia" w:ascii="微软雅黑" w:hAnsi="微软雅黑" w:eastAsia="微软雅黑" w:cs="微软雅黑"/>
          <w:sz w:val="21"/>
          <w:szCs w:val="21"/>
        </w:rPr>
        <w:t xml:space="preserve">                          </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 xml:space="preserve"> </w:t>
      </w:r>
      <w:r>
        <w:rPr>
          <w:rFonts w:hint="eastAsia" w:ascii="微软雅黑" w:hAnsi="微软雅黑" w:eastAsia="微软雅黑" w:cs="微软雅黑"/>
          <w:spacing w:val="-3"/>
          <w:sz w:val="21"/>
          <w:szCs w:val="21"/>
        </w:rPr>
        <w:t>开户银行：</w:t>
      </w:r>
    </w:p>
    <w:p w14:paraId="77AF904E">
      <w:pPr>
        <w:keepNext w:val="0"/>
        <w:keepLines w:val="0"/>
        <w:pageBreakBefore w:val="0"/>
        <w:widowControl w:val="0"/>
        <w:kinsoku/>
        <w:wordWrap/>
        <w:overflowPunct/>
        <w:topLinePunct w:val="0"/>
        <w:autoSpaceDE/>
        <w:autoSpaceDN/>
        <w:bidi w:val="0"/>
        <w:adjustRightInd/>
        <w:snapToGrid/>
        <w:spacing w:line="520" w:lineRule="exact"/>
        <w:ind w:left="0" w:right="0" w:firstLine="404"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4"/>
          <w:sz w:val="21"/>
          <w:szCs w:val="21"/>
        </w:rPr>
        <w:t>账号：</w:t>
      </w:r>
      <w:r>
        <w:rPr>
          <w:rFonts w:hint="eastAsia" w:ascii="微软雅黑" w:hAnsi="微软雅黑" w:eastAsia="微软雅黑" w:cs="微软雅黑"/>
          <w:sz w:val="21"/>
          <w:szCs w:val="21"/>
        </w:rPr>
        <w:t xml:space="preserve">                              </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 xml:space="preserve"> </w:t>
      </w:r>
      <w:r>
        <w:rPr>
          <w:rFonts w:hint="eastAsia" w:ascii="微软雅黑" w:hAnsi="微软雅黑" w:eastAsia="微软雅黑" w:cs="微软雅黑"/>
          <w:spacing w:val="-4"/>
          <w:sz w:val="21"/>
          <w:szCs w:val="21"/>
        </w:rPr>
        <w:t>账号：</w:t>
      </w:r>
    </w:p>
    <w:p w14:paraId="531292CD">
      <w:pPr>
        <w:keepNext w:val="0"/>
        <w:keepLines w:val="0"/>
        <w:pageBreakBefore w:val="0"/>
        <w:widowControl w:val="0"/>
        <w:kinsoku/>
        <w:wordWrap/>
        <w:overflowPunct/>
        <w:topLinePunct w:val="0"/>
        <w:autoSpaceDE/>
        <w:autoSpaceDN/>
        <w:bidi w:val="0"/>
        <w:adjustRightInd/>
        <w:snapToGrid/>
        <w:spacing w:line="520" w:lineRule="exact"/>
        <w:ind w:left="0" w:right="0" w:firstLine="328"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23"/>
          <w:sz w:val="21"/>
          <w:szCs w:val="21"/>
        </w:rPr>
        <w:t>电</w:t>
      </w:r>
      <w:r>
        <w:rPr>
          <w:rFonts w:hint="eastAsia" w:ascii="微软雅黑" w:hAnsi="微软雅黑" w:eastAsia="微软雅黑" w:cs="微软雅黑"/>
          <w:spacing w:val="4"/>
          <w:sz w:val="21"/>
          <w:szCs w:val="21"/>
        </w:rPr>
        <w:t xml:space="preserve">    </w:t>
      </w:r>
      <w:r>
        <w:rPr>
          <w:rFonts w:hint="eastAsia" w:ascii="微软雅黑" w:hAnsi="微软雅黑" w:eastAsia="微软雅黑" w:cs="微软雅黑"/>
          <w:spacing w:val="-23"/>
          <w:sz w:val="21"/>
          <w:szCs w:val="21"/>
        </w:rPr>
        <w:t>话</w:t>
      </w:r>
      <w:r>
        <w:rPr>
          <w:rFonts w:hint="eastAsia" w:ascii="微软雅黑" w:hAnsi="微软雅黑" w:eastAsia="微软雅黑" w:cs="微软雅黑"/>
          <w:spacing w:val="-79"/>
          <w:sz w:val="21"/>
          <w:szCs w:val="21"/>
        </w:rPr>
        <w:t xml:space="preserve"> </w:t>
      </w:r>
      <w:r>
        <w:rPr>
          <w:rFonts w:hint="eastAsia" w:ascii="微软雅黑" w:hAnsi="微软雅黑" w:eastAsia="微软雅黑" w:cs="微软雅黑"/>
          <w:spacing w:val="-23"/>
          <w:sz w:val="21"/>
          <w:szCs w:val="21"/>
        </w:rPr>
        <w:t>：</w:t>
      </w:r>
      <w:r>
        <w:rPr>
          <w:rFonts w:hint="eastAsia" w:ascii="微软雅黑" w:hAnsi="微软雅黑" w:eastAsia="微软雅黑" w:cs="微软雅黑"/>
          <w:spacing w:val="1"/>
          <w:sz w:val="21"/>
          <w:szCs w:val="21"/>
        </w:rPr>
        <w:t xml:space="preserve">                           </w:t>
      </w:r>
      <w:r>
        <w:rPr>
          <w:rFonts w:hint="eastAsia" w:ascii="微软雅黑" w:hAnsi="微软雅黑" w:eastAsia="微软雅黑" w:cs="微软雅黑"/>
          <w:spacing w:val="1"/>
          <w:sz w:val="21"/>
          <w:szCs w:val="21"/>
          <w:lang w:val="en-US" w:eastAsia="zh-CN"/>
        </w:rPr>
        <w:t xml:space="preserve"> </w:t>
      </w:r>
      <w:r>
        <w:rPr>
          <w:rFonts w:hint="eastAsia" w:ascii="微软雅黑" w:hAnsi="微软雅黑" w:eastAsia="微软雅黑" w:cs="微软雅黑"/>
          <w:spacing w:val="1"/>
          <w:sz w:val="21"/>
          <w:szCs w:val="21"/>
        </w:rPr>
        <w:t xml:space="preserve"> </w:t>
      </w:r>
      <w:r>
        <w:rPr>
          <w:rFonts w:hint="eastAsia" w:ascii="微软雅黑" w:hAnsi="微软雅黑" w:eastAsia="微软雅黑" w:cs="微软雅黑"/>
          <w:spacing w:val="-23"/>
          <w:sz w:val="21"/>
          <w:szCs w:val="21"/>
        </w:rPr>
        <w:t>电</w:t>
      </w:r>
      <w:r>
        <w:rPr>
          <w:rFonts w:hint="eastAsia" w:ascii="微软雅黑" w:hAnsi="微软雅黑" w:eastAsia="微软雅黑" w:cs="微软雅黑"/>
          <w:spacing w:val="5"/>
          <w:sz w:val="21"/>
          <w:szCs w:val="21"/>
        </w:rPr>
        <w:t xml:space="preserve">    </w:t>
      </w:r>
      <w:r>
        <w:rPr>
          <w:rFonts w:hint="eastAsia" w:ascii="微软雅黑" w:hAnsi="微软雅黑" w:eastAsia="微软雅黑" w:cs="微软雅黑"/>
          <w:spacing w:val="-23"/>
          <w:sz w:val="21"/>
          <w:szCs w:val="21"/>
        </w:rPr>
        <w:t>话：</w:t>
      </w:r>
    </w:p>
    <w:p w14:paraId="77452B00">
      <w:pPr>
        <w:keepNext w:val="0"/>
        <w:keepLines w:val="0"/>
        <w:pageBreakBefore w:val="0"/>
        <w:widowControl w:val="0"/>
        <w:kinsoku/>
        <w:wordWrap/>
        <w:overflowPunct/>
        <w:topLinePunct w:val="0"/>
        <w:autoSpaceDE/>
        <w:autoSpaceDN/>
        <w:bidi w:val="0"/>
        <w:adjustRightInd/>
        <w:snapToGrid/>
        <w:spacing w:line="520" w:lineRule="exact"/>
        <w:ind w:left="0" w:right="0" w:firstLine="348" w:firstLineChars="200"/>
        <w:jc w:val="both"/>
        <w:textAlignment w:val="auto"/>
        <w:outlineLvl w:val="0"/>
        <w:rPr>
          <w:rFonts w:hint="eastAsia" w:ascii="微软雅黑" w:hAnsi="微软雅黑" w:eastAsia="微软雅黑" w:cs="微软雅黑"/>
          <w:sz w:val="21"/>
          <w:szCs w:val="21"/>
        </w:rPr>
      </w:pPr>
      <w:r>
        <w:rPr>
          <w:rFonts w:hint="eastAsia" w:ascii="微软雅黑" w:hAnsi="微软雅黑" w:eastAsia="微软雅黑" w:cs="微软雅黑"/>
          <w:spacing w:val="-18"/>
          <w:sz w:val="21"/>
          <w:szCs w:val="21"/>
        </w:rPr>
        <w:t>传</w:t>
      </w:r>
      <w:r>
        <w:rPr>
          <w:rFonts w:hint="eastAsia" w:ascii="微软雅黑" w:hAnsi="微软雅黑" w:eastAsia="微软雅黑" w:cs="微软雅黑"/>
          <w:spacing w:val="5"/>
          <w:sz w:val="21"/>
          <w:szCs w:val="21"/>
        </w:rPr>
        <w:t xml:space="preserve">    </w:t>
      </w:r>
      <w:r>
        <w:rPr>
          <w:rFonts w:hint="eastAsia" w:ascii="微软雅黑" w:hAnsi="微软雅黑" w:eastAsia="微软雅黑" w:cs="微软雅黑"/>
          <w:spacing w:val="-18"/>
          <w:sz w:val="21"/>
          <w:szCs w:val="21"/>
        </w:rPr>
        <w:t>真</w:t>
      </w:r>
      <w:r>
        <w:rPr>
          <w:rFonts w:hint="eastAsia" w:ascii="微软雅黑" w:hAnsi="微软雅黑" w:eastAsia="微软雅黑" w:cs="微软雅黑"/>
          <w:spacing w:val="-77"/>
          <w:sz w:val="21"/>
          <w:szCs w:val="21"/>
        </w:rPr>
        <w:t xml:space="preserve"> </w:t>
      </w:r>
      <w:r>
        <w:rPr>
          <w:rFonts w:hint="eastAsia" w:ascii="微软雅黑" w:hAnsi="微软雅黑" w:eastAsia="微软雅黑" w:cs="微软雅黑"/>
          <w:spacing w:val="-18"/>
          <w:sz w:val="21"/>
          <w:szCs w:val="21"/>
        </w:rPr>
        <w:t>：</w:t>
      </w:r>
      <w:r>
        <w:rPr>
          <w:rFonts w:hint="eastAsia" w:ascii="微软雅黑" w:hAnsi="微软雅黑" w:eastAsia="微软雅黑" w:cs="微软雅黑"/>
          <w:sz w:val="21"/>
          <w:szCs w:val="21"/>
        </w:rPr>
        <w:t xml:space="preserve">                           </w: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cs="微软雅黑"/>
          <w:sz w:val="21"/>
          <w:szCs w:val="21"/>
        </w:rPr>
        <w:t xml:space="preserve"> </w:t>
      </w:r>
      <w:r>
        <w:rPr>
          <w:rFonts w:hint="eastAsia" w:ascii="微软雅黑" w:hAnsi="微软雅黑" w:eastAsia="微软雅黑" w:cs="微软雅黑"/>
          <w:spacing w:val="-18"/>
          <w:sz w:val="21"/>
          <w:szCs w:val="21"/>
        </w:rPr>
        <w:t>传</w:t>
      </w:r>
      <w:r>
        <w:rPr>
          <w:rFonts w:hint="eastAsia" w:ascii="微软雅黑" w:hAnsi="微软雅黑" w:eastAsia="微软雅黑" w:cs="微软雅黑"/>
          <w:spacing w:val="9"/>
          <w:sz w:val="21"/>
          <w:szCs w:val="21"/>
        </w:rPr>
        <w:t xml:space="preserve">    </w:t>
      </w:r>
      <w:r>
        <w:rPr>
          <w:rFonts w:hint="eastAsia" w:ascii="微软雅黑" w:hAnsi="微软雅黑" w:eastAsia="微软雅黑" w:cs="微软雅黑"/>
          <w:spacing w:val="-18"/>
          <w:sz w:val="21"/>
          <w:szCs w:val="21"/>
        </w:rPr>
        <w:t>真：</w:t>
      </w:r>
    </w:p>
    <w:p w14:paraId="289715BD">
      <w:pPr>
        <w:keepNext w:val="0"/>
        <w:keepLines w:val="0"/>
        <w:pageBreakBefore w:val="0"/>
        <w:widowControl w:val="0"/>
        <w:kinsoku/>
        <w:wordWrap/>
        <w:overflowPunct/>
        <w:topLinePunct w:val="0"/>
        <w:autoSpaceDE/>
        <w:autoSpaceDN/>
        <w:bidi w:val="0"/>
        <w:adjustRightInd/>
        <w:snapToGrid/>
        <w:spacing w:line="520" w:lineRule="exact"/>
        <w:ind w:left="0" w:right="0" w:firstLine="388" w:firstLineChars="200"/>
        <w:jc w:val="both"/>
        <w:textAlignment w:val="auto"/>
        <w:rPr>
          <w:rFonts w:hint="eastAsia" w:ascii="微软雅黑" w:hAnsi="微软雅黑" w:eastAsia="微软雅黑" w:cs="微软雅黑"/>
          <w:sz w:val="21"/>
          <w:szCs w:val="21"/>
        </w:rPr>
      </w:pPr>
      <w:bookmarkStart w:id="9" w:name="bookmark6"/>
      <w:bookmarkEnd w:id="9"/>
      <w:r>
        <w:rPr>
          <w:rFonts w:hint="eastAsia" w:ascii="微软雅黑" w:hAnsi="微软雅黑" w:eastAsia="微软雅黑" w:cs="微软雅黑"/>
          <w:spacing w:val="-8"/>
          <w:sz w:val="21"/>
          <w:szCs w:val="21"/>
        </w:rPr>
        <w:t>签约日期：  年</w:t>
      </w:r>
      <w:r>
        <w:rPr>
          <w:rFonts w:hint="eastAsia" w:ascii="微软雅黑" w:hAnsi="微软雅黑" w:eastAsia="微软雅黑" w:cs="微软雅黑"/>
          <w:spacing w:val="12"/>
          <w:sz w:val="21"/>
          <w:szCs w:val="21"/>
        </w:rPr>
        <w:t xml:space="preserve">  </w:t>
      </w:r>
      <w:r>
        <w:rPr>
          <w:rFonts w:hint="eastAsia" w:ascii="微软雅黑" w:hAnsi="微软雅黑" w:eastAsia="微软雅黑" w:cs="微软雅黑"/>
          <w:spacing w:val="-8"/>
          <w:sz w:val="21"/>
          <w:szCs w:val="21"/>
        </w:rPr>
        <w:t>月</w:t>
      </w:r>
      <w:r>
        <w:rPr>
          <w:rFonts w:hint="eastAsia" w:ascii="微软雅黑" w:hAnsi="微软雅黑" w:eastAsia="微软雅黑" w:cs="微软雅黑"/>
          <w:spacing w:val="29"/>
          <w:sz w:val="21"/>
          <w:szCs w:val="21"/>
        </w:rPr>
        <w:t xml:space="preserve">  </w:t>
      </w:r>
      <w:r>
        <w:rPr>
          <w:rFonts w:hint="eastAsia" w:ascii="微软雅黑" w:hAnsi="微软雅黑" w:eastAsia="微软雅黑" w:cs="微软雅黑"/>
          <w:spacing w:val="-8"/>
          <w:sz w:val="21"/>
          <w:szCs w:val="21"/>
        </w:rPr>
        <w:t xml:space="preserve">日             </w:t>
      </w:r>
      <w:r>
        <w:rPr>
          <w:rFonts w:hint="eastAsia" w:ascii="微软雅黑" w:hAnsi="微软雅黑" w:eastAsia="微软雅黑" w:cs="微软雅黑"/>
          <w:spacing w:val="-8"/>
          <w:sz w:val="21"/>
          <w:szCs w:val="21"/>
          <w:lang w:val="en-US" w:eastAsia="zh-CN"/>
        </w:rPr>
        <w:t xml:space="preserve">     </w:t>
      </w:r>
      <w:r>
        <w:rPr>
          <w:rFonts w:hint="eastAsia" w:ascii="微软雅黑" w:hAnsi="微软雅黑" w:eastAsia="微软雅黑" w:cs="微软雅黑"/>
          <w:spacing w:val="-8"/>
          <w:sz w:val="21"/>
          <w:szCs w:val="21"/>
        </w:rPr>
        <w:t xml:space="preserve"> 签约日期：  年</w:t>
      </w:r>
      <w:r>
        <w:rPr>
          <w:rFonts w:hint="eastAsia" w:ascii="微软雅黑" w:hAnsi="微软雅黑" w:eastAsia="微软雅黑" w:cs="微软雅黑"/>
          <w:spacing w:val="12"/>
          <w:sz w:val="21"/>
          <w:szCs w:val="21"/>
        </w:rPr>
        <w:t xml:space="preserve">  </w:t>
      </w:r>
      <w:r>
        <w:rPr>
          <w:rFonts w:hint="eastAsia" w:ascii="微软雅黑" w:hAnsi="微软雅黑" w:eastAsia="微软雅黑" w:cs="微软雅黑"/>
          <w:spacing w:val="-8"/>
          <w:sz w:val="21"/>
          <w:szCs w:val="21"/>
        </w:rPr>
        <w:t xml:space="preserve">月  </w:t>
      </w:r>
      <w:r>
        <w:rPr>
          <w:rFonts w:hint="eastAsia" w:ascii="微软雅黑" w:hAnsi="微软雅黑" w:eastAsia="微软雅黑" w:cs="微软雅黑"/>
          <w:spacing w:val="-9"/>
          <w:sz w:val="21"/>
          <w:szCs w:val="21"/>
        </w:rPr>
        <w:t xml:space="preserve"> 日</w:t>
      </w:r>
    </w:p>
    <w:p w14:paraId="36453F90"/>
    <w:sectPr>
      <w:headerReference r:id="rId5" w:type="default"/>
      <w:pgSz w:w="11905" w:h="16838"/>
      <w:pgMar w:top="1383" w:right="1417" w:bottom="1383" w:left="1701" w:header="1060" w:footer="0" w:gutter="0"/>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AAA52">
    <w:pPr>
      <w:spacing w:before="53" w:line="229" w:lineRule="auto"/>
      <w:ind w:left="15"/>
      <w:rPr>
        <w:rFonts w:ascii="仿宋" w:hAnsi="仿宋" w:eastAsia="仿宋" w:cs="仿宋"/>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62515CE9"/>
    <w:rsid w:val="02467A31"/>
    <w:rsid w:val="03C77E99"/>
    <w:rsid w:val="0561174D"/>
    <w:rsid w:val="0CC41E70"/>
    <w:rsid w:val="0DFD060A"/>
    <w:rsid w:val="10916BA4"/>
    <w:rsid w:val="144C3A72"/>
    <w:rsid w:val="1B8076CB"/>
    <w:rsid w:val="1D2366AB"/>
    <w:rsid w:val="21C02D6D"/>
    <w:rsid w:val="225F50FE"/>
    <w:rsid w:val="2755784B"/>
    <w:rsid w:val="29B7714B"/>
    <w:rsid w:val="29E74DB9"/>
    <w:rsid w:val="2A09202A"/>
    <w:rsid w:val="2B57116C"/>
    <w:rsid w:val="2D012D2F"/>
    <w:rsid w:val="2DC047AC"/>
    <w:rsid w:val="3586141B"/>
    <w:rsid w:val="3B077069"/>
    <w:rsid w:val="3B6253ED"/>
    <w:rsid w:val="3E9A01F4"/>
    <w:rsid w:val="3FA639A6"/>
    <w:rsid w:val="432B57DF"/>
    <w:rsid w:val="469B0D50"/>
    <w:rsid w:val="46F114B3"/>
    <w:rsid w:val="47C347BD"/>
    <w:rsid w:val="49E80264"/>
    <w:rsid w:val="4C0514DD"/>
    <w:rsid w:val="4C334E7A"/>
    <w:rsid w:val="4C5F4C50"/>
    <w:rsid w:val="578318F4"/>
    <w:rsid w:val="5C2C64D8"/>
    <w:rsid w:val="5CC96ACD"/>
    <w:rsid w:val="62515CE9"/>
    <w:rsid w:val="62F04E50"/>
    <w:rsid w:val="66E27E37"/>
    <w:rsid w:val="684951C2"/>
    <w:rsid w:val="688E376F"/>
    <w:rsid w:val="6AAD4C88"/>
    <w:rsid w:val="6D2055BE"/>
    <w:rsid w:val="6E120B39"/>
    <w:rsid w:val="6FA403B2"/>
    <w:rsid w:val="744D3038"/>
    <w:rsid w:val="77501DCD"/>
    <w:rsid w:val="7B165BB8"/>
    <w:rsid w:val="7BB1183B"/>
    <w:rsid w:val="7CD82196"/>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1"/>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4">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rPr>
      <w:rFonts w:ascii="宋体" w:hAnsi="宋体" w:eastAsia="宋体" w:cs="宋体"/>
      <w:sz w:val="24"/>
      <w:lang w:val="zh-CN" w:bidi="zh-CN"/>
    </w:rPr>
  </w:style>
  <w:style w:type="paragraph" w:styleId="7">
    <w:name w:val="Body Text Indent"/>
    <w:basedOn w:val="1"/>
    <w:qFormat/>
    <w:uiPriority w:val="99"/>
    <w:pPr>
      <w:ind w:firstLine="630"/>
    </w:pPr>
    <w:rPr>
      <w:sz w:val="32"/>
      <w:szCs w:val="20"/>
    </w:rPr>
  </w:style>
  <w:style w:type="paragraph" w:styleId="8">
    <w:name w:val="Plain Text"/>
    <w:basedOn w:val="1"/>
    <w:qFormat/>
    <w:uiPriority w:val="99"/>
    <w:rPr>
      <w:rFonts w:ascii="宋体" w:hAnsi="Courier New"/>
      <w:szCs w:val="21"/>
    </w:rPr>
  </w:style>
  <w:style w:type="paragraph" w:styleId="9">
    <w:name w:val="Body Text First Indent 2"/>
    <w:basedOn w:val="7"/>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宋体" w:hAnsi="Times New Roman" w:eastAsia="Arial Unicode MS" w:cs="宋体"/>
      <w:color w:val="000000"/>
      <w:sz w:val="24"/>
      <w:szCs w:val="24"/>
      <w:lang w:val="en-US" w:eastAsia="zh-CN" w:bidi="ar-SA"/>
    </w:r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2"/>
    <w:qFormat/>
    <w:uiPriority w:val="0"/>
    <w:rPr>
      <w:rFonts w:ascii="Times New Roman" w:hAnsi="Times New Roman" w:eastAsia="宋体" w:cs="Times New Roman"/>
      <w:b/>
      <w:kern w:val="44"/>
      <w:sz w:val="32"/>
      <w:szCs w:val="21"/>
    </w:rPr>
  </w:style>
  <w:style w:type="character" w:customStyle="1" w:styleId="15">
    <w:name w:val="标题 2 Char"/>
    <w:link w:val="3"/>
    <w:qFormat/>
    <w:uiPriority w:val="9"/>
    <w:rPr>
      <w:rFonts w:ascii="Cambria" w:hAnsi="Cambria" w:eastAsia="宋体" w:cs="Times New Roman"/>
      <w:b/>
      <w:bCs/>
      <w:kern w:val="0"/>
      <w:sz w:val="28"/>
      <w:szCs w:val="32"/>
    </w:rPr>
  </w:style>
  <w:style w:type="character" w:customStyle="1" w:styleId="16">
    <w:name w:val="标题 3 字符"/>
    <w:link w:val="4"/>
    <w:qFormat/>
    <w:uiPriority w:val="0"/>
    <w:rPr>
      <w:rFonts w:ascii="Times New Roman" w:hAnsi="Times New Roman" w:eastAsia="宋体" w:cs="Times New Roman"/>
      <w:b/>
      <w:bCs/>
      <w:sz w:val="32"/>
      <w:szCs w:val="32"/>
    </w:rPr>
  </w:style>
  <w:style w:type="paragraph" w:customStyle="1" w:styleId="17">
    <w:name w:val="样式 首行缩进:  2 字符"/>
    <w:basedOn w:val="1"/>
    <w:qFormat/>
    <w:uiPriority w:val="99"/>
    <w:pPr>
      <w:spacing w:line="400" w:lineRule="exact"/>
      <w:ind w:firstLine="200" w:firstLineChars="200"/>
    </w:pPr>
    <w:rPr>
      <w:rFonts w:cs="宋体"/>
      <w:sz w:val="24"/>
    </w:rPr>
  </w:style>
  <w:style w:type="paragraph" w:customStyle="1" w:styleId="18">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3128</Words>
  <Characters>3219</Characters>
  <Lines>0</Lines>
  <Paragraphs>0</Paragraphs>
  <TotalTime>22</TotalTime>
  <ScaleCrop>false</ScaleCrop>
  <LinksUpToDate>false</LinksUpToDate>
  <CharactersWithSpaces>3770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2024-10-23T03:37:00Z</dcterms:created>
  <dc:creator>罗永山</dc:creator>
  <cp:lastModifiedBy>WPS_1573284078</cp:lastModifiedBy>
  <dcterms:modified xsi:type="dcterms:W3CDTF">2026-09-01T03:18:30Z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678D9B7BCD5448378A2D02077B8DE99A_11</vt:lpwstr>
  </property>
  <property fmtid="{D5CDD505-2E9C-101B-9397-08002B2CF9AE}" pid="4" name="KSOTemplateDocerSaveRecord">
    <vt:lpwstr>eyJoZGlkIjoiYjZhZjc3OTFjMzkxZDhkNTY0YzVkYjhkMjlhMzM0MmQiLCJ1c2VySWQiOiI3MTA2MTczODYifQ==</vt:lpwstr>
  </property>
</Properties>
</file>