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版本号：YC2631200104-ZFCG20260509001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2026年中央水利发展资金周至县农村供水工程维修养护项目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YC2631200104-ZFCG</w:t>
      </w:r>
      <w:r>
        <w:br/>
      </w:r>
      <w:r>
        <w:br/>
      </w:r>
      <w:r>
        <w:br/>
      </w:r>
    </w:p>
    <w:p>
      <w:pPr>
        <w:pStyle w:val="null3"/>
        <w:jc w:val="center"/>
        <w:outlineLvl w:val="2"/>
      </w:pPr>
      <w:r>
        <w:rPr>
          <w:rFonts w:ascii="仿宋_GB2312" w:hAnsi="仿宋_GB2312" w:cs="仿宋_GB2312" w:eastAsia="仿宋_GB2312"/>
          <w:sz w:val="28"/>
          <w:b/>
        </w:rPr>
        <w:t>西安市周至县人畜安全饮水管理中心</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西安市周至县人畜安全饮水管理中心</w:t>
      </w:r>
      <w:r>
        <w:rPr>
          <w:rFonts w:ascii="仿宋_GB2312" w:hAnsi="仿宋_GB2312" w:cs="仿宋_GB2312" w:eastAsia="仿宋_GB2312"/>
        </w:rPr>
        <w:t>委托，拟对</w:t>
      </w:r>
      <w:r>
        <w:rPr>
          <w:rFonts w:ascii="仿宋_GB2312" w:hAnsi="仿宋_GB2312" w:cs="仿宋_GB2312" w:eastAsia="仿宋_GB2312"/>
        </w:rPr>
        <w:t>2026年中央水利发展资金周至县农村供水工程维修养护项目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YC2631200104-ZFCG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2026年中央水利发展资金周至县农村供水工程维修养护项目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本工程主要对尚村镇、集贤镇、马召镇、翠峰镇、竹峪镇、哑柏镇等10镇16村供水点供水设备及设施进行更换维修，主要建设内容:铺设PE管7990m，修建闸阀井7座，更换各类水表326块，潜水泵16台，各类电缆1674m等。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采购包1（2026年中央水利发展资金周至县农村供水工程维修养护项目）：属于专门面向中小企业采购。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w:t>
      </w:r>
    </w:p>
    <w:p>
      <w:pPr>
        <w:pStyle w:val="null3"/>
      </w:pPr>
      <w:r>
        <w:rPr>
          <w:rFonts w:ascii="仿宋_GB2312" w:hAnsi="仿宋_GB2312" w:cs="仿宋_GB2312" w:eastAsia="仿宋_GB2312"/>
        </w:rPr>
        <w:t>3、企业资质：供应商具备水利水电工程施工总承包三级以上(含三级)资质，具有有效的安全生产许可证;</w:t>
      </w:r>
    </w:p>
    <w:p>
      <w:pPr>
        <w:pStyle w:val="null3"/>
      </w:pPr>
      <w:r>
        <w:rPr>
          <w:rFonts w:ascii="仿宋_GB2312" w:hAnsi="仿宋_GB2312" w:cs="仿宋_GB2312" w:eastAsia="仿宋_GB2312"/>
        </w:rPr>
        <w:t>4、拟派项目经理资格和专业要求：拟派项目经理须具备有效的水利水电工程专业二级(含二级)以上建造师注册证，具备水行政主管部门颁发的安全生产考核合格证(B证)，且在本单位注册，无在建工程;</w:t>
      </w:r>
    </w:p>
    <w:p>
      <w:pPr>
        <w:pStyle w:val="null3"/>
      </w:pPr>
      <w:r>
        <w:rPr>
          <w:rFonts w:ascii="仿宋_GB2312" w:hAnsi="仿宋_GB2312" w:cs="仿宋_GB2312" w:eastAsia="仿宋_GB2312"/>
        </w:rPr>
        <w:t>5、企业信誉：供应商不得为“信用中国”网站(https://www.creditchina.gov.cn/)列入“失信被执行人(页面跳转至“中国执行信息公开网”https://zxgk.court.gov.c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6、单位负责人为同一人或者存在直接控股管理关系的不同供应商：单位负责人为同一人或者存在直接控股、管理关系的不同供应商，不得参与同一合同项下的政府采购活动;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西安市周至县人畜安全饮水管理中心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西安市周至县人畜安全饮水管理中心经办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029-87112272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蒋斌、赵醒文、张耀峰，赵利科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采购包1：838,950.00元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代理服务费收费标准：招标代理服务费参考国家计委颁发的《招标代理服务收费管理暂行办法》（计价格[2002]1980号）文件标准收取，成交供应商在领取成交通知书前一次性支付。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西安市周至县人畜安全饮水管理中心</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西安市周至县人畜安全饮水管理中心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西安市周至县人畜安全饮水管理中心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完成所有项目，质量达到国家施工验收规范“合格”标准。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联系人：蒋斌、赵醒文、张耀峰，赵利科</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地址：西安市高新区丈八五路高科尚都ONE尚城A座10楼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838,950.00</w:t>
      </w:r>
    </w:p>
    <w:p>
      <w:pPr>
        <w:pStyle w:val="null3"/>
      </w:pPr>
      <w:r>
        <w:rPr>
          <w:rFonts w:ascii="仿宋_GB2312" w:hAnsi="仿宋_GB2312" w:cs="仿宋_GB2312" w:eastAsia="仿宋_GB2312"/>
        </w:rPr>
        <w:t>采购包最高限价（元）: 838,950.00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2026年中央水利发展资金周至县农村供水工程维修养护项目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838,950.00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标的名称：2026年中央水利发展资金周至县农村供水工程维修养护项目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按照2026年农村饮水工程维修养护资金计划，对周至县急需解决的16处项目村组及供水站进行管网维修及潜水泵等设备设施更换。各村组存在不同程度问题，有水源地设施设备损毁、管网漏损、蓄水池漏水严重等。主要存在问题:1水源不足或水源地取水设施设备损毁;2管道老旧，漏损严重，由于管道埋设年代较久为U-PVC管，管道出现老化现象，局部漏损严重;3部分蓄水池、水塔年久失修，漏水严重。4部分供水设施设备年久失修，老化严重，出水量已不满足供水需求。本次针对水量充足，仅取水设施损毁的情况进行更换设备或修建取水。</w:t>
            </w:r>
          </w:p>
          <w:p>
            <w:pPr>
              <w:pStyle w:val="null3"/>
            </w:pPr>
            <w:r>
              <w:rPr>
                <w:rFonts w:ascii="仿宋_GB2312" w:hAnsi="仿宋_GB2312" w:cs="仿宋_GB2312" w:eastAsia="仿宋_GB2312"/>
              </w:rPr>
              <w:t>工程地点：周至县尚村镇神灵寺村、九峰镇虎峰村、楼观镇团标村、富仁镇大寨子村、司竹镇北司竹村、马召镇崇耕村、广济镇广济村、广济镇欢乐村、广济镇师高村、马召镇辛口村、翠峰镇史务村、竹峪镇丹阳村、竹峪镇五星村、竹峪镇西沟村、竹峪镇东大墙村、哑柏镇(仰天村)</w:t>
            </w:r>
          </w:p>
          <w:p>
            <w:pPr>
              <w:pStyle w:val="null3"/>
            </w:pPr>
            <w:r>
              <w:rPr>
                <w:rFonts w:ascii="仿宋_GB2312" w:hAnsi="仿宋_GB2312" w:cs="仿宋_GB2312" w:eastAsia="仿宋_GB2312"/>
              </w:rPr>
              <w:t>主要建设内容：本工程主要对尚村镇、集贤镇、马召镇、翠峰镇、竹峪镇、哑柏镇等10镇16村供水点供水设备及设施进行更换维修，主要建设内容:铺设PE管7990m，修建闸阀井7座，更换各类水表326块，潜水泵16台，各类电缆1674m等。（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工期及质量要求：工期：自合同签订之日起</w:t>
            </w:r>
            <w:r>
              <w:rPr>
                <w:rFonts w:ascii="仿宋_GB2312" w:hAnsi="仿宋_GB2312" w:cs="仿宋_GB2312" w:eastAsia="仿宋_GB2312"/>
                <w:sz w:val="21"/>
              </w:rPr>
              <w:t>180日历天。质量要求：达到国家施工验收规范“合格”标准。质保期：工程竣工验收合格之日起壹年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其他要求</w:t>
            </w:r>
            <w:r>
              <w:rPr>
                <w:rFonts w:ascii="仿宋_GB2312" w:hAnsi="仿宋_GB2312" w:cs="仿宋_GB2312" w:eastAsia="仿宋_GB2312"/>
                <w:sz w:val="21"/>
              </w:rPr>
              <w:t>;施工单位必须为本项目购买安全生产责任保险（简称“安责险”），以保障在施工过程中可能发生的生产安全事故导致的人员伤亡和相关经济损失。根据水利部颁布的《水利工程设计概算编制规定》和《水利工程工程量清单计价规范》（GB50501—2007），水利工程的单价分析表中包含安全措施费用。安责险作为安全措施的一部分，其费用已包含在这些安全措施费用中。</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满足项目采购需求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编制说明 一、工程概况 工程名称：2026年中央水利发展资金周至县农村供水工程维修养护项目。 工程概况：按照2026年农村饮水工程维修养护资金计划，对周至县急需解决的16处项目村组及供水站进行管网维修及潜水泵等设备设施更换。各村组存在不同程度问题，有水源地设施设备损毁、管网漏损、蓄水池漏水严重等。主要存在问题:1水源不足或水源地取水设施设备损毁;2管道老旧，漏损严重，由于管道埋设年代较久为U-PVC管，管道出现老化现象，局部漏损严重;3部分蓄水池、水塔年久失修，漏水严重。4部分供水设施设备年久失修，老化严重，出水量已不满足供水需求。本次针对水量充足，仅取水设施损毁的情况进行更换设备或修建取水。 二、编制依据及内容 1、文件依据： 1）.陕水规计[2024]107 号文颁发的《陕西省水利建筑工程预算定 额(2024 年修正)》 2）.水利部办公厅调整水利工程计价依据增值税计算标准的通知(办财务函[2019]448号) 2、定额依据 (1)《陕西省水利建筑工程预算定额》(2024年修正)上下册； (2)《陕西省水利设备安装工程预算定额》(2024 年修正); (3)《陕西省水利工程施工机械台班费定额》(2024 年修正); (4) 定额不足部分采用相关定额进行补充 三、取费标准 1、其他直接费:工程所在地属于关中地区，依据陕水规计项目[2024]107号文颁发的《陕西省水利水电工程预算编制办法及费用标准》，建筑工程按基本直接费的3.75%计算，安装工程按基本直接费的4.85%计算。 2、间接费:依据陕水规计项目[2024]107号文颁发《陕西省水利工程设计预算编制规定》执行; 3、利润:依据陕水规计项目[2024]107号颁发《陕西省水利工程设计预算编制规定》执行，本工程按直接费、间接费之和的 5%。 4、税金:依据陕水规计项目[2024]107号颁发《陕西省水利工程设计预算编制规定》执行，建筑业增值税销项税率为 9%。 5、人工预算单价 人工预算单价：依据陕水规计项目[2024]107号颁发《陕西省水利 工程设计预算编制规定》,人工预算单价执行技工75元/工日，普工50 元/工日。 6、主要材料预算价格和规定价格 主要材料预算价格：主要材料根据2025 年第4季度调查当地材料价格水平进行计算，其中主要材料以“陕西省水利工程设计预算编制规 定”中规定价计入工程单价，其价差计取税金后列入工程单价。 次要材料预算价格：按2025 年 第 4 季度周至县市场价格确定 7、临时工程 其他临时工程：本工程不计列 五、其他说明 1.编制软件：使用天宇计价软件编制。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 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供应商具备水利水电工程施工总承包三级以上(含三级)资质，具有有效的安全生产许可证;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拟派项目经理资格和专业要求</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https://www.creditchina.gov.cn/)列入“失信被执行人(页面跳转至“中国执行信息公开网”https://zxgk.court.gov.c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w:t>
            </w:r>
          </w:p>
        </w:tc>
        <w:tc>
          <w:tcPr>
            <w:tcW w:type="dxa" w:w="3322"/>
          </w:tcPr>
          <w:p>
            <w:pPr>
              <w:pStyle w:val="null3"/>
            </w:pPr>
            <w:r>
              <w:rPr>
                <w:rFonts w:ascii="仿宋_GB2312" w:hAnsi="仿宋_GB2312" w:cs="仿宋_GB2312" w:eastAsia="仿宋_GB2312"/>
              </w:rPr>
              <w:t>单位负责人为同一人或者存在直接控股、管理关系的不同供应商，不得参与同一合同项下的政府采购活动;</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相关资格证明材料.docx 强制优先采购产品承诺函 响应方案.docx 响应文件封面 分项报价表.docx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（2）计量单位、报价货币均符合招标文件要求； （3）未超出采购预算或招标文件规定的最高限价。</w:t>
            </w:r>
          </w:p>
        </w:tc>
        <w:tc>
          <w:tcPr>
            <w:tcW w:type="dxa" w:w="1661"/>
          </w:tcPr>
          <w:p>
            <w:pPr>
              <w:pStyle w:val="null3"/>
            </w:pPr>
            <w:r>
              <w:rPr>
                <w:rFonts w:ascii="仿宋_GB2312" w:hAnsi="仿宋_GB2312" w:cs="仿宋_GB2312" w:eastAsia="仿宋_GB2312"/>
              </w:rPr>
              <w:t>已标价工程量清单 分项报价表.docx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施工方案及技术措施内容至少包括①施工准备；②施工方法；③重点难点工程分析及解决措施；④影响正常施工外在因素分析及对应预案等。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安全管理体系与措施内容至少包括①安全生产管理制度；②配置安全组织机构；③安全隐患排查、整改制度；④应急救援机制等。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环境保护管理体系与措施内容至少包括①环境保护措施；②水土保持措施；③预防和动态控制措施及制度等。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工程进度计划与措施内容至少包括①施工进度计划管理；②保证工程进度技术措施；③合理组织、科学管理工程项目施工等。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 以上内容专门针对本项目且符合本项目实际需求的得6分，每缺一项内容扣3分，若上述内容存在瑕疵，每存在1处瑕疵扣1分，扣完为止。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项目管理机构内容至少包括①项目管理机构图；②岗位安排及职责（配备有施工员、专职质检员、安全员、材料员等）；③管理制度；④相应的协调措施等。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供应商近3年(自2023年1月1日至今)类似项目业绩，完成一个业绩得2 分，每增加一个业绩加1分，最多得 6分；（以合同签订日期并加盖公章的合同复印件或中标通知书为准；弄虚作假者取消其中标资格）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服务承诺内容至少包括①服务措施；②服务承诺；③服务质量保障等。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