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3CD02">
      <w:pPr>
        <w:ind w:firstLine="480" w:firstLineChars="150"/>
        <w:jc w:val="center"/>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rPr>
        <w:t>流固耦合波流玻璃槽体供回水装置合同</w:t>
      </w:r>
      <w:r>
        <w:rPr>
          <w:rFonts w:hint="eastAsia" w:ascii="宋体" w:hAnsi="宋体" w:eastAsia="宋体" w:cs="宋体"/>
          <w:color w:val="auto"/>
          <w:sz w:val="32"/>
          <w:szCs w:val="32"/>
          <w:highlight w:val="none"/>
        </w:rPr>
        <w:br w:type="textWrapping"/>
      </w:r>
      <w:r>
        <w:rPr>
          <w:rFonts w:hint="eastAsia" w:ascii="宋体" w:hAnsi="宋体" w:cs="宋体"/>
          <w:color w:val="auto"/>
          <w:sz w:val="32"/>
          <w:szCs w:val="32"/>
          <w:highlight w:val="none"/>
          <w:lang w:eastAsia="zh-CN"/>
        </w:rPr>
        <w:t>（</w:t>
      </w:r>
      <w:r>
        <w:rPr>
          <w:rFonts w:hint="eastAsia" w:ascii="宋体" w:hAnsi="宋体" w:cs="宋体"/>
          <w:color w:val="auto"/>
          <w:sz w:val="32"/>
          <w:szCs w:val="32"/>
          <w:highlight w:val="none"/>
          <w:lang w:val="en-US" w:eastAsia="zh-CN"/>
        </w:rPr>
        <w:t>仅供参考</w:t>
      </w:r>
      <w:bookmarkStart w:id="0" w:name="_GoBack"/>
      <w:bookmarkEnd w:id="0"/>
      <w:r>
        <w:rPr>
          <w:rFonts w:hint="eastAsia" w:ascii="宋体" w:hAnsi="宋体" w:cs="宋体"/>
          <w:color w:val="auto"/>
          <w:sz w:val="32"/>
          <w:szCs w:val="32"/>
          <w:highlight w:val="none"/>
          <w:lang w:eastAsia="zh-CN"/>
        </w:rPr>
        <w:t>）</w:t>
      </w:r>
    </w:p>
    <w:p w14:paraId="3FD1A3C7">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根据《中华人民共和国政府采购法》、《中华人民共和国民法典》及有关法律规定，遵循平等、自愿、公平和诚实信用的原则，西安石油大学（甲方）与××××公司（乙方）就深水钻井井筒模拟实验装置（招标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）经双方协商达成如下合同条款：</w:t>
      </w:r>
    </w:p>
    <w:p w14:paraId="41B0E2CE">
      <w:pPr>
        <w:spacing w:line="360" w:lineRule="auto"/>
        <w:rPr>
          <w:rFonts w:ascii="宋体" w:hAnsi="宋体" w:eastAsia="宋体" w:cs="宋体"/>
          <w:b/>
          <w:color w:val="auto"/>
          <w:sz w:val="24"/>
          <w:highlight w:val="none"/>
        </w:rPr>
      </w:pPr>
      <w:r>
        <w:rPr>
          <w:rFonts w:hint="eastAsia" w:ascii="宋体" w:hAnsi="宋体" w:eastAsia="宋体" w:cs="宋体"/>
          <w:b/>
          <w:color w:val="auto"/>
          <w:sz w:val="24"/>
          <w:highlight w:val="none"/>
        </w:rPr>
        <w:t>一、合同内容</w:t>
      </w:r>
    </w:p>
    <w:p w14:paraId="4CD808EF">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5B74F5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6E65ABF5">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货物名称</w:t>
            </w:r>
          </w:p>
        </w:tc>
        <w:tc>
          <w:tcPr>
            <w:tcW w:w="1545" w:type="dxa"/>
            <w:tcBorders>
              <w:top w:val="single" w:color="auto" w:sz="4" w:space="0"/>
              <w:left w:val="nil"/>
              <w:bottom w:val="single" w:color="auto" w:sz="4" w:space="0"/>
              <w:right w:val="single" w:color="auto" w:sz="4" w:space="0"/>
            </w:tcBorders>
            <w:vAlign w:val="center"/>
          </w:tcPr>
          <w:p w14:paraId="704A4A25">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型号与规格</w:t>
            </w:r>
          </w:p>
        </w:tc>
        <w:tc>
          <w:tcPr>
            <w:tcW w:w="1440" w:type="dxa"/>
            <w:tcBorders>
              <w:top w:val="single" w:color="auto" w:sz="4" w:space="0"/>
              <w:left w:val="nil"/>
              <w:bottom w:val="single" w:color="auto" w:sz="4" w:space="0"/>
              <w:right w:val="single" w:color="auto" w:sz="4" w:space="0"/>
            </w:tcBorders>
            <w:vAlign w:val="center"/>
          </w:tcPr>
          <w:p w14:paraId="3AB4D1F6">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生产商、产地</w:t>
            </w:r>
          </w:p>
        </w:tc>
        <w:tc>
          <w:tcPr>
            <w:tcW w:w="810" w:type="dxa"/>
            <w:tcBorders>
              <w:top w:val="single" w:color="auto" w:sz="4" w:space="0"/>
              <w:left w:val="nil"/>
              <w:bottom w:val="single" w:color="auto" w:sz="4" w:space="0"/>
              <w:right w:val="single" w:color="auto" w:sz="4" w:space="0"/>
            </w:tcBorders>
            <w:vAlign w:val="center"/>
          </w:tcPr>
          <w:p w14:paraId="39A73739">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700" w:type="dxa"/>
            <w:tcBorders>
              <w:top w:val="single" w:color="auto" w:sz="4" w:space="0"/>
              <w:left w:val="nil"/>
              <w:bottom w:val="single" w:color="auto" w:sz="4" w:space="0"/>
              <w:right w:val="single" w:color="auto" w:sz="4" w:space="0"/>
            </w:tcBorders>
            <w:vAlign w:val="center"/>
          </w:tcPr>
          <w:p w14:paraId="663D31E4">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1100" w:type="dxa"/>
            <w:tcBorders>
              <w:top w:val="single" w:color="auto" w:sz="4" w:space="0"/>
              <w:left w:val="nil"/>
              <w:bottom w:val="single" w:color="auto" w:sz="4" w:space="0"/>
              <w:right w:val="single" w:color="auto" w:sz="4" w:space="0"/>
            </w:tcBorders>
            <w:vAlign w:val="center"/>
          </w:tcPr>
          <w:p w14:paraId="1A779F2C">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单价（元）</w:t>
            </w:r>
          </w:p>
        </w:tc>
        <w:tc>
          <w:tcPr>
            <w:tcW w:w="1100" w:type="dxa"/>
            <w:tcBorders>
              <w:top w:val="single" w:color="auto" w:sz="4" w:space="0"/>
              <w:left w:val="nil"/>
              <w:bottom w:val="single" w:color="auto" w:sz="4" w:space="0"/>
              <w:right w:val="single" w:color="auto" w:sz="4" w:space="0"/>
            </w:tcBorders>
            <w:vAlign w:val="center"/>
          </w:tcPr>
          <w:p w14:paraId="60D2670D">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总价（元）</w:t>
            </w:r>
          </w:p>
        </w:tc>
      </w:tr>
      <w:tr w14:paraId="7CB7CC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505B7E3F">
            <w:pPr>
              <w:spacing w:line="360" w:lineRule="auto"/>
              <w:rPr>
                <w:rFonts w:ascii="宋体" w:hAnsi="宋体" w:eastAsia="宋体" w:cs="宋体"/>
                <w:color w:val="auto"/>
                <w:szCs w:val="21"/>
                <w:highlight w:val="none"/>
              </w:rPr>
            </w:pPr>
          </w:p>
        </w:tc>
        <w:tc>
          <w:tcPr>
            <w:tcW w:w="1545" w:type="dxa"/>
            <w:tcBorders>
              <w:top w:val="single" w:color="auto" w:sz="4" w:space="0"/>
              <w:left w:val="nil"/>
              <w:bottom w:val="single" w:color="auto" w:sz="4" w:space="0"/>
              <w:right w:val="single" w:color="auto" w:sz="4" w:space="0"/>
            </w:tcBorders>
          </w:tcPr>
          <w:p w14:paraId="23FB9C32">
            <w:pPr>
              <w:spacing w:line="360" w:lineRule="auto"/>
              <w:rPr>
                <w:rFonts w:ascii="宋体" w:hAnsi="宋体" w:eastAsia="宋体" w:cs="宋体"/>
                <w:color w:val="auto"/>
                <w:szCs w:val="21"/>
                <w:highlight w:val="none"/>
              </w:rPr>
            </w:pPr>
          </w:p>
        </w:tc>
        <w:tc>
          <w:tcPr>
            <w:tcW w:w="1440" w:type="dxa"/>
            <w:tcBorders>
              <w:top w:val="single" w:color="auto" w:sz="4" w:space="0"/>
              <w:left w:val="nil"/>
              <w:bottom w:val="single" w:color="auto" w:sz="4" w:space="0"/>
              <w:right w:val="single" w:color="auto" w:sz="4" w:space="0"/>
            </w:tcBorders>
          </w:tcPr>
          <w:p w14:paraId="40BCE94B">
            <w:pPr>
              <w:spacing w:line="360" w:lineRule="auto"/>
              <w:rPr>
                <w:rFonts w:ascii="宋体" w:hAnsi="宋体" w:eastAsia="宋体" w:cs="宋体"/>
                <w:color w:val="auto"/>
                <w:szCs w:val="21"/>
                <w:highlight w:val="none"/>
              </w:rPr>
            </w:pPr>
          </w:p>
        </w:tc>
        <w:tc>
          <w:tcPr>
            <w:tcW w:w="810" w:type="dxa"/>
            <w:tcBorders>
              <w:top w:val="single" w:color="auto" w:sz="4" w:space="0"/>
              <w:left w:val="nil"/>
              <w:bottom w:val="single" w:color="auto" w:sz="4" w:space="0"/>
              <w:right w:val="single" w:color="auto" w:sz="4" w:space="0"/>
            </w:tcBorders>
          </w:tcPr>
          <w:p w14:paraId="62499B47">
            <w:pPr>
              <w:spacing w:line="360" w:lineRule="auto"/>
              <w:rPr>
                <w:rFonts w:ascii="宋体" w:hAnsi="宋体" w:eastAsia="宋体" w:cs="宋体"/>
                <w:color w:val="auto"/>
                <w:szCs w:val="21"/>
                <w:highlight w:val="none"/>
              </w:rPr>
            </w:pPr>
          </w:p>
        </w:tc>
        <w:tc>
          <w:tcPr>
            <w:tcW w:w="700" w:type="dxa"/>
            <w:tcBorders>
              <w:top w:val="single" w:color="auto" w:sz="4" w:space="0"/>
              <w:left w:val="nil"/>
              <w:bottom w:val="single" w:color="auto" w:sz="4" w:space="0"/>
              <w:right w:val="single" w:color="auto" w:sz="4" w:space="0"/>
            </w:tcBorders>
          </w:tcPr>
          <w:p w14:paraId="7B642DB3">
            <w:pPr>
              <w:spacing w:line="360" w:lineRule="auto"/>
              <w:rPr>
                <w:rFonts w:ascii="宋体" w:hAnsi="宋体" w:eastAsia="宋体" w:cs="宋体"/>
                <w:color w:val="auto"/>
                <w:szCs w:val="21"/>
                <w:highlight w:val="none"/>
              </w:rPr>
            </w:pPr>
          </w:p>
        </w:tc>
        <w:tc>
          <w:tcPr>
            <w:tcW w:w="1100" w:type="dxa"/>
            <w:tcBorders>
              <w:top w:val="single" w:color="auto" w:sz="4" w:space="0"/>
              <w:left w:val="nil"/>
              <w:bottom w:val="single" w:color="auto" w:sz="4" w:space="0"/>
              <w:right w:val="single" w:color="auto" w:sz="4" w:space="0"/>
            </w:tcBorders>
          </w:tcPr>
          <w:p w14:paraId="250F4639">
            <w:pPr>
              <w:spacing w:line="360" w:lineRule="auto"/>
              <w:rPr>
                <w:rFonts w:ascii="宋体" w:hAnsi="宋体" w:eastAsia="宋体" w:cs="宋体"/>
                <w:color w:val="auto"/>
                <w:szCs w:val="21"/>
                <w:highlight w:val="none"/>
              </w:rPr>
            </w:pPr>
          </w:p>
        </w:tc>
        <w:tc>
          <w:tcPr>
            <w:tcW w:w="1100" w:type="dxa"/>
            <w:tcBorders>
              <w:top w:val="single" w:color="auto" w:sz="4" w:space="0"/>
              <w:left w:val="nil"/>
              <w:bottom w:val="single" w:color="auto" w:sz="4" w:space="0"/>
              <w:right w:val="single" w:color="auto" w:sz="4" w:space="0"/>
            </w:tcBorders>
          </w:tcPr>
          <w:p w14:paraId="0F0A5991">
            <w:pPr>
              <w:spacing w:line="360" w:lineRule="auto"/>
              <w:rPr>
                <w:rFonts w:ascii="宋体" w:hAnsi="宋体" w:eastAsia="宋体" w:cs="宋体"/>
                <w:color w:val="auto"/>
                <w:szCs w:val="21"/>
                <w:highlight w:val="none"/>
              </w:rPr>
            </w:pPr>
          </w:p>
        </w:tc>
      </w:tr>
      <w:tr w14:paraId="30D881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4EF50F4">
            <w:pPr>
              <w:spacing w:line="360" w:lineRule="auto"/>
              <w:rPr>
                <w:rFonts w:ascii="宋体" w:hAnsi="宋体" w:eastAsia="宋体" w:cs="宋体"/>
                <w:color w:val="auto"/>
                <w:szCs w:val="21"/>
                <w:highlight w:val="none"/>
              </w:rPr>
            </w:pPr>
          </w:p>
        </w:tc>
        <w:tc>
          <w:tcPr>
            <w:tcW w:w="1545" w:type="dxa"/>
            <w:tcBorders>
              <w:top w:val="single" w:color="auto" w:sz="4" w:space="0"/>
              <w:left w:val="nil"/>
              <w:bottom w:val="single" w:color="auto" w:sz="4" w:space="0"/>
              <w:right w:val="single" w:color="auto" w:sz="4" w:space="0"/>
            </w:tcBorders>
            <w:vAlign w:val="center"/>
          </w:tcPr>
          <w:p w14:paraId="29B9E067">
            <w:pPr>
              <w:spacing w:line="360" w:lineRule="auto"/>
              <w:rPr>
                <w:rFonts w:ascii="宋体" w:hAnsi="宋体" w:eastAsia="宋体" w:cs="宋体"/>
                <w:color w:val="auto"/>
                <w:szCs w:val="21"/>
                <w:highlight w:val="none"/>
              </w:rPr>
            </w:pPr>
          </w:p>
        </w:tc>
        <w:tc>
          <w:tcPr>
            <w:tcW w:w="1440" w:type="dxa"/>
            <w:tcBorders>
              <w:top w:val="single" w:color="auto" w:sz="4" w:space="0"/>
              <w:left w:val="nil"/>
              <w:bottom w:val="single" w:color="auto" w:sz="4" w:space="0"/>
              <w:right w:val="single" w:color="auto" w:sz="4" w:space="0"/>
            </w:tcBorders>
            <w:vAlign w:val="center"/>
          </w:tcPr>
          <w:p w14:paraId="6ACAD215">
            <w:pPr>
              <w:spacing w:line="360" w:lineRule="auto"/>
              <w:rPr>
                <w:rFonts w:ascii="宋体" w:hAnsi="宋体" w:eastAsia="宋体" w:cs="宋体"/>
                <w:color w:val="auto"/>
                <w:szCs w:val="21"/>
                <w:highlight w:val="none"/>
              </w:rPr>
            </w:pPr>
          </w:p>
        </w:tc>
        <w:tc>
          <w:tcPr>
            <w:tcW w:w="810" w:type="dxa"/>
            <w:tcBorders>
              <w:top w:val="single" w:color="auto" w:sz="4" w:space="0"/>
              <w:left w:val="nil"/>
              <w:bottom w:val="single" w:color="auto" w:sz="4" w:space="0"/>
              <w:right w:val="single" w:color="auto" w:sz="4" w:space="0"/>
            </w:tcBorders>
            <w:vAlign w:val="center"/>
          </w:tcPr>
          <w:p w14:paraId="5DE606B9">
            <w:pPr>
              <w:spacing w:line="360" w:lineRule="auto"/>
              <w:rPr>
                <w:rFonts w:ascii="宋体" w:hAnsi="宋体" w:eastAsia="宋体" w:cs="宋体"/>
                <w:color w:val="auto"/>
                <w:szCs w:val="21"/>
                <w:highlight w:val="none"/>
              </w:rPr>
            </w:pPr>
          </w:p>
        </w:tc>
        <w:tc>
          <w:tcPr>
            <w:tcW w:w="700" w:type="dxa"/>
            <w:tcBorders>
              <w:top w:val="single" w:color="auto" w:sz="4" w:space="0"/>
              <w:left w:val="nil"/>
              <w:bottom w:val="single" w:color="auto" w:sz="4" w:space="0"/>
              <w:right w:val="single" w:color="auto" w:sz="4" w:space="0"/>
            </w:tcBorders>
            <w:vAlign w:val="center"/>
          </w:tcPr>
          <w:p w14:paraId="24378720">
            <w:pPr>
              <w:spacing w:line="360" w:lineRule="auto"/>
              <w:rPr>
                <w:rFonts w:ascii="宋体" w:hAnsi="宋体" w:eastAsia="宋体" w:cs="宋体"/>
                <w:color w:val="auto"/>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0F5F8F52">
            <w:pPr>
              <w:spacing w:line="360" w:lineRule="auto"/>
              <w:rPr>
                <w:rFonts w:ascii="宋体" w:hAnsi="宋体" w:eastAsia="宋体" w:cs="宋体"/>
                <w:color w:val="auto"/>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17C5F34A">
            <w:pPr>
              <w:spacing w:line="360" w:lineRule="auto"/>
              <w:rPr>
                <w:rFonts w:ascii="宋体" w:hAnsi="宋体" w:eastAsia="宋体" w:cs="宋体"/>
                <w:color w:val="auto"/>
                <w:szCs w:val="21"/>
                <w:highlight w:val="none"/>
              </w:rPr>
            </w:pPr>
          </w:p>
        </w:tc>
      </w:tr>
      <w:tr w14:paraId="0D8EB7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76025F0B">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合计金额（大写）：</w:t>
            </w:r>
          </w:p>
        </w:tc>
        <w:tc>
          <w:tcPr>
            <w:tcW w:w="1100" w:type="dxa"/>
            <w:tcBorders>
              <w:top w:val="single" w:color="auto" w:sz="4" w:space="0"/>
              <w:left w:val="nil"/>
              <w:bottom w:val="single" w:color="auto" w:sz="4" w:space="0"/>
              <w:right w:val="single" w:color="auto" w:sz="4" w:space="0"/>
            </w:tcBorders>
            <w:vAlign w:val="center"/>
          </w:tcPr>
          <w:p w14:paraId="56AC4FB2">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合计（元）</w:t>
            </w:r>
          </w:p>
        </w:tc>
        <w:tc>
          <w:tcPr>
            <w:tcW w:w="1100" w:type="dxa"/>
            <w:tcBorders>
              <w:top w:val="single" w:color="auto" w:sz="4" w:space="0"/>
              <w:left w:val="nil"/>
              <w:bottom w:val="single" w:color="auto" w:sz="4" w:space="0"/>
              <w:right w:val="single" w:color="auto" w:sz="4" w:space="0"/>
            </w:tcBorders>
            <w:vAlign w:val="center"/>
          </w:tcPr>
          <w:p w14:paraId="5A3CD135">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小写</w:t>
            </w:r>
          </w:p>
        </w:tc>
      </w:tr>
    </w:tbl>
    <w:p w14:paraId="2A5105C5">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2、合同总额：</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元，是指货物到达西安石油大学指定地点、完成验收后的价格，其中已包含货物价格、包装运杂费（含保险）、工程费、安装调试费、税金等全部费用。</w:t>
      </w:r>
    </w:p>
    <w:p w14:paraId="22B0B3FB">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3、合同总额为一次性包死价格，不受市场价格的变化和影响，在合同不发生变更时作为付款结算的依据。</w:t>
      </w:r>
    </w:p>
    <w:p w14:paraId="48518A0E">
      <w:pPr>
        <w:ind w:firstLine="361" w:firstLineChars="150"/>
        <w:rPr>
          <w:rFonts w:ascii="宋体" w:hAnsi="宋体" w:eastAsia="宋体" w:cs="宋体"/>
          <w:color w:val="auto"/>
          <w:sz w:val="28"/>
          <w:szCs w:val="28"/>
          <w:highlight w:val="none"/>
        </w:rPr>
      </w:pPr>
      <w:r>
        <w:rPr>
          <w:rFonts w:hint="eastAsia" w:ascii="宋体" w:hAnsi="宋体" w:eastAsia="宋体" w:cs="宋体"/>
          <w:b/>
          <w:bCs/>
          <w:color w:val="auto"/>
          <w:sz w:val="24"/>
          <w:highlight w:val="none"/>
        </w:rPr>
        <w:t>二、产品质量</w:t>
      </w:r>
    </w:p>
    <w:p w14:paraId="77B06194">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1、乙方提供的货物及配套产品，必须是合同规定厂家制造的、合格、全新、未曾使用的、且经过国家质检部门检验，并颁发了产品准销证的产品。</w:t>
      </w:r>
    </w:p>
    <w:p w14:paraId="114A3565">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2、乙方提供的货物及配套产品必须等同于或优于合同技术指标要求，并能按国家标准或行业标准供应、检测、调试，确保产品技术指标满足使用要求。</w:t>
      </w:r>
    </w:p>
    <w:p w14:paraId="222B7C6F">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54F3E162">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szCs w:val="21"/>
          <w:highlight w:val="none"/>
        </w:rPr>
        <w:t>4、设计技术专利、外型专利、应用软件专利等均应符合我国的有关法律及行业标准，凡因以上问题与第三方发生的任何纠纷均与甲方无关。</w:t>
      </w:r>
    </w:p>
    <w:p w14:paraId="256CC760">
      <w:pPr>
        <w:spacing w:line="360" w:lineRule="auto"/>
        <w:ind w:firstLine="420"/>
        <w:rPr>
          <w:rFonts w:ascii="宋体" w:hAnsi="宋体" w:eastAsia="宋体" w:cs="宋体"/>
          <w:color w:val="auto"/>
          <w:szCs w:val="21"/>
          <w:highlight w:val="none"/>
        </w:rPr>
      </w:pPr>
      <w:r>
        <w:rPr>
          <w:rFonts w:hint="eastAsia" w:ascii="宋体" w:hAnsi="宋体" w:eastAsia="宋体" w:cs="宋体"/>
          <w:color w:val="auto"/>
          <w:szCs w:val="21"/>
          <w:highlight w:val="none"/>
        </w:rPr>
        <w:t>5、产品质量保证期为货物验收合格后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年。质保期内，乙方对所供货物免费进行质保和服务。</w:t>
      </w:r>
    </w:p>
    <w:p w14:paraId="36E7E960">
      <w:pPr>
        <w:ind w:firstLine="241" w:firstLineChars="100"/>
        <w:rPr>
          <w:rFonts w:ascii="宋体" w:hAnsi="宋体" w:eastAsia="宋体" w:cs="宋体"/>
          <w:b/>
          <w:bCs/>
          <w:color w:val="auto"/>
          <w:sz w:val="24"/>
          <w:highlight w:val="none"/>
        </w:rPr>
      </w:pPr>
      <w:r>
        <w:rPr>
          <w:rFonts w:hint="eastAsia" w:ascii="宋体" w:hAnsi="宋体" w:eastAsia="宋体" w:cs="宋体"/>
          <w:b/>
          <w:bCs/>
          <w:color w:val="auto"/>
          <w:sz w:val="24"/>
          <w:highlight w:val="none"/>
        </w:rPr>
        <w:t>三、产品包装要求及运输方式</w:t>
      </w:r>
    </w:p>
    <w:p w14:paraId="79FD3FC3">
      <w:pPr>
        <w:pStyle w:val="9"/>
        <w:spacing w:line="360" w:lineRule="auto"/>
        <w:ind w:firstLine="420" w:firstLineChars="200"/>
        <w:rPr>
          <w:rFonts w:hint="default" w:ascii="宋体" w:hAnsi="宋体" w:eastAsia="宋体" w:cs="宋体"/>
          <w:color w:val="auto"/>
          <w:kern w:val="2"/>
          <w:sz w:val="21"/>
          <w:szCs w:val="21"/>
          <w:highlight w:val="none"/>
          <w:lang w:eastAsia="zh-CN"/>
        </w:rPr>
      </w:pPr>
      <w:r>
        <w:rPr>
          <w:rFonts w:ascii="宋体" w:hAnsi="宋体" w:eastAsia="宋体" w:cs="宋体"/>
          <w:color w:val="auto"/>
          <w:kern w:val="2"/>
          <w:sz w:val="21"/>
          <w:szCs w:val="21"/>
          <w:highlight w:val="none"/>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3BE06F88">
      <w:pPr>
        <w:spacing w:line="360" w:lineRule="auto"/>
        <w:ind w:firstLine="361" w:firstLineChars="150"/>
        <w:rPr>
          <w:rFonts w:ascii="宋体" w:hAnsi="宋体" w:eastAsia="宋体" w:cs="宋体"/>
          <w:b/>
          <w:bCs/>
          <w:color w:val="auto"/>
          <w:sz w:val="24"/>
          <w:highlight w:val="none"/>
        </w:rPr>
      </w:pPr>
      <w:r>
        <w:rPr>
          <w:rFonts w:hint="eastAsia" w:ascii="宋体" w:hAnsi="宋体" w:eastAsia="宋体" w:cs="宋体"/>
          <w:b/>
          <w:bCs/>
          <w:color w:val="auto"/>
          <w:sz w:val="24"/>
          <w:highlight w:val="none"/>
        </w:rPr>
        <w:t>四、交货时间地点及方式</w:t>
      </w:r>
    </w:p>
    <w:p w14:paraId="4590AC35">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乙方于合同签订后×天内完成货物安装调试并交付使用。安装地点：西安石油大学指定地点，所有产生费用乙方负责。甲方联系人：××，乙方联系人：××。</w:t>
      </w:r>
    </w:p>
    <w:p w14:paraId="4AD99689">
      <w:pPr>
        <w:spacing w:line="360" w:lineRule="auto"/>
        <w:ind w:firstLine="241" w:firstLineChars="100"/>
        <w:rPr>
          <w:rFonts w:ascii="宋体" w:hAnsi="宋体" w:eastAsia="宋体" w:cs="宋体"/>
          <w:b/>
          <w:bCs/>
          <w:color w:val="auto"/>
          <w:sz w:val="24"/>
          <w:highlight w:val="none"/>
        </w:rPr>
      </w:pPr>
      <w:r>
        <w:rPr>
          <w:rFonts w:hint="eastAsia" w:ascii="宋体" w:hAnsi="宋体" w:eastAsia="宋体" w:cs="宋体"/>
          <w:b/>
          <w:bCs/>
          <w:color w:val="auto"/>
          <w:sz w:val="24"/>
          <w:highlight w:val="none"/>
        </w:rPr>
        <w:t>五、设备的安装、调试及验收</w:t>
      </w:r>
    </w:p>
    <w:p w14:paraId="3CDA1114">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1、甲方和乙方应在现场安装设备前，共同确认所有设备是否符合招标要求。乙方负责安装调试，甲方提供必要的工作条件，安装调试所有费用乙方负责。</w:t>
      </w:r>
    </w:p>
    <w:p w14:paraId="27A054BA">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2、甲方对乙方所交产品依照本合同和相关技术合同进行现场验收。验收不合格的，限期整改；整改仍达不到要求的，按本合同第八条第3款处理。</w:t>
      </w:r>
    </w:p>
    <w:p w14:paraId="299E54E7">
      <w:pPr>
        <w:ind w:firstLine="361" w:firstLineChars="150"/>
        <w:rPr>
          <w:rFonts w:ascii="宋体" w:hAnsi="宋体" w:eastAsia="宋体" w:cs="宋体"/>
          <w:b/>
          <w:bCs/>
          <w:color w:val="auto"/>
          <w:sz w:val="24"/>
          <w:highlight w:val="none"/>
        </w:rPr>
      </w:pPr>
      <w:r>
        <w:rPr>
          <w:rFonts w:hint="eastAsia" w:ascii="宋体" w:hAnsi="宋体" w:eastAsia="宋体" w:cs="宋体"/>
          <w:b/>
          <w:bCs/>
          <w:color w:val="auto"/>
          <w:sz w:val="24"/>
          <w:highlight w:val="none"/>
        </w:rPr>
        <w:t>六、质保期及售后服务</w:t>
      </w:r>
    </w:p>
    <w:p w14:paraId="2839A142">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035ABE41">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2、安装调试后，乙方免费为甲方提供现场操作培训，通过培训使用户人员了解设备工作原理，熟悉设备的安装及使用、维护方法，掌握各种设备的初始化及故障诊断、定位和排除技能。</w:t>
      </w:r>
    </w:p>
    <w:p w14:paraId="4B6FDE12">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3、设备正式运行后，定期回访用户，当系统出现重大缺陷问题而影响到甲方实际应用时需及时响应并派人到现场解决。</w:t>
      </w:r>
    </w:p>
    <w:p w14:paraId="382B654D">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乙方售后服务及维修专线：××××××。</w:t>
      </w:r>
    </w:p>
    <w:p w14:paraId="4FA409E6">
      <w:pPr>
        <w:spacing w:line="360" w:lineRule="auto"/>
        <w:ind w:firstLine="361" w:firstLineChars="150"/>
        <w:rPr>
          <w:rFonts w:ascii="宋体" w:hAnsi="宋体" w:eastAsia="宋体" w:cs="宋体"/>
          <w:b/>
          <w:bCs/>
          <w:color w:val="auto"/>
          <w:sz w:val="24"/>
          <w:highlight w:val="none"/>
        </w:rPr>
      </w:pPr>
      <w:r>
        <w:rPr>
          <w:rFonts w:hint="eastAsia" w:ascii="宋体" w:hAnsi="宋体" w:eastAsia="宋体" w:cs="宋体"/>
          <w:b/>
          <w:bCs/>
          <w:color w:val="auto"/>
          <w:sz w:val="24"/>
          <w:highlight w:val="none"/>
        </w:rPr>
        <w:t>七、付款时间及付款方式</w:t>
      </w:r>
    </w:p>
    <w:p w14:paraId="60A546E4">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1、履约保证金</w:t>
      </w:r>
    </w:p>
    <w:p w14:paraId="2077DF66">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1.1合同签订前，乙方须向甲方提交合同总价的</w:t>
      </w:r>
      <w:r>
        <w:rPr>
          <w:rFonts w:hint="eastAsia" w:ascii="宋体" w:hAnsi="宋体" w:eastAsia="宋体" w:cs="宋体"/>
          <w:color w:val="auto"/>
          <w:szCs w:val="21"/>
          <w:highlight w:val="none"/>
          <w:u w:val="single"/>
        </w:rPr>
        <w:t>5</w:t>
      </w:r>
      <w:r>
        <w:rPr>
          <w:rFonts w:hint="eastAsia" w:ascii="宋体" w:hAnsi="宋体" w:eastAsia="宋体" w:cs="宋体"/>
          <w:color w:val="auto"/>
          <w:szCs w:val="21"/>
          <w:highlight w:val="none"/>
        </w:rPr>
        <w:t>%作为履约保证金；</w:t>
      </w:r>
    </w:p>
    <w:p w14:paraId="7DEA5069">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1.2履约保证金应使用人民币，按</w:t>
      </w:r>
      <w:r>
        <w:rPr>
          <w:rFonts w:hint="eastAsia" w:ascii="宋体" w:hAnsi="宋体" w:eastAsia="宋体" w:cs="宋体"/>
          <w:color w:val="auto"/>
          <w:szCs w:val="21"/>
          <w:highlight w:val="none"/>
          <w:u w:val="single"/>
        </w:rPr>
        <w:t xml:space="preserve">   汇款或现金   </w:t>
      </w:r>
      <w:r>
        <w:rPr>
          <w:rFonts w:hint="eastAsia" w:ascii="宋体" w:hAnsi="宋体" w:eastAsia="宋体" w:cs="宋体"/>
          <w:color w:val="auto"/>
          <w:szCs w:val="21"/>
          <w:highlight w:val="none"/>
        </w:rPr>
        <w:t xml:space="preserve"> 方式提交；</w:t>
      </w:r>
    </w:p>
    <w:p w14:paraId="5E10A46B">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1.3设备到货并由甲方验收合格后，乙方申请，甲方应把履约保证金（无息）退还乙方。</w:t>
      </w:r>
    </w:p>
    <w:p w14:paraId="37545DEB">
      <w:pPr>
        <w:numPr>
          <w:ilvl w:val="0"/>
          <w:numId w:val="1"/>
        </w:num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合同款支付</w:t>
      </w:r>
    </w:p>
    <w:p w14:paraId="47AF8FC8">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lang w:eastAsia="zh-Hans"/>
        </w:rPr>
        <w:t>合同签订后，供应商开具预付款等额银行保函，采购人收到银行保函正本后10个工作日内支付预付款，最多支付至</w:t>
      </w:r>
      <w:r>
        <w:rPr>
          <w:rFonts w:hint="eastAsia" w:ascii="宋体" w:hAnsi="宋体" w:eastAsia="宋体" w:cs="宋体"/>
          <w:color w:val="auto"/>
          <w:szCs w:val="21"/>
          <w:highlight w:val="none"/>
        </w:rPr>
        <w:t>160</w:t>
      </w:r>
      <w:r>
        <w:rPr>
          <w:rFonts w:hint="eastAsia" w:ascii="宋体" w:hAnsi="宋体" w:eastAsia="宋体" w:cs="宋体"/>
          <w:color w:val="auto"/>
          <w:szCs w:val="21"/>
          <w:highlight w:val="none"/>
          <w:lang w:eastAsia="zh-Hans"/>
        </w:rPr>
        <w:t>万元。验收合格，并出具增值税专用发票，达到付款条件后10个工作日内付清余款，达到付款条件起10个工作日内，支付合同总金额的100.0%</w:t>
      </w:r>
      <w:r>
        <w:rPr>
          <w:rFonts w:hint="eastAsia" w:ascii="宋体" w:hAnsi="宋体" w:eastAsia="宋体" w:cs="宋体"/>
          <w:color w:val="auto"/>
          <w:szCs w:val="21"/>
          <w:highlight w:val="none"/>
        </w:rPr>
        <w:t>。</w:t>
      </w:r>
    </w:p>
    <w:p w14:paraId="46C4A1CE">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3.最终结算时，乙方须向甲方出具合同总价款的增值税专用发票。</w:t>
      </w:r>
    </w:p>
    <w:p w14:paraId="40FE052A">
      <w:pPr>
        <w:ind w:firstLine="361" w:firstLineChars="150"/>
        <w:rPr>
          <w:rFonts w:ascii="宋体" w:hAnsi="宋体" w:eastAsia="宋体" w:cs="宋体"/>
          <w:b/>
          <w:bCs/>
          <w:color w:val="auto"/>
          <w:sz w:val="24"/>
          <w:highlight w:val="none"/>
        </w:rPr>
      </w:pPr>
      <w:r>
        <w:rPr>
          <w:rFonts w:hint="eastAsia" w:ascii="宋体" w:hAnsi="宋体" w:eastAsia="宋体" w:cs="宋体"/>
          <w:b/>
          <w:bCs/>
          <w:color w:val="auto"/>
          <w:sz w:val="24"/>
          <w:highlight w:val="none"/>
        </w:rPr>
        <w:t>八、违约责任</w:t>
      </w:r>
    </w:p>
    <w:p w14:paraId="1803DECD">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1、合同生效后，甲乙双方应按合同规定认真履约。合同履约责任只涉及合同甲乙双方，不考虑第三方因素。</w:t>
      </w:r>
    </w:p>
    <w:p w14:paraId="59D29C56">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5EBF4B44">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3、如乙方产品质量不符合国家标准、行业内控标准或本合同技术附件要求的，甲方有权退货，乙方应退还全部货款，并承担甲方合同总价款10％的违约金及其他损失。</w:t>
      </w:r>
    </w:p>
    <w:p w14:paraId="194EE7C6">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4、在合同规定的供货期内乙方未全部交货，除应如数补齐外，还应承担合同总款的10％违约金。</w:t>
      </w:r>
    </w:p>
    <w:p w14:paraId="0461AC6F">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5、乙方对货物不按招标文件要求，擅自更换，除恢复原招标产品外，应承担更换部分价款10%的违约金；乙方如对产品材质、随机配品以次充好，除全部按要求恢复外，应承担此部分价款10%的违约金。</w:t>
      </w:r>
    </w:p>
    <w:p w14:paraId="0B0869FC">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08F74C38">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16ABFD4">
      <w:pPr>
        <w:ind w:firstLine="361" w:firstLineChars="150"/>
        <w:rPr>
          <w:rFonts w:ascii="宋体" w:hAnsi="宋体" w:eastAsia="宋体" w:cs="宋体"/>
          <w:color w:val="auto"/>
          <w:sz w:val="28"/>
          <w:szCs w:val="28"/>
          <w:highlight w:val="none"/>
        </w:rPr>
      </w:pPr>
      <w:r>
        <w:rPr>
          <w:rFonts w:hint="eastAsia" w:ascii="宋体" w:hAnsi="宋体" w:eastAsia="宋体" w:cs="宋体"/>
          <w:b/>
          <w:bCs/>
          <w:color w:val="auto"/>
          <w:sz w:val="24"/>
          <w:highlight w:val="none"/>
        </w:rPr>
        <w:t>九、解决合同纠纷方式：双方友好协商解决，协商未果由西安市仲裁委员会仲裁。</w:t>
      </w:r>
    </w:p>
    <w:p w14:paraId="2659CD97">
      <w:pPr>
        <w:ind w:firstLine="361" w:firstLineChars="150"/>
        <w:rPr>
          <w:rFonts w:ascii="宋体" w:hAnsi="宋体" w:eastAsia="宋体" w:cs="宋体"/>
          <w:b/>
          <w:bCs/>
          <w:color w:val="auto"/>
          <w:sz w:val="24"/>
          <w:highlight w:val="none"/>
        </w:rPr>
      </w:pPr>
      <w:r>
        <w:rPr>
          <w:rFonts w:hint="eastAsia" w:ascii="宋体" w:hAnsi="宋体" w:eastAsia="宋体" w:cs="宋体"/>
          <w:b/>
          <w:bCs/>
          <w:color w:val="auto"/>
          <w:sz w:val="24"/>
          <w:highlight w:val="none"/>
        </w:rPr>
        <w:t>十、其它事项</w:t>
      </w:r>
    </w:p>
    <w:p w14:paraId="4462C214">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1、本合同一式七份，甲方五份，乙方一份，代理机构一份，经甲、乙双方签字盖章后生效，具有同等法律效力。</w:t>
      </w:r>
    </w:p>
    <w:p w14:paraId="0D38E399">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2、合同所有附件均为本合同不可分割的组成部分，与本合同具有同等法律效力。</w:t>
      </w:r>
    </w:p>
    <w:p w14:paraId="3ACDEE4B">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1B312316">
        <w:tblPrEx>
          <w:tblCellMar>
            <w:top w:w="0" w:type="dxa"/>
            <w:left w:w="108" w:type="dxa"/>
            <w:bottom w:w="0" w:type="dxa"/>
            <w:right w:w="108" w:type="dxa"/>
          </w:tblCellMar>
        </w:tblPrEx>
        <w:trPr>
          <w:jc w:val="center"/>
        </w:trPr>
        <w:tc>
          <w:tcPr>
            <w:tcW w:w="3780" w:type="dxa"/>
            <w:vAlign w:val="center"/>
          </w:tcPr>
          <w:p w14:paraId="18FAA3AC">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甲方：西安石油大学（盖章）</w:t>
            </w:r>
          </w:p>
        </w:tc>
        <w:tc>
          <w:tcPr>
            <w:tcW w:w="3088" w:type="dxa"/>
            <w:vAlign w:val="center"/>
          </w:tcPr>
          <w:p w14:paraId="2503BCB1">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乙方：××公司（盖章）</w:t>
            </w:r>
          </w:p>
        </w:tc>
        <w:tc>
          <w:tcPr>
            <w:tcW w:w="2495" w:type="dxa"/>
            <w:vMerge w:val="restart"/>
          </w:tcPr>
          <w:p w14:paraId="5C0A9871">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见证方：××（盖章）</w:t>
            </w:r>
          </w:p>
        </w:tc>
      </w:tr>
      <w:tr w14:paraId="64D9B8F1">
        <w:tblPrEx>
          <w:tblCellMar>
            <w:top w:w="0" w:type="dxa"/>
            <w:left w:w="108" w:type="dxa"/>
            <w:bottom w:w="0" w:type="dxa"/>
            <w:right w:w="108" w:type="dxa"/>
          </w:tblCellMar>
        </w:tblPrEx>
        <w:trPr>
          <w:jc w:val="center"/>
        </w:trPr>
        <w:tc>
          <w:tcPr>
            <w:tcW w:w="3780" w:type="dxa"/>
            <w:vAlign w:val="center"/>
          </w:tcPr>
          <w:p w14:paraId="536DD6DF">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法人或委托代理人：</w:t>
            </w:r>
          </w:p>
        </w:tc>
        <w:tc>
          <w:tcPr>
            <w:tcW w:w="3088" w:type="dxa"/>
            <w:vAlign w:val="center"/>
          </w:tcPr>
          <w:p w14:paraId="184B64C0">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法人或委托代理人：</w:t>
            </w:r>
          </w:p>
        </w:tc>
        <w:tc>
          <w:tcPr>
            <w:tcW w:w="2495" w:type="dxa"/>
            <w:vMerge w:val="continue"/>
            <w:vAlign w:val="center"/>
          </w:tcPr>
          <w:p w14:paraId="036EAD91">
            <w:pPr>
              <w:spacing w:line="360" w:lineRule="auto"/>
              <w:ind w:firstLine="315" w:firstLineChars="150"/>
              <w:rPr>
                <w:rFonts w:ascii="宋体" w:hAnsi="宋体" w:eastAsia="宋体" w:cs="宋体"/>
                <w:color w:val="auto"/>
                <w:szCs w:val="21"/>
                <w:highlight w:val="none"/>
              </w:rPr>
            </w:pPr>
          </w:p>
        </w:tc>
      </w:tr>
      <w:tr w14:paraId="3D6417D0">
        <w:tblPrEx>
          <w:tblCellMar>
            <w:top w:w="0" w:type="dxa"/>
            <w:left w:w="108" w:type="dxa"/>
            <w:bottom w:w="0" w:type="dxa"/>
            <w:right w:w="108" w:type="dxa"/>
          </w:tblCellMar>
        </w:tblPrEx>
        <w:trPr>
          <w:jc w:val="center"/>
        </w:trPr>
        <w:tc>
          <w:tcPr>
            <w:tcW w:w="3780" w:type="dxa"/>
            <w:vAlign w:val="center"/>
          </w:tcPr>
          <w:p w14:paraId="6A4C361F">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户名：西安石油大学</w:t>
            </w:r>
          </w:p>
        </w:tc>
        <w:tc>
          <w:tcPr>
            <w:tcW w:w="3088" w:type="dxa"/>
            <w:vAlign w:val="center"/>
          </w:tcPr>
          <w:p w14:paraId="1DD935CE">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户名：</w:t>
            </w:r>
          </w:p>
        </w:tc>
        <w:tc>
          <w:tcPr>
            <w:tcW w:w="2495" w:type="dxa"/>
            <w:vMerge w:val="continue"/>
            <w:vAlign w:val="center"/>
          </w:tcPr>
          <w:p w14:paraId="0C9201B8">
            <w:pPr>
              <w:spacing w:line="360" w:lineRule="auto"/>
              <w:ind w:firstLine="315" w:firstLineChars="150"/>
              <w:rPr>
                <w:rFonts w:ascii="宋体" w:hAnsi="宋体" w:eastAsia="宋体" w:cs="宋体"/>
                <w:color w:val="auto"/>
                <w:szCs w:val="21"/>
                <w:highlight w:val="none"/>
              </w:rPr>
            </w:pPr>
          </w:p>
        </w:tc>
      </w:tr>
      <w:tr w14:paraId="1961DD2C">
        <w:tblPrEx>
          <w:tblCellMar>
            <w:top w:w="0" w:type="dxa"/>
            <w:left w:w="108" w:type="dxa"/>
            <w:bottom w:w="0" w:type="dxa"/>
            <w:right w:w="108" w:type="dxa"/>
          </w:tblCellMar>
        </w:tblPrEx>
        <w:trPr>
          <w:jc w:val="center"/>
        </w:trPr>
        <w:tc>
          <w:tcPr>
            <w:tcW w:w="3780" w:type="dxa"/>
            <w:vAlign w:val="center"/>
          </w:tcPr>
          <w:p w14:paraId="57CB56EF">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开户行：工行西安电子工业区支行</w:t>
            </w:r>
          </w:p>
        </w:tc>
        <w:tc>
          <w:tcPr>
            <w:tcW w:w="3088" w:type="dxa"/>
            <w:vAlign w:val="center"/>
          </w:tcPr>
          <w:p w14:paraId="344C51D1">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开户行：</w:t>
            </w:r>
          </w:p>
        </w:tc>
        <w:tc>
          <w:tcPr>
            <w:tcW w:w="2495" w:type="dxa"/>
            <w:vAlign w:val="center"/>
          </w:tcPr>
          <w:p w14:paraId="35831721">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代表签字：</w:t>
            </w:r>
          </w:p>
        </w:tc>
      </w:tr>
      <w:tr w14:paraId="55AB3628">
        <w:tblPrEx>
          <w:tblCellMar>
            <w:top w:w="0" w:type="dxa"/>
            <w:left w:w="108" w:type="dxa"/>
            <w:bottom w:w="0" w:type="dxa"/>
            <w:right w:w="108" w:type="dxa"/>
          </w:tblCellMar>
        </w:tblPrEx>
        <w:trPr>
          <w:jc w:val="center"/>
        </w:trPr>
        <w:tc>
          <w:tcPr>
            <w:tcW w:w="3780" w:type="dxa"/>
            <w:vAlign w:val="center"/>
          </w:tcPr>
          <w:p w14:paraId="3DC52A9A">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帐号：3700023209014488850</w:t>
            </w:r>
          </w:p>
        </w:tc>
        <w:tc>
          <w:tcPr>
            <w:tcW w:w="3088" w:type="dxa"/>
            <w:vAlign w:val="center"/>
          </w:tcPr>
          <w:p w14:paraId="34FF0A66">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帐号：</w:t>
            </w:r>
          </w:p>
        </w:tc>
        <w:tc>
          <w:tcPr>
            <w:tcW w:w="2495" w:type="dxa"/>
            <w:vAlign w:val="center"/>
          </w:tcPr>
          <w:p w14:paraId="255DA817">
            <w:pPr>
              <w:spacing w:line="360" w:lineRule="auto"/>
              <w:ind w:firstLine="315" w:firstLineChars="150"/>
              <w:rPr>
                <w:rFonts w:ascii="宋体" w:hAnsi="宋体" w:eastAsia="宋体" w:cs="宋体"/>
                <w:color w:val="auto"/>
                <w:szCs w:val="21"/>
                <w:highlight w:val="none"/>
              </w:rPr>
            </w:pPr>
          </w:p>
        </w:tc>
      </w:tr>
      <w:tr w14:paraId="1F6075E6">
        <w:tblPrEx>
          <w:tblCellMar>
            <w:top w:w="0" w:type="dxa"/>
            <w:left w:w="108" w:type="dxa"/>
            <w:bottom w:w="0" w:type="dxa"/>
            <w:right w:w="108" w:type="dxa"/>
          </w:tblCellMar>
        </w:tblPrEx>
        <w:trPr>
          <w:jc w:val="center"/>
        </w:trPr>
        <w:tc>
          <w:tcPr>
            <w:tcW w:w="3780" w:type="dxa"/>
            <w:vAlign w:val="center"/>
          </w:tcPr>
          <w:p w14:paraId="26132D04">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电话：029—88382337</w:t>
            </w:r>
          </w:p>
        </w:tc>
        <w:tc>
          <w:tcPr>
            <w:tcW w:w="3088" w:type="dxa"/>
            <w:vAlign w:val="center"/>
          </w:tcPr>
          <w:p w14:paraId="3809B59B">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电话: </w:t>
            </w:r>
          </w:p>
        </w:tc>
        <w:tc>
          <w:tcPr>
            <w:tcW w:w="2495" w:type="dxa"/>
            <w:vAlign w:val="center"/>
          </w:tcPr>
          <w:p w14:paraId="628B1211">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电话：</w:t>
            </w:r>
          </w:p>
        </w:tc>
      </w:tr>
      <w:tr w14:paraId="379A9670">
        <w:tblPrEx>
          <w:tblCellMar>
            <w:top w:w="0" w:type="dxa"/>
            <w:left w:w="108" w:type="dxa"/>
            <w:bottom w:w="0" w:type="dxa"/>
            <w:right w:w="108" w:type="dxa"/>
          </w:tblCellMar>
        </w:tblPrEx>
        <w:trPr>
          <w:jc w:val="center"/>
        </w:trPr>
        <w:tc>
          <w:tcPr>
            <w:tcW w:w="3780" w:type="dxa"/>
            <w:vAlign w:val="center"/>
          </w:tcPr>
          <w:p w14:paraId="7D92EFA8">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地址：西安市电子二路18号</w:t>
            </w:r>
          </w:p>
        </w:tc>
        <w:tc>
          <w:tcPr>
            <w:tcW w:w="3088" w:type="dxa"/>
            <w:vAlign w:val="center"/>
          </w:tcPr>
          <w:p w14:paraId="6E6C994B">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地址：</w:t>
            </w:r>
          </w:p>
        </w:tc>
        <w:tc>
          <w:tcPr>
            <w:tcW w:w="2495" w:type="dxa"/>
            <w:vAlign w:val="center"/>
          </w:tcPr>
          <w:p w14:paraId="36767316">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地址：</w:t>
            </w:r>
          </w:p>
        </w:tc>
      </w:tr>
      <w:tr w14:paraId="26E3AD56">
        <w:tblPrEx>
          <w:tblCellMar>
            <w:top w:w="0" w:type="dxa"/>
            <w:left w:w="108" w:type="dxa"/>
            <w:bottom w:w="0" w:type="dxa"/>
            <w:right w:w="108" w:type="dxa"/>
          </w:tblCellMar>
        </w:tblPrEx>
        <w:trPr>
          <w:jc w:val="center"/>
        </w:trPr>
        <w:tc>
          <w:tcPr>
            <w:tcW w:w="3780" w:type="dxa"/>
            <w:vAlign w:val="center"/>
          </w:tcPr>
          <w:p w14:paraId="6466D8D2">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日期: 202  年  月  日</w:t>
            </w:r>
          </w:p>
        </w:tc>
        <w:tc>
          <w:tcPr>
            <w:tcW w:w="3088" w:type="dxa"/>
            <w:vAlign w:val="center"/>
          </w:tcPr>
          <w:p w14:paraId="62937370">
            <w:pPr>
              <w:spacing w:line="360" w:lineRule="auto"/>
              <w:ind w:firstLine="315" w:firstLineChars="150"/>
              <w:rPr>
                <w:rFonts w:ascii="宋体" w:hAnsi="宋体" w:eastAsia="宋体" w:cs="宋体"/>
                <w:color w:val="auto"/>
                <w:szCs w:val="21"/>
                <w:highlight w:val="none"/>
              </w:rPr>
            </w:pPr>
            <w:r>
              <w:rPr>
                <w:rFonts w:hint="eastAsia" w:ascii="宋体" w:hAnsi="宋体" w:eastAsia="宋体" w:cs="宋体"/>
                <w:color w:val="auto"/>
                <w:szCs w:val="21"/>
                <w:highlight w:val="none"/>
              </w:rPr>
              <w:t>日期: 202  年  月  日</w:t>
            </w:r>
          </w:p>
        </w:tc>
        <w:tc>
          <w:tcPr>
            <w:tcW w:w="2495" w:type="dxa"/>
            <w:vAlign w:val="center"/>
          </w:tcPr>
          <w:p w14:paraId="5D660377">
            <w:pPr>
              <w:spacing w:line="360" w:lineRule="auto"/>
              <w:ind w:firstLine="315" w:firstLineChars="150"/>
              <w:rPr>
                <w:rFonts w:ascii="宋体" w:hAnsi="宋体" w:eastAsia="宋体" w:cs="宋体"/>
                <w:color w:val="auto"/>
                <w:szCs w:val="21"/>
                <w:highlight w:val="none"/>
              </w:rPr>
            </w:pPr>
          </w:p>
        </w:tc>
      </w:tr>
    </w:tbl>
    <w:p w14:paraId="68FE9F69"/>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8419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D744A8">
                          <w:pPr>
                            <w:pStyle w:val="5"/>
                          </w:pPr>
                          <w:r>
                            <w:t xml:space="preserve">第 </w:t>
                          </w:r>
                          <w:r>
                            <w:fldChar w:fldCharType="begin"/>
                          </w:r>
                          <w:r>
                            <w:instrText xml:space="preserve"> PAGE  \* MERGEFORMAT </w:instrText>
                          </w:r>
                          <w:r>
                            <w:fldChar w:fldCharType="separate"/>
                          </w:r>
                          <w:r>
                            <w:t>- 51 -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BD744A8">
                    <w:pPr>
                      <w:pStyle w:val="5"/>
                    </w:pPr>
                    <w:r>
                      <w:t xml:space="preserve">第 </w:t>
                    </w:r>
                    <w:r>
                      <w:fldChar w:fldCharType="begin"/>
                    </w:r>
                    <w:r>
                      <w:instrText xml:space="preserve"> PAGE  \* MERGEFORMAT </w:instrText>
                    </w:r>
                    <w:r>
                      <w:fldChar w:fldCharType="separate"/>
                    </w:r>
                    <w:r>
                      <w:t>- 51 -</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D504D"/>
    <w:rsid w:val="1A4B6F03"/>
    <w:rsid w:val="1EBF625E"/>
    <w:rsid w:val="24DE274D"/>
    <w:rsid w:val="45C67C16"/>
    <w:rsid w:val="5A3C6041"/>
    <w:rsid w:val="66413AD2"/>
    <w:rsid w:val="6DD136E9"/>
    <w:rsid w:val="7E8B4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8"/>
    <w:semiHidden/>
    <w:unhideWhenUsed/>
    <w:qFormat/>
    <w:uiPriority w:val="0"/>
    <w:pPr>
      <w:keepNext/>
      <w:jc w:val="center"/>
      <w:outlineLvl w:val="3"/>
    </w:pPr>
    <w:rPr>
      <w:rFonts w:ascii="Times New Roman" w:hAnsi="Times New Roman" w:eastAsia="宋体" w:cs="Times New Roman"/>
      <w:color w:val="000000" w:themeColor="text1"/>
      <w:sz w:val="28"/>
      <w:u w:val="none"/>
      <w14:textFill>
        <w14:solidFill>
          <w14:schemeClr w14:val="tx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Indent 2"/>
    <w:basedOn w:val="1"/>
    <w:qFormat/>
    <w:uiPriority w:val="0"/>
    <w:pPr>
      <w:spacing w:after="120" w:line="480" w:lineRule="auto"/>
      <w:ind w:left="420" w:leftChars="200"/>
    </w:pPr>
  </w:style>
  <w:style w:type="paragraph" w:styleId="5">
    <w:name w:val="footer"/>
    <w:basedOn w:val="1"/>
    <w:semiHidden/>
    <w:unhideWhenUsed/>
    <w:qFormat/>
    <w:uiPriority w:val="99"/>
    <w:pPr>
      <w:tabs>
        <w:tab w:val="center" w:pos="4153"/>
        <w:tab w:val="right" w:pos="8306"/>
      </w:tabs>
      <w:snapToGrid w:val="0"/>
      <w:jc w:val="left"/>
    </w:pPr>
    <w:rPr>
      <w:sz w:val="18"/>
      <w:szCs w:val="18"/>
    </w:rPr>
  </w:style>
  <w:style w:type="character" w:customStyle="1" w:styleId="8">
    <w:name w:val="标题 4 Char"/>
    <w:link w:val="3"/>
    <w:qFormat/>
    <w:uiPriority w:val="0"/>
    <w:rPr>
      <w:rFonts w:ascii="Times New Roman" w:hAnsi="Times New Roman" w:eastAsia="宋体" w:cs="Times New Roman"/>
      <w:color w:val="000000" w:themeColor="text1"/>
      <w:sz w:val="28"/>
      <w:u w:val="none"/>
      <w14:textFill>
        <w14:solidFill>
          <w14:schemeClr w14:val="tx1"/>
        </w14:solidFill>
      </w14:textFill>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2591</Words>
  <Characters>2656</Characters>
  <Lines>0</Lines>
  <Paragraphs>0</Paragraphs>
  <TotalTime>0</TotalTime>
  <ScaleCrop>false</ScaleCrop>
  <LinksUpToDate>false</LinksUpToDate>
  <CharactersWithSpaces>2697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2022-07-28T10:26:00Z</dcterms:created>
  <dc:creator>acer</dc:creator>
  <cp:lastModifiedBy>李雨</cp:lastModifiedBy>
  <dcterms:modified xsi:type="dcterms:W3CDTF">2026-07-16T04:26:44Z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B3DB13B5937E4E1E9EF0498401B7F6E2</vt:lpwstr>
  </property>
  <property fmtid="{D5CDD505-2E9C-101B-9397-08002B2CF9AE}" pid="4" name="KSOTemplateDocerSaveRecord">
    <vt:lpwstr>eyJoZGlkIjoiNDI0YzZjNGVmMzA5N2Y4ZmZlZDQxNGEyYzcyYzQ3YzUiLCJ1c2VySWQiOiIyNTg5NTgwNjkifQ==</vt:lpwstr>
  </property>
</Properties>
</file>