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版本号：HXGJXM2026-ZC-GK101220260514001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激光雷达光源(二次)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HXGJXM2026-ZC-GK1012</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激光雷达光源(二次)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HXGJXM2026-ZC-GK1012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激光雷达光源(二次)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西安理工大学激光雷达光源采购，主要需求为单频高能量全固态激光器，作为激光雷达光源使用，实现对大气成分要素的精确探测要求，同时为仪器科学与技术、光学工程、环境科学等学科提供关键技术支撑，促进学科交叉融合，提高科研水平和人才培养质量。在教学与人才培养方面，激光雷达光源为实验教学、科研训练和高层次人才培养提供先进的光源，助力学生提升实践能力和科研水平。具体详见招标文件第三章相关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采购包1（激光雷达光源采购项目）：属于专门面向中小企业采购。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授权书（附法定代表人、被授权人身份证复印件及被授权人投标截止日前一年内在本单位已缴存的至少一个月的社会保险参保缴费证明)；法定代表人直接参加投标，须提供法定代表人身份证明。</w:t>
      </w:r>
    </w:p>
    <w:p>
      <w:pPr>
        <w:pStyle w:val="null3"/>
      </w:pPr>
      <w:r>
        <w:rPr>
          <w:rFonts w:ascii="仿宋_GB2312" w:hAnsi="仿宋_GB2312" w:cs="仿宋_GB2312" w:eastAsia="仿宋_GB2312"/>
        </w:rPr>
        <w:t>2、信用记录：截止至投标文件递交截止时间之前，供应商未被列入“信用中国”网站（www.creditchina.gov.cn）失信被执行人、经营（活动）异常名录及重大税收违法失信主体；未被列入“中国政府采购网（www.ccgp.gov.cn)”政府采购严重违法失信行为记录名单。（供应商可不提供，以代理机构查询结果为准）</w:t>
      </w:r>
    </w:p>
    <w:p>
      <w:pPr>
        <w:pStyle w:val="null3"/>
      </w:pPr>
      <w:r>
        <w:rPr>
          <w:rFonts w:ascii="仿宋_GB2312" w:hAnsi="仿宋_GB2312" w:cs="仿宋_GB2312" w:eastAsia="仿宋_GB2312"/>
        </w:rPr>
        <w:t>3、投标保证金：投标保证金缴纳凭证或担保机构出具的保函。</w:t>
      </w:r>
    </w:p>
    <w:p>
      <w:pPr>
        <w:pStyle w:val="null3"/>
      </w:pPr>
      <w:r>
        <w:rPr>
          <w:rFonts w:ascii="仿宋_GB2312" w:hAnsi="仿宋_GB2312" w:cs="仿宋_GB2312" w:eastAsia="仿宋_GB2312"/>
        </w:rPr>
        <w:t>4、非联合体：本项目不允许联合体投标。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乔老师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029-61228219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西安市莲湖区二环南路西段202号九座花园16楼1605室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王攀宏、康敏茹、张宝育、张艳萍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029-88899970-802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开户名称：华夏国际项目管理（西安）有限公司（转账时，备注项目名称+项目编号）</w:t>
            </w:r>
          </w:p>
          <w:p>
            <w:pPr>
              <w:pStyle w:val="null3"/>
            </w:pPr>
            <w:r>
              <w:rPr>
                <w:rFonts w:ascii="仿宋_GB2312" w:hAnsi="仿宋_GB2312" w:cs="仿宋_GB2312" w:eastAsia="仿宋_GB2312"/>
              </w:rPr>
              <w:t>开户银行：工行西安城南科技支行</w:t>
            </w:r>
          </w:p>
          <w:p>
            <w:pPr>
              <w:pStyle w:val="null3"/>
            </w:pPr>
            <w:r>
              <w:rPr>
                <w:rFonts w:ascii="仿宋_GB2312" w:hAnsi="仿宋_GB2312" w:cs="仿宋_GB2312" w:eastAsia="仿宋_GB2312"/>
              </w:rPr>
              <w:t>银行账号：3700024819200130193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说明：履约保证金金额为合同总价的5% 。在签订政府采购合同前，中标供应商向采购人缴纳履约保证金，最终验收合格后采购人无息退还。注：转账时备注项目名称。</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代理服务费收费标准：采购预算在80万元（含）以上400万元（不含）以下，参照《招标代理服务收费暂行办法》（计价格[2002]1980号）文件规定收费标准下浮20%向中标人收取； 代理服务费账号： 开户名称：华夏国际项目管理（西安）有限公司第一分公司 开户银行：中国光大银行股份有限公司西安科技六路支行 银行账号：78620188000199459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设备安装符合甲方要求； 调试记录完整。 ③性能测试验收（关键指标实测） 连续运行72小时无故障； 关键参数与投标文件承诺值对比（核心指标不允许有负偏离）。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联系人：王攀宏、康敏茹、张宝育、张艳萍</w:t>
      </w:r>
    </w:p>
    <w:p>
      <w:pPr>
        <w:pStyle w:val="null3"/>
      </w:pPr>
      <w:r>
        <w:rPr>
          <w:rFonts w:ascii="仿宋_GB2312" w:hAnsi="仿宋_GB2312" w:cs="仿宋_GB2312" w:eastAsia="仿宋_GB2312"/>
        </w:rPr>
        <w:t>联系电话：029-88899970-802</w:t>
      </w:r>
    </w:p>
    <w:p>
      <w:pPr>
        <w:pStyle w:val="null3"/>
      </w:pPr>
      <w:r>
        <w:rPr>
          <w:rFonts w:ascii="仿宋_GB2312" w:hAnsi="仿宋_GB2312" w:cs="仿宋_GB2312" w:eastAsia="仿宋_GB2312"/>
        </w:rPr>
        <w:t>地址：西安市莲湖区二环南路西段202号九座花园16楼1605室</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理工大学激光雷达光源采购，主要需求为单频高能量全固态激光器，作为激光雷达光源使用，实现对大气成分要素的精确探测要求，同时为仪器科学与技术、光学工程、环境科学等学科提供关键技术支撑，促进学科交叉融合，提高科研水平和人才培养质量。在教学与人才培养方面，激光雷达光源为实验教学、科研训练和高层次人才培养提供先进的光源，助力学生提升实践能力和科研水平。</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激光雷达光源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标的名称：激光雷达光源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color w:val="000000"/>
              </w:rPr>
              <w:t>★1.</w:t>
            </w:r>
            <w:r>
              <w:rPr>
                <w:rFonts w:ascii="仿宋_GB2312" w:hAnsi="仿宋_GB2312" w:cs="仿宋_GB2312" w:eastAsia="仿宋_GB2312"/>
                <w:color w:val="000000"/>
              </w:rPr>
              <w:t>中心波长：</w:t>
            </w:r>
            <w:r>
              <w:rPr>
                <w:rFonts w:ascii="仿宋_GB2312" w:hAnsi="仿宋_GB2312" w:cs="仿宋_GB2312" w:eastAsia="仿宋_GB2312"/>
                <w:color w:val="000000"/>
              </w:rPr>
              <w:t>354.7±0.1nm，532.1±0.1nm，1064.2±0.1nm；(空气中)</w:t>
            </w:r>
          </w:p>
          <w:p>
            <w:pPr>
              <w:pStyle w:val="null3"/>
            </w:pPr>
            <w:r>
              <w:rPr>
                <w:rFonts w:ascii="仿宋_GB2312" w:hAnsi="仿宋_GB2312" w:cs="仿宋_GB2312" w:eastAsia="仿宋_GB2312"/>
                <w:color w:val="000000"/>
              </w:rPr>
              <w:t>★2.重复频率≥100Hz；</w:t>
            </w:r>
          </w:p>
          <w:p>
            <w:pPr>
              <w:pStyle w:val="null3"/>
            </w:pPr>
            <w:r>
              <w:rPr>
                <w:rFonts w:ascii="仿宋_GB2312" w:hAnsi="仿宋_GB2312" w:cs="仿宋_GB2312" w:eastAsia="仿宋_GB2312"/>
                <w:color w:val="000000"/>
              </w:rPr>
              <w:t>▲3.脉冲宽度：≤10ns@355nm；</w:t>
            </w:r>
          </w:p>
          <w:p>
            <w:pPr>
              <w:pStyle w:val="null3"/>
            </w:pPr>
            <w:r>
              <w:rPr>
                <w:rFonts w:ascii="仿宋_GB2312" w:hAnsi="仿宋_GB2312" w:cs="仿宋_GB2312" w:eastAsia="仿宋_GB2312"/>
                <w:color w:val="000000"/>
              </w:rPr>
              <w:t>★4.线宽：≤200MHz@355nm；</w:t>
            </w:r>
          </w:p>
          <w:p>
            <w:pPr>
              <w:pStyle w:val="null3"/>
            </w:pPr>
            <w:r>
              <w:rPr>
                <w:rFonts w:ascii="仿宋_GB2312" w:hAnsi="仿宋_GB2312" w:cs="仿宋_GB2312" w:eastAsia="仿宋_GB2312"/>
                <w:color w:val="000000"/>
              </w:rPr>
              <w:t>5.基频种子光与脉冲光中心频率偏差：≤5MHz@1h；</w:t>
            </w:r>
          </w:p>
          <w:p>
            <w:pPr>
              <w:pStyle w:val="null3"/>
            </w:pPr>
            <w:r>
              <w:rPr>
                <w:rFonts w:ascii="仿宋_GB2312" w:hAnsi="仿宋_GB2312" w:cs="仿宋_GB2312" w:eastAsia="仿宋_GB2312"/>
                <w:color w:val="000000"/>
              </w:rPr>
              <w:t>★6.脉冲能量（同时输出）：≥200mJ@355nm；≥80mJ@532nm；≥120mJ@1064nm；</w:t>
            </w:r>
          </w:p>
          <w:p>
            <w:pPr>
              <w:pStyle w:val="null3"/>
            </w:pPr>
            <w:r>
              <w:rPr>
                <w:rFonts w:ascii="仿宋_GB2312" w:hAnsi="仿宋_GB2312" w:cs="仿宋_GB2312" w:eastAsia="仿宋_GB2312"/>
                <w:color w:val="000000"/>
              </w:rPr>
              <w:t>★7.脉冲能量（单独输出配备可切换装置）：≥200mJ@355nm；≥280mJ@532nm；≥550mJ@1064nm；</w:t>
            </w:r>
          </w:p>
          <w:p>
            <w:pPr>
              <w:pStyle w:val="null3"/>
            </w:pPr>
            <w:r>
              <w:rPr>
                <w:rFonts w:ascii="仿宋_GB2312" w:hAnsi="仿宋_GB2312" w:cs="仿宋_GB2312" w:eastAsia="仿宋_GB2312"/>
                <w:color w:val="000000"/>
              </w:rPr>
              <w:t>8.功率稳定性（2h,RMS）：≤2%@室温；</w:t>
            </w:r>
          </w:p>
          <w:p>
            <w:pPr>
              <w:pStyle w:val="null3"/>
            </w:pPr>
            <w:r>
              <w:rPr>
                <w:rFonts w:ascii="仿宋_GB2312" w:hAnsi="仿宋_GB2312" w:cs="仿宋_GB2312" w:eastAsia="仿宋_GB2312"/>
                <w:color w:val="000000"/>
              </w:rPr>
              <w:t>9.具备倍频模块自动相位匹配功能；</w:t>
            </w:r>
          </w:p>
          <w:p>
            <w:pPr>
              <w:pStyle w:val="null3"/>
            </w:pPr>
            <w:r>
              <w:rPr>
                <w:rFonts w:ascii="仿宋_GB2312" w:hAnsi="仿宋_GB2312" w:cs="仿宋_GB2312" w:eastAsia="仿宋_GB2312"/>
                <w:color w:val="000000"/>
              </w:rPr>
              <w:t>▲10.发散角（全角）：≤0.15mrad@355nm；≤0.2mrad@532nm；≤0.2mrad@1064nm；</w:t>
            </w:r>
          </w:p>
          <w:p>
            <w:pPr>
              <w:pStyle w:val="null3"/>
            </w:pPr>
            <w:r>
              <w:rPr>
                <w:rFonts w:ascii="仿宋_GB2312" w:hAnsi="仿宋_GB2312" w:cs="仿宋_GB2312" w:eastAsia="仿宋_GB2312"/>
                <w:color w:val="000000"/>
              </w:rPr>
              <w:t>▲11.光斑大小：≤20mm；</w:t>
            </w:r>
          </w:p>
          <w:p>
            <w:pPr>
              <w:pStyle w:val="null3"/>
            </w:pPr>
            <w:r>
              <w:rPr>
                <w:rFonts w:ascii="仿宋_GB2312" w:hAnsi="仿宋_GB2312" w:cs="仿宋_GB2312" w:eastAsia="仿宋_GB2312"/>
                <w:color w:val="000000"/>
              </w:rPr>
              <w:t>12.同步输出信号</w:t>
            </w:r>
            <w:r>
              <w:rPr>
                <w:rFonts w:ascii="仿宋_GB2312" w:hAnsi="仿宋_GB2312" w:cs="仿宋_GB2312" w:eastAsia="仿宋_GB2312"/>
              </w:rPr>
              <w:t>3.3</w:t>
            </w:r>
            <w:r>
              <w:rPr>
                <w:rFonts w:ascii="仿宋_GB2312" w:hAnsi="仿宋_GB2312" w:cs="仿宋_GB2312" w:eastAsia="仿宋_GB2312"/>
                <w:color w:val="000000"/>
              </w:rPr>
              <w:t>~</w:t>
            </w:r>
            <w:r>
              <w:rPr>
                <w:rFonts w:ascii="仿宋_GB2312" w:hAnsi="仿宋_GB2312" w:cs="仿宋_GB2312" w:eastAsia="仿宋_GB2312"/>
              </w:rPr>
              <w:t>5V@1M</w:t>
            </w:r>
            <w:r>
              <w:rPr>
                <w:rFonts w:ascii="仿宋_GB2312" w:hAnsi="仿宋_GB2312" w:cs="仿宋_GB2312" w:eastAsia="仿宋_GB2312"/>
              </w:rPr>
              <w:t xml:space="preserve">Ω </w:t>
            </w:r>
            <w:r>
              <w:rPr>
                <w:rFonts w:ascii="仿宋_GB2312" w:hAnsi="仿宋_GB2312" w:cs="仿宋_GB2312" w:eastAsia="仿宋_GB2312"/>
              </w:rPr>
              <w:t>TTL</w:t>
            </w:r>
            <w:r>
              <w:rPr>
                <w:rFonts w:ascii="仿宋_GB2312" w:hAnsi="仿宋_GB2312" w:cs="仿宋_GB2312" w:eastAsia="仿宋_GB2312"/>
              </w:rPr>
              <w:t>信号</w:t>
            </w:r>
            <w:r>
              <w:rPr>
                <w:rFonts w:ascii="仿宋_GB2312" w:hAnsi="仿宋_GB2312" w:cs="仿宋_GB2312" w:eastAsia="仿宋_GB2312"/>
                <w:color w:val="000000"/>
              </w:rPr>
              <w:t>，宽度</w:t>
            </w:r>
            <w:r>
              <w:rPr>
                <w:rFonts w:ascii="仿宋_GB2312" w:hAnsi="仿宋_GB2312" w:cs="仿宋_GB2312" w:eastAsia="仿宋_GB2312"/>
                <w:color w:val="000000"/>
              </w:rPr>
              <w:t>≥1μs，上升沿≤50ns，Jitter≤2ns（相对于光脉冲）；</w:t>
            </w:r>
          </w:p>
          <w:p>
            <w:pPr>
              <w:pStyle w:val="null3"/>
            </w:pPr>
            <w:r>
              <w:rPr>
                <w:rFonts w:ascii="仿宋_GB2312" w:hAnsi="仿宋_GB2312" w:cs="仿宋_GB2312" w:eastAsia="仿宋_GB2312"/>
                <w:color w:val="000000"/>
              </w:rPr>
              <w:t>13.外触发信号：</w:t>
            </w:r>
            <w:r>
              <w:rPr>
                <w:rFonts w:ascii="仿宋_GB2312" w:hAnsi="仿宋_GB2312" w:cs="仿宋_GB2312" w:eastAsia="仿宋_GB2312"/>
                <w:color w:val="000000"/>
              </w:rPr>
              <w:t>3.3~5V@1MΩ TTL信号</w:t>
            </w:r>
            <w:r>
              <w:rPr>
                <w:rFonts w:ascii="仿宋_GB2312" w:hAnsi="仿宋_GB2312" w:cs="仿宋_GB2312" w:eastAsia="仿宋_GB2312"/>
                <w:color w:val="000000"/>
              </w:rPr>
              <w:t>；</w:t>
            </w:r>
          </w:p>
          <w:p>
            <w:pPr>
              <w:pStyle w:val="null3"/>
            </w:pPr>
            <w:r>
              <w:rPr>
                <w:rFonts w:ascii="仿宋_GB2312" w:hAnsi="仿宋_GB2312" w:cs="仿宋_GB2312" w:eastAsia="仿宋_GB2312"/>
                <w:color w:val="000000"/>
              </w:rPr>
              <w:t>▲14.功率监测：对种子光、1064nm基频光输出、355nm输出光功率进行监测；</w:t>
            </w:r>
          </w:p>
          <w:p>
            <w:pPr>
              <w:pStyle w:val="null3"/>
            </w:pPr>
            <w:r>
              <w:rPr>
                <w:rFonts w:ascii="仿宋_GB2312" w:hAnsi="仿宋_GB2312" w:cs="仿宋_GB2312" w:eastAsia="仿宋_GB2312"/>
                <w:color w:val="000000"/>
              </w:rPr>
              <w:t>15.触发方式：外触发/内触发；</w:t>
            </w:r>
          </w:p>
          <w:p>
            <w:pPr>
              <w:pStyle w:val="null3"/>
            </w:pPr>
            <w:r>
              <w:rPr>
                <w:rFonts w:ascii="仿宋_GB2312" w:hAnsi="仿宋_GB2312" w:cs="仿宋_GB2312" w:eastAsia="仿宋_GB2312"/>
                <w:color w:val="000000"/>
              </w:rPr>
              <w:t>16.通信协议：RS422；</w:t>
            </w:r>
          </w:p>
          <w:p>
            <w:pPr>
              <w:pStyle w:val="null3"/>
            </w:pPr>
            <w:r>
              <w:rPr>
                <w:rFonts w:ascii="仿宋_GB2312" w:hAnsi="仿宋_GB2312" w:cs="仿宋_GB2312" w:eastAsia="仿宋_GB2312"/>
                <w:color w:val="000000"/>
              </w:rPr>
              <w:t>17.冷却方式：水冷；</w:t>
            </w:r>
          </w:p>
          <w:p>
            <w:pPr>
              <w:pStyle w:val="null3"/>
            </w:pPr>
            <w:r>
              <w:rPr>
                <w:rFonts w:ascii="仿宋_GB2312" w:hAnsi="仿宋_GB2312" w:cs="仿宋_GB2312" w:eastAsia="仿宋_GB2312"/>
                <w:color w:val="000000"/>
              </w:rPr>
              <w:t>18.工作环境温度：15~35℃；</w:t>
            </w:r>
          </w:p>
          <w:p>
            <w:pPr>
              <w:pStyle w:val="null3"/>
            </w:pPr>
            <w:r>
              <w:rPr>
                <w:rFonts w:ascii="仿宋_GB2312" w:hAnsi="仿宋_GB2312" w:cs="仿宋_GB2312" w:eastAsia="仿宋_GB2312"/>
                <w:color w:val="000000"/>
              </w:rPr>
              <w:t>19.存储环境温度：-20~50℃（含冷却液）；</w:t>
            </w:r>
          </w:p>
          <w:p>
            <w:pPr>
              <w:pStyle w:val="null3"/>
            </w:pPr>
            <w:r>
              <w:rPr>
                <w:rFonts w:ascii="仿宋_GB2312" w:hAnsi="仿宋_GB2312" w:cs="仿宋_GB2312" w:eastAsia="仿宋_GB2312"/>
                <w:sz w:val="21"/>
              </w:rPr>
              <w:t>20.供电要求：220或380VAC。</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合同签订后100个日历日完成供货、安装、调试并交付使用。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合同签订后5个工作日内</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运抵甲方指定地点并经甲方初步查验无误后，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①招标文件、投标文件及技术澄清文件（函）； ②国家/行业标准、规范（如GB、ISO、IEC等）。 ③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 ④若设备验收不合格，乙方应在收到甲方书面通知后5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 （2）验收流程 ①到货初检（采购人、中标人共同参与）： 检查外包装完整性、防伪标识、运输损伤情况； 核对货物型号、数量、规格是否与合同一致； 检查随机文件（合格证、说明书、保修卡等）。 ②安装调试验收 设备安装符合甲方要求； 调试记录完整。 ③性能测试验收（关键指标实测） 连续运行72小时无故障； 关键参数与投标文件承诺值对比（核心指标不允许有负偏离）。 ④最终验收 ⑤签署《验收报告》，产品保修期自验收合格之日起算，由中标人提供产品保修文件。 中标供应商货物经过双方检验认可后，签署验收报告，产品保修期自验收合格之日起算，由中标供应商提供产品保修文件。 当满足以下条件时，采购人才向中标供应商签发货物验收报告： （1）中标供应商已按照合同规定提供了全部产品及完整的技术资料。 （2）货物符合招标文件和投标文件技术规格要求，性能满足要求。 （3）货物具备产品合格证。</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2.运输责任：运输由中标人负责，运杂费已包含在合同总价内。包括从货物供应地点运送至交付地点所含的运输费、装卸费、仓储费、保险费等； 3.存放与保管：货物到达采购人指定地点后，中标人应按有关技术规程和采购人要求进行存放和保管。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 （6）产品保修期（三包期）：自验收合格之日起1年。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供应商未按合同要求提供设备或提供的设备质量或规格不能满足技术要求，或所交付货物及伴随的服务不符合其投标承诺，存在偷工减料、以次充好情形的，采购人要求更换一次后仍不符合约定的，采购人有权解除政府采购合同，没收履约保证金，并将有关情况上报政府采购监管部门处理。 2.中标供应商应对其工作人员人身安全负责，如因中标供应商工作人员在履行职务过程中的疏忽、失职、过错等故意或者过失原因给采购人造成损失或侵害，包括但不限于采购人本身的财产损失（直接损失、间接损失、采购人为避免损失扩大或维权而支出的律师费、诉讼费、保全费、鉴定费、差旅费等所有合理费用等）、由此而导致的采购人对任何第三方的法律责任等，中标供应商对此均应承担全部的赔偿责任。 3.若中标供应商发生延迟交货，每延迟1日，应向采购人支付合同总金额1‰的违约金；延迟超过15日的，采购人有权单方解除合同，并要求中标供应商支付合同总金额20%的违约金，如该违约金不足以弥补甲方损失的，中标供应商还应予以赔偿。</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1.采购标的专用工具、备品备件、安装调试及配套工程、质量保证、售后服务等要求。 （1）专用工具及备件 专用工具：提供专用维修工具包； 备品备件：提供光学洁净工具包。 （2）安装调试要求 安装标准：按照甲方指定地点安装且配件齐全； 调试周期：连续72小时无故障运行测试； 人员培训：提供相关操作人员培训资料。 （3）配套工程 基础施工：包含安装设备所需各种工具（需提前1日做好准备）。 （4）质量保证 质量追溯：提供货物来源证明及质量检验报告； 货物要求：以采购人的要求为准，为采购人提供全新的货物（包括零部件）。 （5）售后服务 响应时限：保修期内由中标人免费质保，采购人报修后1个工作日内投标人快速响应，1-2个工作日给出解决方案，3-5个工作日上门解决，否则将依据有关法律、法规进行追偿； 定期维护：每季度提供预防性维护服务。 2.中标单位应提供纸质投标文件叁份（正本壹份、副本贰份），投标文件需包含目录、无少页、缺页、连续页码（或单独使用打码器打码）。递交地址:西安市莲湖区二环南路西段202号九座花园16楼1605室。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1.提供合格有效的法人或者其他组织的营业执照等证明文件，自然人的身份证明；供应商是法人或其他组织的应提供营业执照等证明文件，供应商是自然人的应提供有效的自然人身份证明。 2.财务状况证明：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 3.提供具有履行合同所必需的设备和专业技术能力的承诺。 4.税收缴纳证明：提供递交响应文件截止之日前一年内任意一个月的依法缴纳税收的完税证明，完税证明应有税务机关或代收机关的公章或业务专用章。依法免税或无须缴纳税收的供应商，应提供相应证明文件。 5.社会保障资金缴纳证明：提供投标截止日前一年内已缴存的至少一个月的社会保障资金缴存单据或社保机构开具的社会保险参保缴费情况证明，依法不需要缴纳社会保障资金的单位应提供相关证明材料。 6.投标人应出具参加政府采购活动前3年内在经营活动中没有重大违法记录的书面声明。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法定代表人授权书（附法定代表人、被授权人身份证复印件及被授权人投标截止日前一年内在本单位已缴存的至少一个月的社会保险参保缴费证明)；法定代表人直接参加投标，须提供法定代表人身份证明。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截止至投标文件递交截止时间之前，供应商未被列入“信用中国”网站（www.creditchina.gov.cn）失信被执行人、经营（活动）异常名录及重大税收违法失信主体；未被列入“中国政府采购网（www.ccgp.gov.cn)”政府采购严重违法失信行为记录名单。（供应商可不提供，以代理机构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投标保证金缴纳凭证或担保机构出具的保函。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本项目不允许联合体投标。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w:t>
            </w:r>
          </w:p>
        </w:tc>
        <w:tc>
          <w:tcPr>
            <w:tcW w:type="dxa" w:w="1661"/>
          </w:tcPr>
          <w:p>
            <w:pPr>
              <w:pStyle w:val="null3"/>
            </w:pPr>
            <w:r>
              <w:rPr>
                <w:rFonts w:ascii="仿宋_GB2312" w:hAnsi="仿宋_GB2312" w:cs="仿宋_GB2312" w:eastAsia="仿宋_GB2312"/>
              </w:rPr>
              <w:t>开标一览表.docx 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开标一览表.docx 开标一览表 业绩一览表.docx 中小企业声明函 供应商承诺书.docx 资格证明文件.docx 投标方案说明书.docx 分项报价表.docx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开标一览表.docx 开标一览表 业绩一览表.docx 中小企业声明函 供应商承诺书.docx 资格证明文件.docx 投标方案说明书.docx 分项报价表.docx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按招标文件要求报价，不得提交选择性报价，且报价不超过采购预算金额或最高限价。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开标一览表.docx 开标一览表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开标一览表.docx 开标一览表 业绩一览表.docx 中小企业声明函 供应商承诺书.docx 资格证明文件.docx 投标方案说明书.docx 分项报价表.docx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交货期、质保期、保修期</w:t>
            </w:r>
          </w:p>
        </w:tc>
        <w:tc>
          <w:tcPr>
            <w:tcW w:type="dxa" w:w="3322"/>
          </w:tcPr>
          <w:p>
            <w:pPr>
              <w:pStyle w:val="null3"/>
            </w:pPr>
            <w:r>
              <w:rPr>
                <w:rFonts w:ascii="仿宋_GB2312" w:hAnsi="仿宋_GB2312" w:cs="仿宋_GB2312" w:eastAsia="仿宋_GB2312"/>
              </w:rPr>
              <w:t>应满足招标文件中要求的交货期、质保期、保修期。</w:t>
            </w:r>
          </w:p>
        </w:tc>
        <w:tc>
          <w:tcPr>
            <w:tcW w:type="dxa" w:w="1661"/>
          </w:tcPr>
          <w:p>
            <w:pPr>
              <w:pStyle w:val="null3"/>
            </w:pPr>
            <w:r>
              <w:rPr>
                <w:rFonts w:ascii="仿宋_GB2312" w:hAnsi="仿宋_GB2312" w:cs="仿宋_GB2312" w:eastAsia="仿宋_GB2312"/>
              </w:rPr>
              <w:t>开标一览表.docx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无法律、规章、规范性文件和招标文件规定的其他无效情形。</w:t>
            </w:r>
          </w:p>
        </w:tc>
        <w:tc>
          <w:tcPr>
            <w:tcW w:type="dxa" w:w="1661"/>
          </w:tcPr>
          <w:p>
            <w:pPr>
              <w:pStyle w:val="null3"/>
            </w:pPr>
            <w:r>
              <w:rPr>
                <w:rFonts w:ascii="仿宋_GB2312" w:hAnsi="仿宋_GB2312" w:cs="仿宋_GB2312" w:eastAsia="仿宋_GB2312"/>
              </w:rPr>
              <w:t>其他资料.docx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重要技术参数</w:t>
            </w:r>
          </w:p>
        </w:tc>
        <w:tc>
          <w:tcPr>
            <w:tcW w:type="dxa" w:w="2492"/>
          </w:tcPr>
          <w:p>
            <w:pPr>
              <w:pStyle w:val="null3"/>
            </w:pPr>
            <w:r>
              <w:rPr>
                <w:rFonts w:ascii="仿宋_GB2312" w:hAnsi="仿宋_GB2312" w:cs="仿宋_GB2312" w:eastAsia="仿宋_GB2312"/>
              </w:rPr>
              <w:t>所投产品技术参数清楚、明确，并能逐条响应招标文件第三章“技术参数表”中“▲”项(4项)参数要求，得24分。每负偏离一项扣6分,扣完为止。带“★”的参数需求为实质性要求，供应商必须响应并满足，否则按无效投标处理。 备注：所有“▲”项参数须有佐证材料，佐证材料例如：国家认可的检测机构出具的检测报告、制造商检验报告、产品彩页、官网功能截图任意一种，不提供或缺漏项不得分。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一般技术参数</w:t>
            </w:r>
          </w:p>
        </w:tc>
        <w:tc>
          <w:tcPr>
            <w:tcW w:type="dxa" w:w="2492"/>
          </w:tcPr>
          <w:p>
            <w:pPr>
              <w:pStyle w:val="null3"/>
            </w:pPr>
            <w:r>
              <w:rPr>
                <w:rFonts w:ascii="仿宋_GB2312" w:hAnsi="仿宋_GB2312" w:cs="仿宋_GB2312" w:eastAsia="仿宋_GB2312"/>
              </w:rPr>
              <w:t>所投产品技术参数清楚、明确，并能逐条响应招标文件第三章“技术参数表”中未带“▲”项(11项)参数要求，得15分。每负偏离一项扣1.37分,扣完为止。 备注：未带“▲”项技术参数评审以投标人“技术规格响应表”为准，投标人对响应内容真实性负责，如有虚假响应，将依法承担相应责任。</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供货及培训方案</w:t>
            </w:r>
          </w:p>
        </w:tc>
        <w:tc>
          <w:tcPr>
            <w:tcW w:type="dxa" w:w="2492"/>
          </w:tcPr>
          <w:p>
            <w:pPr>
              <w:pStyle w:val="null3"/>
            </w:pPr>
            <w:r>
              <w:rPr>
                <w:rFonts w:ascii="仿宋_GB2312" w:hAnsi="仿宋_GB2312" w:cs="仿宋_GB2312" w:eastAsia="仿宋_GB2312"/>
              </w:rPr>
              <w:t>1.评审内容： 根据投标人针对本项目提供的①供货方案②安装调试③人员配备④培训方案等方面制订具体的实施方案进行评审。 2.评审标准： ①可实施性：切合本项目实际情况，方案全面、实施步骤清晰、计划合理； ②针对性：方案能够紧扣项目实际情况，内容科学合理； 3.赋分标准： ①供货方案：每完全满足一项评审标准得1分，满分2分； ②安装调试：每完全满足一项评审标准得1分，满分2分； ③人员配备：每完全满足一项评审标准得1分，满分2分； ④培训方案：每完全满足一项评审标准得1分，满分2分； 以上内容缺项或未提供得0分。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产品来源及质量保障措施（1）</w:t>
            </w:r>
          </w:p>
        </w:tc>
        <w:tc>
          <w:tcPr>
            <w:tcW w:type="dxa" w:w="2492"/>
          </w:tcPr>
          <w:p>
            <w:pPr>
              <w:pStyle w:val="null3"/>
            </w:pPr>
            <w:r>
              <w:rPr>
                <w:rFonts w:ascii="仿宋_GB2312" w:hAnsi="仿宋_GB2312" w:cs="仿宋_GB2312" w:eastAsia="仿宋_GB2312"/>
              </w:rPr>
              <w:t>根据投标人针对本项目拟投产品来源的相关证明材料（内容包含但不限于对产品的资料，测试报告内容真实有效）进行评审。 1）产品相关证明材料齐全、货源渠道正规（代理商提供产品销售代理协议）、链条清晰完整，完全满足本项目对产品的质量要求得3分； 2）产品相关证明材料有缺失、链条模糊不完整（略有缺陷，但不影响招标人正常使用）可能无法满足完全满足本项目对产品的质量要求得2分； 3）产品相关证明材料缺失、链条模糊不完整，不能完全满足本项目对产品的质量要求得1分； 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产品来源及质量保障措施（2）</w:t>
            </w:r>
          </w:p>
        </w:tc>
        <w:tc>
          <w:tcPr>
            <w:tcW w:type="dxa" w:w="2492"/>
          </w:tcPr>
          <w:p>
            <w:pPr>
              <w:pStyle w:val="null3"/>
            </w:pPr>
            <w:r>
              <w:rPr>
                <w:rFonts w:ascii="仿宋_GB2312" w:hAnsi="仿宋_GB2312" w:cs="仿宋_GB2312" w:eastAsia="仿宋_GB2312"/>
              </w:rPr>
              <w:t>有完善的质量保证措施得3分；质量管理方案不完善的得1分；没有质量管理方案的得0分。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1.评审内容： 根据投标人的售后服务方案（包括但不限于①售后服务计划；②售后服务措施；③服务承诺；④响应及上门时间表述）等进行评审。 2.评审标准： ①可实施性：切合本项目实际情况，方案全面、实施步骤清晰、合理； ②针对性：方案能够紧扣项目实际情况，内容科学合理； 3.赋分标准： ①售后服务计划：每完全满足一项评审标准得1分，满分2分； ②售后服务措施：每完全满足一项评审标准得1分，满分2分； ③服务承诺：每完全满足一项评审标准得1分，满分2分； ④响应及上门时间表述：每完全满足一项评审标准得1分，满分2分。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提供2023年1月1日至投标文件递交截止时间止承担过类似产品的销售业绩或生产厂家销售业绩（以合同签订日期为准），每份业绩合同计1分，满分6分。 备注：需提供业绩完整合同及对应货款发票复印件或合同的财务转账记录（任意一种），并加盖投标人公章，以上两种证明材料同时提供方可得分，否则不得分。未提供或不清晰导致无法识别的不得分。若招标人对供应商提供的合同存疑，招标人有权要求供应商提供合同的财务转账记录、发票等证明材料，如供应商存在业绩造假，招标人有权取消供应商的投标资格。</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整机质保期承诺：高于招标文件要求（1年）的，每增加1年得1分（产品验收合格后开始计算），最高加3分，无承诺不得分。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投标方案说明书.docx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 2.满足招标文件实质性要求且最终报价最低的供应商的价格为投标基准价，其价格分为满分30分。 3.投标报价得分=（投标基准价/最终投标报价）×30。 4.投标报价不完整的，不进入投标基准价的计算，本项得0分。 5.根据《国务院办公厅关于在政府采购中实施本国产品标准及相关政策的通知》（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