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版本号：ZCTH2026-05-04920260604002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信息系统渗透测试服务采购项目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ZCTH2026-05-049</w:t>
      </w:r>
      <w:r>
        <w:br/>
      </w:r>
      <w:r>
        <w:br/>
      </w:r>
      <w:r>
        <w:br/>
      </w:r>
    </w:p>
    <w:p>
      <w:pPr>
        <w:pStyle w:val="null3"/>
        <w:jc w:val="center"/>
        <w:outlineLvl w:val="2"/>
      </w:pPr>
      <w:r>
        <w:rPr>
          <w:rFonts w:ascii="仿宋_GB2312" w:hAnsi="仿宋_GB2312" w:cs="仿宋_GB2312" w:eastAsia="仿宋_GB2312"/>
          <w:sz w:val="28"/>
          <w:b/>
        </w:rPr>
        <w:t>陕西省住房和城乡建设厅电子政务中心</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陕西省住房和城乡建设厅电子政务中心</w:t>
      </w:r>
      <w:r>
        <w:rPr>
          <w:rFonts w:ascii="仿宋_GB2312" w:hAnsi="仿宋_GB2312" w:cs="仿宋_GB2312" w:eastAsia="仿宋_GB2312"/>
        </w:rPr>
        <w:t>委托，拟对</w:t>
      </w:r>
      <w:r>
        <w:rPr>
          <w:rFonts w:ascii="仿宋_GB2312" w:hAnsi="仿宋_GB2312" w:cs="仿宋_GB2312" w:eastAsia="仿宋_GB2312"/>
        </w:rPr>
        <w:t>信息系统渗透测试服务采购项目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ZCTH2026-05-049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信息系统渗透测试服务采购项目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国家《网络安全法》、《数据安全法》等法律法规要求，为有效控制和抵御网络安全风险，提高网络安全防范水平，增强网络安全事件应急处置能力，保障我厅重要信息系统的安全稳定运行，从“方案制定-渗透测试-漏洞修复-渗透复测-清除痕迹”5个环节做好渗透测试和安全加固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采购包1（信息系统渗透测试服务采购项目）：属于专门面向中小企业采购。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须提供法定代表人身份证明及身份证复印件；授权代表参与磋商，须提供法定代表人授权书（附法定代表人、被授权人身份证复印件）及被授权人身份证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陕西省住房和城乡建设厅电子政务中心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碑林区友谊东路物资路22号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029-87217360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开户名称：陕西中诚天和项目管理有限公司</w:t>
            </w:r>
          </w:p>
          <w:p>
            <w:pPr>
              <w:pStyle w:val="null3"/>
            </w:pPr>
            <w:r>
              <w:rPr>
                <w:rFonts w:ascii="仿宋_GB2312" w:hAnsi="仿宋_GB2312" w:cs="仿宋_GB2312" w:eastAsia="仿宋_GB2312"/>
              </w:rPr>
              <w:t>开户银行：中国建设银行股份有限公司西安高新自贸区支行</w:t>
            </w:r>
          </w:p>
          <w:p>
            <w:pPr>
              <w:pStyle w:val="null3"/>
            </w:pPr>
            <w:r>
              <w:rPr>
                <w:rFonts w:ascii="仿宋_GB2312" w:hAnsi="仿宋_GB2312" w:cs="仿宋_GB2312" w:eastAsia="仿宋_GB2312"/>
              </w:rPr>
              <w:t>银行账号：61050110066700001164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执行。本项目代理服务费按服务计取。 招标代理服务费账户 户名：陕西中诚天和项目管理有限公司 开户行：中国建设银行股份有限公司西安高新自贸区支行 账号：61050110066700001164 代理费不足陆仟元按陆仟元计取。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陕西省住房和城乡建设厅电子政务中心</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陕西省住房和城乡建设厅电子政务中心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陕西省住房和城乡建设厅电子政务中心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满足磋商文件要求及合同规定。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内容为：按照国家《网络安全法》、《数据安全法》等法律法规要求，为有效控制和抵御网络安全风险，提高网络安全防范水平，增强网络安全事件应急处置能力，保障我厅重要信息系统的安全稳定运行，从“方案制定-渗透测试-漏洞修复-渗透复测-清除痕迹”5个环节做好渗透测试和安全加固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rPr>
              <w:t>（一）常规内容</w:t>
            </w:r>
          </w:p>
          <w:p>
            <w:pPr>
              <w:pStyle w:val="null3"/>
            </w:pPr>
            <w:r>
              <w:rPr>
                <w:rFonts w:ascii="仿宋_GB2312" w:hAnsi="仿宋_GB2312" w:cs="仿宋_GB2312" w:eastAsia="仿宋_GB2312"/>
              </w:rPr>
              <w:t>按照国家《网络安全法》、《数据安全法》等法律法规要求，为有效控制和抵御网络安全风险，提高网络安全防范水平，增强网络安全事件应急处置能力，保障我厅重要信息系统的安全稳定运行，从“方案制定-渗透测试-漏洞修复-渗透复测-清除痕迹”5个环节做好渗透测试和安全加固服务工作。</w:t>
            </w:r>
          </w:p>
          <w:p>
            <w:pPr>
              <w:pStyle w:val="null3"/>
            </w:pPr>
            <w:r>
              <w:rPr>
                <w:rFonts w:ascii="仿宋_GB2312" w:hAnsi="仿宋_GB2312" w:cs="仿宋_GB2312" w:eastAsia="仿宋_GB2312"/>
              </w:rPr>
              <w:t>人员资格要求：</w:t>
            </w:r>
          </w:p>
          <w:p>
            <w:pPr>
              <w:pStyle w:val="null3"/>
            </w:pPr>
            <w:r>
              <w:rPr>
                <w:rFonts w:ascii="仿宋_GB2312" w:hAnsi="仿宋_GB2312" w:cs="仿宋_GB2312" w:eastAsia="仿宋_GB2312"/>
              </w:rPr>
              <w:t>具有CISP-PTE（注册渗透测试工程师）证书</w:t>
            </w:r>
          </w:p>
          <w:p>
            <w:pPr>
              <w:pStyle w:val="null3"/>
            </w:pPr>
            <w:r>
              <w:rPr>
                <w:rFonts w:ascii="仿宋_GB2312" w:hAnsi="仿宋_GB2312" w:cs="仿宋_GB2312" w:eastAsia="仿宋_GB2312"/>
              </w:rPr>
              <w:t>1、渗透测试服务</w:t>
            </w:r>
          </w:p>
          <w:p>
            <w:pPr>
              <w:pStyle w:val="null3"/>
            </w:pPr>
            <w:r>
              <w:rPr>
                <w:rFonts w:ascii="仿宋_GB2312" w:hAnsi="仿宋_GB2312" w:cs="仿宋_GB2312" w:eastAsia="仿宋_GB2312"/>
              </w:rPr>
              <w:t>对省住建厅指定的信息系统开展渗透测试工作，模拟真实黑客攻击，进行安全测试，查找可利用的漏洞。</w:t>
            </w:r>
          </w:p>
          <w:p>
            <w:pPr>
              <w:pStyle w:val="null3"/>
            </w:pPr>
            <w:r>
              <w:rPr>
                <w:rFonts w:ascii="仿宋_GB2312" w:hAnsi="仿宋_GB2312" w:cs="仿宋_GB2312" w:eastAsia="仿宋_GB2312"/>
              </w:rPr>
              <w:t>信息系统共16个，具体如下:陕西省住房和城乡建设厅门户网站、陕西省住房和城乡建设厅行政审批政务服务平台(一期)、陕西省工程建设项目审批管理信息系统、陕西省建筑工人职业培训管理信息系统、陕西省房地产市场诚信评价监管平台、陕西省住房公积金监管信息系统、建筑市场监管与诚信一体化管理系统、建筑工人实名制管理系统、大数据综合服务系统、消防设计审查验收备案服务管理系统、省级城市运行管理服务系统、施工图审查系统、陕西省水电气网“一件事”联合报装审批系统、陕西省建筑能耗动态监测管理平台、陕西省城镇污水处理设施运行监管系统、陕西省全国房屋建筑和市政设施普查软件系统。</w:t>
            </w:r>
          </w:p>
          <w:p>
            <w:pPr>
              <w:pStyle w:val="null3"/>
            </w:pPr>
            <w:r>
              <w:rPr>
                <w:rFonts w:ascii="仿宋_GB2312" w:hAnsi="仿宋_GB2312" w:cs="仿宋_GB2312" w:eastAsia="仿宋_GB2312"/>
              </w:rPr>
              <w:t>2、安全加固服务</w:t>
            </w:r>
          </w:p>
          <w:p>
            <w:pPr>
              <w:pStyle w:val="null3"/>
            </w:pPr>
            <w:r>
              <w:rPr>
                <w:rFonts w:ascii="仿宋_GB2312" w:hAnsi="仿宋_GB2312" w:cs="仿宋_GB2312" w:eastAsia="仿宋_GB2312"/>
              </w:rPr>
              <w:t>针对渗透测试和安全巡检发现的安全问题，提供详细的修复建议和优化方案，并协助甲方实施必要的配置调整和加固措施。</w:t>
            </w:r>
          </w:p>
          <w:p>
            <w:pPr>
              <w:pStyle w:val="null3"/>
            </w:pPr>
            <w:r>
              <w:rPr>
                <w:rFonts w:ascii="仿宋_GB2312" w:hAnsi="仿宋_GB2312" w:cs="仿宋_GB2312" w:eastAsia="仿宋_GB2312"/>
              </w:rPr>
              <w:t xml:space="preserve">    （二）驻场服务内容</w:t>
            </w:r>
          </w:p>
          <w:p>
            <w:pPr>
              <w:pStyle w:val="null3"/>
            </w:pPr>
            <w:r>
              <w:rPr>
                <w:rFonts w:ascii="仿宋_GB2312" w:hAnsi="仿宋_GB2312" w:cs="仿宋_GB2312" w:eastAsia="仿宋_GB2312"/>
              </w:rPr>
              <w:t>1、安全巡检服务</w:t>
            </w:r>
          </w:p>
          <w:p>
            <w:pPr>
              <w:pStyle w:val="null3"/>
            </w:pPr>
            <w:r>
              <w:rPr>
                <w:rFonts w:ascii="仿宋_GB2312" w:hAnsi="仿宋_GB2312" w:cs="仿宋_GB2312" w:eastAsia="仿宋_GB2312"/>
              </w:rPr>
              <w:t>定期对甲方指定的信息系统和设备（例如：关键服务器、网络设备、数据库等）进行安全检查，发现配置缺陷、已知漏洞等潜在风险。</w:t>
            </w:r>
          </w:p>
          <w:p>
            <w:pPr>
              <w:pStyle w:val="null3"/>
            </w:pPr>
            <w:r>
              <w:rPr>
                <w:rFonts w:ascii="仿宋_GB2312" w:hAnsi="仿宋_GB2312" w:cs="仿宋_GB2312" w:eastAsia="仿宋_GB2312"/>
              </w:rPr>
              <w:t>2、应急演练服务</w:t>
            </w:r>
          </w:p>
          <w:p>
            <w:pPr>
              <w:pStyle w:val="null3"/>
            </w:pPr>
            <w:r>
              <w:rPr>
                <w:rFonts w:ascii="仿宋_GB2312" w:hAnsi="仿宋_GB2312" w:cs="仿宋_GB2312" w:eastAsia="仿宋_GB2312"/>
              </w:rPr>
              <w:t>在甲方组织网络安全事件应急演练时，提供技术支持和现场指导，协助甲方验证应急预案流程的有效性。</w:t>
            </w:r>
          </w:p>
          <w:p>
            <w:pPr>
              <w:pStyle w:val="null3"/>
            </w:pPr>
            <w:r>
              <w:rPr>
                <w:rFonts w:ascii="仿宋_GB2312" w:hAnsi="仿宋_GB2312" w:cs="仿宋_GB2312" w:eastAsia="仿宋_GB2312"/>
              </w:rPr>
              <w:t>3、安全咨询服务</w:t>
            </w:r>
          </w:p>
          <w:p>
            <w:pPr>
              <w:pStyle w:val="null3"/>
            </w:pPr>
            <w:r>
              <w:rPr>
                <w:rFonts w:ascii="仿宋_GB2312" w:hAnsi="仿宋_GB2312" w:cs="仿宋_GB2312" w:eastAsia="仿宋_GB2312"/>
              </w:rPr>
              <w:t>对甲方在日常运维中遇到的安全策略、技术方案、合规要求等网络安全相关问题，提供专业的建议和解答。</w:t>
            </w:r>
          </w:p>
          <w:p>
            <w:pPr>
              <w:pStyle w:val="null3"/>
            </w:pPr>
            <w:r>
              <w:rPr>
                <w:rFonts w:ascii="仿宋_GB2312" w:hAnsi="仿宋_GB2312" w:cs="仿宋_GB2312" w:eastAsia="仿宋_GB2312"/>
              </w:rPr>
              <w:t>驻场服务中，供应商需要派遣不少于3人的项目团队驻场，主要协助甲方开展信息系统网络安全等相关工作。派遣的网络安全工程师需对采购人信息系统的网络安全状况和整体现状有较深刻的了解，可以在合同签订后较快的进入工作状态。</w:t>
            </w:r>
          </w:p>
          <w:p>
            <w:pPr>
              <w:pStyle w:val="null3"/>
            </w:pPr>
            <w:r>
              <w:rPr>
                <w:rFonts w:ascii="仿宋_GB2312" w:hAnsi="仿宋_GB2312" w:cs="仿宋_GB2312" w:eastAsia="仿宋_GB2312"/>
              </w:rPr>
              <w:t>4.驻场人员要求：</w:t>
            </w:r>
          </w:p>
          <w:p>
            <w:pPr>
              <w:pStyle w:val="null3"/>
            </w:pPr>
            <w:r>
              <w:rPr>
                <w:rFonts w:ascii="仿宋_GB2312" w:hAnsi="仿宋_GB2312" w:cs="仿宋_GB2312" w:eastAsia="仿宋_GB2312"/>
              </w:rPr>
              <w:t>驻场人员须具备3年及以上网络安全相关工作经验，日常工作内容包括：</w:t>
            </w:r>
          </w:p>
          <w:p>
            <w:pPr>
              <w:pStyle w:val="null3"/>
            </w:pPr>
            <w:r>
              <w:rPr>
                <w:rFonts w:ascii="仿宋_GB2312" w:hAnsi="仿宋_GB2312" w:cs="仿宋_GB2312" w:eastAsia="仿宋_GB2312"/>
              </w:rPr>
              <w:t>4-1、按照采购人单位的上下班时间按时到岗；</w:t>
            </w:r>
          </w:p>
          <w:p>
            <w:pPr>
              <w:pStyle w:val="null3"/>
            </w:pPr>
            <w:r>
              <w:rPr>
                <w:rFonts w:ascii="仿宋_GB2312" w:hAnsi="仿宋_GB2312" w:cs="仿宋_GB2312" w:eastAsia="仿宋_GB2312"/>
              </w:rPr>
              <w:t>4-2、查看信息系统网络运行日志，查看软件平台运行是否正常；</w:t>
            </w:r>
          </w:p>
          <w:p>
            <w:pPr>
              <w:pStyle w:val="null3"/>
            </w:pPr>
            <w:r>
              <w:rPr>
                <w:rFonts w:ascii="仿宋_GB2312" w:hAnsi="仿宋_GB2312" w:cs="仿宋_GB2312" w:eastAsia="仿宋_GB2312"/>
              </w:rPr>
              <w:t>4-3、协助甲方技术人员与网络安全上级主管部门沟通联系，撰写网络安全运行报告，处置网络安全风险等工作；</w:t>
            </w:r>
          </w:p>
          <w:p>
            <w:pPr>
              <w:pStyle w:val="null3"/>
            </w:pPr>
            <w:r>
              <w:rPr>
                <w:rFonts w:ascii="仿宋_GB2312" w:hAnsi="仿宋_GB2312" w:cs="仿宋_GB2312" w:eastAsia="仿宋_GB2312"/>
              </w:rPr>
              <w:t>4-4、每月30号，与甲方技术人员一同进行系统巡检，对信息系统网络安全运行状况进行全面排查，内容主要包括当前系统运行状况，总结本月信息系统运行是否稳定；</w:t>
            </w:r>
          </w:p>
          <w:p>
            <w:pPr>
              <w:pStyle w:val="null3"/>
            </w:pPr>
            <w:r>
              <w:rPr>
                <w:rFonts w:ascii="仿宋_GB2312" w:hAnsi="仿宋_GB2312" w:cs="仿宋_GB2312" w:eastAsia="仿宋_GB2312"/>
              </w:rPr>
              <w:t>4-5、每6个月（2个季度）最后1个星期，编写网络安全巡检报告，对系统整体网络运行状况进行性能评估，提供安全策略调整建议等。</w:t>
            </w:r>
          </w:p>
          <w:p>
            <w:pPr>
              <w:pStyle w:val="null3"/>
            </w:pPr>
            <w:r>
              <w:rPr>
                <w:rFonts w:ascii="仿宋_GB2312" w:hAnsi="仿宋_GB2312" w:cs="仿宋_GB2312" w:eastAsia="仿宋_GB2312"/>
              </w:rPr>
              <w:t>（三）技术规格</w:t>
            </w:r>
          </w:p>
          <w:p>
            <w:pPr>
              <w:pStyle w:val="null3"/>
            </w:pPr>
            <w:r>
              <w:rPr>
                <w:rFonts w:ascii="仿宋_GB2312" w:hAnsi="仿宋_GB2312" w:cs="仿宋_GB2312" w:eastAsia="仿宋_GB2312"/>
              </w:rPr>
              <w:t>依据《信息安全技术 网络安全漏洞标识与描述规范》（GB∕T 28458-2020）、《信息安全技术 网络安全漏洞分类分级指南》（GB∕T 30279-2020）、《信息安全技术 网络安全等级保护测试评估技术指南》（GB∕T 36627-2018）等国家关于信息安全渗透测试的相关标准和规范要求，为信息系统提供渗透测试实施工作。</w:t>
            </w:r>
          </w:p>
          <w:p>
            <w:pPr>
              <w:pStyle w:val="null3"/>
            </w:pPr>
            <w:r>
              <w:rPr>
                <w:rFonts w:ascii="仿宋_GB2312" w:hAnsi="仿宋_GB2312" w:cs="仿宋_GB2312" w:eastAsia="仿宋_GB2312"/>
              </w:rPr>
              <w:t>（四）服务时间要求</w:t>
            </w:r>
          </w:p>
          <w:p>
            <w:pPr>
              <w:pStyle w:val="null3"/>
            </w:pPr>
            <w:r>
              <w:rPr>
                <w:rFonts w:ascii="仿宋_GB2312" w:hAnsi="仿宋_GB2312" w:cs="仿宋_GB2312" w:eastAsia="仿宋_GB2312"/>
              </w:rPr>
              <w:t>1、渗透测试和安全加固服务时间要求在合同签订日起一个月内完成。</w:t>
            </w:r>
          </w:p>
          <w:p>
            <w:pPr>
              <w:pStyle w:val="null3"/>
            </w:pPr>
            <w:r>
              <w:rPr>
                <w:rFonts w:ascii="仿宋_GB2312" w:hAnsi="仿宋_GB2312" w:cs="仿宋_GB2312" w:eastAsia="仿宋_GB2312"/>
              </w:rPr>
              <w:t>2、驻场网络安全服务中，安全巡检、应急演练和安全咨询服务有效期为一年，自合同签订日起算。</w:t>
            </w:r>
          </w:p>
          <w:p>
            <w:pPr>
              <w:pStyle w:val="null3"/>
            </w:pPr>
            <w:r>
              <w:rPr>
                <w:rFonts w:ascii="仿宋_GB2312" w:hAnsi="仿宋_GB2312" w:cs="仿宋_GB2312" w:eastAsia="仿宋_GB2312"/>
              </w:rPr>
              <w:t xml:space="preserve">    （五）技术文档</w:t>
            </w:r>
          </w:p>
          <w:p>
            <w:pPr>
              <w:pStyle w:val="null3"/>
            </w:pPr>
            <w:r>
              <w:rPr>
                <w:rFonts w:ascii="仿宋_GB2312" w:hAnsi="仿宋_GB2312" w:cs="仿宋_GB2312" w:eastAsia="仿宋_GB2312"/>
              </w:rPr>
              <w:t>本次项目中，供应商负责在项目实施过程中，将渗透测试报告、网络安全加固报告、网络安全巡检报告、验收报告等文档汇集成册进行交付。</w:t>
            </w:r>
          </w:p>
          <w:p>
            <w:pPr>
              <w:pStyle w:val="null3"/>
            </w:pPr>
            <w:r>
              <w:rPr>
                <w:rFonts w:ascii="仿宋_GB2312" w:hAnsi="仿宋_GB2312" w:cs="仿宋_GB2312" w:eastAsia="仿宋_GB2312"/>
              </w:rPr>
              <w:t>其中主要的技术文档具体要求详见下附表：</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编号</w:t>
                  </w:r>
                </w:p>
              </w:tc>
              <w:tc>
                <w:tcPr>
                  <w:tcW w:type="dxa" w:w="638"/>
                </w:tcPr>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文档描述</w:t>
                  </w:r>
                </w:p>
              </w:tc>
              <w:tc>
                <w:tcPr>
                  <w:tcW w:type="dxa" w:w="638"/>
                </w:tcPr>
                <w:p>
                  <w:pPr>
                    <w:pStyle w:val="null3"/>
                  </w:pPr>
                  <w:r>
                    <w:rPr>
                      <w:rFonts w:ascii="仿宋_GB2312" w:hAnsi="仿宋_GB2312" w:cs="仿宋_GB2312" w:eastAsia="仿宋_GB2312"/>
                    </w:rPr>
                    <w:t>提交时间</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渗透测试报告、网络安全加固报告、验收报告</w:t>
                  </w:r>
                </w:p>
              </w:tc>
              <w:tc>
                <w:tcPr>
                  <w:tcW w:type="dxa" w:w="638"/>
                </w:tcPr>
                <w:p>
                  <w:pPr>
                    <w:pStyle w:val="null3"/>
                  </w:pPr>
                  <w:r>
                    <w:rPr>
                      <w:rFonts w:ascii="仿宋_GB2312" w:hAnsi="仿宋_GB2312" w:cs="仿宋_GB2312" w:eastAsia="仿宋_GB2312"/>
                    </w:rPr>
                    <w:t>16个信息系统的渗透测试和网络安全加固报告以及渗透测试工作的验收报告。</w:t>
                  </w:r>
                </w:p>
              </w:tc>
              <w:tc>
                <w:tcPr>
                  <w:tcW w:type="dxa" w:w="638"/>
                </w:tcPr>
                <w:p>
                  <w:pPr>
                    <w:pStyle w:val="null3"/>
                  </w:pPr>
                  <w:r>
                    <w:rPr>
                      <w:rFonts w:ascii="仿宋_GB2312" w:hAnsi="仿宋_GB2312" w:cs="仿宋_GB2312" w:eastAsia="仿宋_GB2312"/>
                    </w:rPr>
                    <w:t>在合同签订后一个月内</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网络安全巡检报告</w:t>
                  </w:r>
                </w:p>
              </w:tc>
              <w:tc>
                <w:tcPr>
                  <w:tcW w:type="dxa" w:w="638"/>
                </w:tcPr>
                <w:p>
                  <w:pPr>
                    <w:pStyle w:val="null3"/>
                  </w:pPr>
                  <w:r>
                    <w:rPr>
                      <w:rFonts w:ascii="仿宋_GB2312" w:hAnsi="仿宋_GB2312" w:cs="仿宋_GB2312" w:eastAsia="仿宋_GB2312"/>
                    </w:rPr>
                    <w:t>每6个月（2个季度）最后1个星期，编写网络安全巡检报告，对系统整体网络运行状况进行性能评估，提供安全策略调整建议等并提交给甲方。</w:t>
                  </w:r>
                </w:p>
              </w:tc>
              <w:tc>
                <w:tcPr>
                  <w:tcW w:type="dxa" w:w="638"/>
                </w:tcPr>
                <w:p>
                  <w:pPr>
                    <w:pStyle w:val="null3"/>
                  </w:pPr>
                  <w:r>
                    <w:rPr>
                      <w:rFonts w:ascii="仿宋_GB2312" w:hAnsi="仿宋_GB2312" w:cs="仿宋_GB2312" w:eastAsia="仿宋_GB2312"/>
                    </w:rPr>
                    <w:t>运维期内，每两个季度最后1个星期</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渗透测试和安全加固服务时间要求在合同签订日起一个月内完成；驻场网络安全服务中，安全巡检、应急演练和安全咨询服务有效期为一年，自合同签订日起算。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满足磋商文件要求，且符合相关标准及规定。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进度款，渗透测试服务验收合格后，达到付款条件起10个工作日内，支付合同总金额的100.0%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详见合同条款，本合同在履行过程中发生的争议，由甲、乙双方当事人协商解决，协商不成的，向甲方所在地人民法院提起诉讼。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1、本项目所属行业为：软件和信息技术服务业。（按照《工信部 国家统计局 发改委 财政部 工信部联企业》中小企业划型标准（〔2011〕300号）规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参加本次政府采购活动前3年内在经营活动中没有重大违纪，以及未被列入失信被执行人、重大税收违法案件当事人名单、政府采购严重违法失信行为记录名单的书面声明；⑤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会计师事务所出具的有效的2024年度或2025年度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法定代表人直接参加磋商，须提供法定代表人身份证明及身份证复印件；授权代表参与磋商，须提供法定代表人授权书（附法定代表人、被授权人身份证复印件）及被授权人身份证复印件。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需求及重难点分析</w:t>
            </w:r>
          </w:p>
        </w:tc>
        <w:tc>
          <w:tcPr>
            <w:tcW w:type="dxa" w:w="2492"/>
          </w:tcPr>
          <w:p>
            <w:pPr>
              <w:pStyle w:val="null3"/>
            </w:pPr>
            <w:r>
              <w:rPr>
                <w:rFonts w:ascii="仿宋_GB2312" w:hAnsi="仿宋_GB2312" w:cs="仿宋_GB2312" w:eastAsia="仿宋_GB2312"/>
              </w:rPr>
              <w:t>供应商针对本项目采购需求提供：①需求理解；②项目关键性技术、重难点分析及应对措施；③合理化建议。 评审标准：方案各部分内容全面详细、阐述条理清晰详尽、符合本项目采购需求得9分，每缺一项内容扣3分，评审内容有缺陷的根据情况扣分，扣完为止。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系统渗透测试服务方案</w:t>
            </w:r>
          </w:p>
        </w:tc>
        <w:tc>
          <w:tcPr>
            <w:tcW w:type="dxa" w:w="2492"/>
          </w:tcPr>
          <w:p>
            <w:pPr>
              <w:pStyle w:val="null3"/>
            </w:pPr>
            <w:r>
              <w:rPr>
                <w:rFonts w:ascii="仿宋_GB2312" w:hAnsi="仿宋_GB2312" w:cs="仿宋_GB2312" w:eastAsia="仿宋_GB2312"/>
              </w:rPr>
              <w:t>供应商针对本项目采购需求提供系统渗透测试服务方案，包含但不限于①整体实施方案；②计划进度安排；③标准化服务流程；④系统渗透测试服务管理工具与手段；⑤验收方案。 评审标准：方案各部分内容全面详细、阐述条理清晰详尽、符合本项目采购需求得25分，每缺一项内容扣5分，评审内容有缺陷的根据情况扣分，扣完为止。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驻场服务方案</w:t>
            </w:r>
          </w:p>
        </w:tc>
        <w:tc>
          <w:tcPr>
            <w:tcW w:type="dxa" w:w="2492"/>
          </w:tcPr>
          <w:p>
            <w:pPr>
              <w:pStyle w:val="null3"/>
            </w:pPr>
            <w:r>
              <w:rPr>
                <w:rFonts w:ascii="仿宋_GB2312" w:hAnsi="仿宋_GB2312" w:cs="仿宋_GB2312" w:eastAsia="仿宋_GB2312"/>
              </w:rPr>
              <w:t>供应商针对本项目采购需求提供驻场服务方案，包含但不限于：①驻场服务方案；②驻场人员配置清单、学历及履历；③响应时效、服务周期；④替补机制等。 评审标准：方案各部分内容全面详细、阐述条理清晰详尽、符合本项目采购需求得16分，每缺一项内容扣4分，评审内容有缺陷的根据情况扣分，扣完为止。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管理制度及措施</w:t>
            </w:r>
          </w:p>
        </w:tc>
        <w:tc>
          <w:tcPr>
            <w:tcW w:type="dxa" w:w="2492"/>
          </w:tcPr>
          <w:p>
            <w:pPr>
              <w:pStyle w:val="null3"/>
            </w:pPr>
            <w:r>
              <w:rPr>
                <w:rFonts w:ascii="仿宋_GB2312" w:hAnsi="仿宋_GB2312" w:cs="仿宋_GB2312" w:eastAsia="仿宋_GB2312"/>
              </w:rPr>
              <w:t>供应商针对本项目提供具体的管理制度及措施，包含但不限于：①项目管理规章制度；②项目资料管理措施；③服务人员的稳定、服务的质量、成果安全性保障措施；④软硬件投入及监测措施等。 评审标准：制度及措施各部分内容全面详细、阐述条理清晰详尽、符合本项目采购需求得12分，每缺一项内容扣3分，评审内容有缺陷的根据情况扣分，扣完为止。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供应商针对本项目提供服务质量保证措施及方案，包括但不限于：①质量保证范围及措施；②服务水平定义保证措施；③本地化技术服务能力；④服务协调方案等。 评审标准：措施及方案各部分内容全面详细、阐述条理清晰详尽、符合本项目采购需求得8分，每缺一项内容扣2分，评审内容有缺陷的根据情况扣分，扣完为止。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供应商针对本项目提供保密方案，内容包含但不限于：①保密方案；②保密承诺等。 评审标准：方案各部分内容全面详细、阐述条理清晰详尽、符合本项目采购需求得4分，每缺一项内容扣2分，评审内容有缺陷的根据情况扣分，扣完为止。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人员组织措施</w:t>
            </w:r>
          </w:p>
        </w:tc>
        <w:tc>
          <w:tcPr>
            <w:tcW w:type="dxa" w:w="2492"/>
          </w:tcPr>
          <w:p>
            <w:pPr>
              <w:pStyle w:val="null3"/>
            </w:pPr>
            <w:r>
              <w:rPr>
                <w:rFonts w:ascii="仿宋_GB2312" w:hAnsi="仿宋_GB2312" w:cs="仿宋_GB2312" w:eastAsia="仿宋_GB2312"/>
              </w:rPr>
              <w:t>供应商针对本项目拟投入人员团队提供组织实施方案，包括但不限于：①项目组织架构；②岗位职责；③团队人员配置清单；④团队人员履历证明等。 评审标准：方案各部分内容全面详细、阐述条理清晰详尽、符合本项目采购需求得16分，每缺一项内容扣4分，评审内容有缺陷的根据情况扣分，扣完为止。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满足磋商文件要求且最后报价最低的供应商的价格为基准价，其价格分为满分。其他供应商的价格分统一按照下列公式计算： 报价得分=（基准价/投标报价）×价格权值×100 价格评审过程中，不得去掉报价中的最高报价和最低报价。 各供应商投标报价不得超过该项目预算，否则视为无效投标。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