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rPr>
          <w:rFonts w:hint="default" w:ascii="仿宋_GB2312" w:hAnsi="仿宋_GB2312" w:eastAsia="仿宋_GB2312" w:cs="仿宋_GB2312"/>
          <w:b/>
          <w:bCs/>
          <w:color w:val="0000FF"/>
        </w:rPr>
      </w:pPr>
      <w:r>
        <w:rPr>
          <w:rFonts w:hint="default" w:ascii="仿宋_GB2312" w:hAnsi="仿宋_GB2312" w:eastAsia="仿宋_GB2312" w:cs="仿宋_GB2312"/>
          <w:b/>
          <w:bCs/>
          <w:color w:val="0000FF"/>
        </w:rPr>
        <w:t>一、服务内容</w:t>
      </w:r>
    </w:p>
    <w:p>
      <w:pPr>
        <w:pStyle w:val="4"/>
        <w:rPr>
          <w:rFonts w:hint="default" w:ascii="仿宋_GB2312" w:hAnsi="仿宋_GB2312" w:eastAsia="仿宋_GB2312" w:cs="仿宋_GB2312"/>
          <w:color w:val="0000FF"/>
        </w:rPr>
      </w:pPr>
      <w:r>
        <w:rPr>
          <w:rFonts w:hint="default" w:ascii="仿宋_GB2312" w:hAnsi="仿宋_GB2312" w:eastAsia="仿宋_GB2312" w:cs="仿宋_GB2312"/>
          <w:color w:val="0000FF"/>
        </w:rPr>
        <w:t>针对</w:t>
      </w:r>
      <w:bookmarkStart w:id="0" w:name="OLE_LINK1"/>
      <w:r>
        <w:rPr>
          <w:rFonts w:hint="default" w:ascii="仿宋_GB2312" w:hAnsi="仿宋_GB2312" w:eastAsia="仿宋_GB2312" w:cs="仿宋_GB2312"/>
          <w:color w:val="0000FF"/>
        </w:rPr>
        <w:t>西安市公安局高新技术产业开发区分局</w:t>
      </w:r>
      <w:bookmarkEnd w:id="0"/>
      <w:r>
        <w:rPr>
          <w:rFonts w:hint="default" w:ascii="仿宋_GB2312" w:hAnsi="仿宋_GB2312" w:eastAsia="仿宋_GB2312" w:cs="仿宋_GB2312"/>
          <w:color w:val="0000FF"/>
        </w:rPr>
        <w:t>涉案单位（或个人）在涉案期间的财务资料及相关经济活动进行司法鉴定审计，发现、固定、提取与案件相关的财务证据，出具《司法鉴定审计意见书》，为案件侦查、起诉、审批提供依据。</w:t>
      </w:r>
    </w:p>
    <w:p>
      <w:pPr>
        <w:pStyle w:val="4"/>
        <w:rPr>
          <w:rFonts w:hint="default" w:ascii="仿宋_GB2312" w:hAnsi="仿宋_GB2312" w:eastAsia="仿宋_GB2312" w:cs="仿宋_GB2312"/>
          <w:b/>
          <w:bCs/>
          <w:color w:val="0000FF"/>
        </w:rPr>
      </w:pPr>
      <w:r>
        <w:rPr>
          <w:rFonts w:hint="default" w:ascii="仿宋_GB2312" w:hAnsi="仿宋_GB2312" w:eastAsia="仿宋_GB2312" w:cs="仿宋_GB2312"/>
          <w:b/>
          <w:bCs/>
          <w:color w:val="0000FF"/>
        </w:rPr>
        <w:t>二、服务范围</w:t>
      </w:r>
    </w:p>
    <w:p>
      <w:pPr>
        <w:pStyle w:val="4"/>
        <w:rPr>
          <w:rFonts w:hint="default" w:ascii="仿宋_GB2312" w:hAnsi="仿宋_GB2312" w:eastAsia="仿宋_GB2312" w:cs="仿宋_GB2312"/>
          <w:color w:val="0000FF"/>
        </w:rPr>
      </w:pPr>
      <w:r>
        <w:rPr>
          <w:rFonts w:hint="default" w:ascii="仿宋_GB2312" w:hAnsi="仿宋_GB2312" w:eastAsia="仿宋_GB2312" w:cs="仿宋_GB2312"/>
          <w:color w:val="0000FF"/>
        </w:rPr>
        <w:t>1、涉案资金流向情况、涉案资金数额认定情况；</w:t>
      </w:r>
    </w:p>
    <w:p>
      <w:pPr>
        <w:pStyle w:val="4"/>
        <w:rPr>
          <w:rFonts w:hint="default" w:ascii="仿宋_GB2312" w:hAnsi="仿宋_GB2312" w:eastAsia="仿宋_GB2312" w:cs="仿宋_GB2312"/>
          <w:color w:val="0000FF"/>
        </w:rPr>
      </w:pPr>
      <w:r>
        <w:rPr>
          <w:rFonts w:hint="default" w:ascii="仿宋_GB2312" w:hAnsi="仿宋_GB2312" w:eastAsia="仿宋_GB2312" w:cs="仿宋_GB2312"/>
          <w:color w:val="0000FF"/>
        </w:rPr>
        <w:t>2、涉案资产形成、转移、隐匿、减值或灭失情况；</w:t>
      </w:r>
    </w:p>
    <w:p>
      <w:pPr>
        <w:pStyle w:val="4"/>
        <w:rPr>
          <w:rFonts w:hint="default" w:ascii="仿宋_GB2312" w:hAnsi="仿宋_GB2312" w:eastAsia="仿宋_GB2312" w:cs="仿宋_GB2312"/>
          <w:color w:val="0000FF"/>
        </w:rPr>
      </w:pPr>
      <w:r>
        <w:rPr>
          <w:rFonts w:hint="default" w:ascii="仿宋_GB2312" w:hAnsi="仿宋_GB2312" w:eastAsia="仿宋_GB2312" w:cs="仿宋_GB2312"/>
          <w:color w:val="0000FF"/>
        </w:rPr>
        <w:t>3、重大合同、虚假开票、资金回流、商业贿赂等舞弊行为；</w:t>
      </w:r>
    </w:p>
    <w:p>
      <w:pPr>
        <w:pStyle w:val="4"/>
        <w:rPr>
          <w:rFonts w:hint="default" w:ascii="仿宋_GB2312" w:hAnsi="仿宋_GB2312" w:eastAsia="仿宋_GB2312" w:cs="仿宋_GB2312"/>
          <w:color w:val="0000FF"/>
        </w:rPr>
      </w:pPr>
      <w:r>
        <w:rPr>
          <w:rFonts w:hint="default" w:ascii="仿宋_GB2312" w:hAnsi="仿宋_GB2312" w:eastAsia="仿宋_GB2312" w:cs="仿宋_GB2312"/>
          <w:color w:val="0000FF"/>
        </w:rPr>
        <w:t>4、可能存在的账外账、小金库、关联方资金占用；</w:t>
      </w:r>
    </w:p>
    <w:p>
      <w:pPr>
        <w:pStyle w:val="4"/>
        <w:rPr>
          <w:rFonts w:hint="default" w:ascii="仿宋_GB2312" w:hAnsi="仿宋_GB2312" w:eastAsia="仿宋_GB2312" w:cs="仿宋_GB2312"/>
          <w:color w:val="0000FF"/>
        </w:rPr>
      </w:pPr>
      <w:r>
        <w:rPr>
          <w:rFonts w:hint="default" w:ascii="仿宋_GB2312" w:hAnsi="仿宋_GB2312" w:eastAsia="仿宋_GB2312" w:cs="仿宋_GB2312"/>
          <w:color w:val="0000FF"/>
        </w:rPr>
        <w:t>5、电子账务数据与纸质凭证一致性及篡改痕迹。</w:t>
      </w:r>
    </w:p>
    <w:p>
      <w:pPr>
        <w:pStyle w:val="4"/>
        <w:rPr>
          <w:rFonts w:hint="default" w:ascii="仿宋_GB2312" w:hAnsi="仿宋_GB2312" w:eastAsia="仿宋_GB2312" w:cs="仿宋_GB2312"/>
          <w:b/>
          <w:bCs/>
          <w:color w:val="0000FF"/>
        </w:rPr>
      </w:pPr>
      <w:r>
        <w:rPr>
          <w:rFonts w:hint="default" w:ascii="仿宋_GB2312" w:hAnsi="仿宋_GB2312" w:eastAsia="仿宋_GB2312" w:cs="仿宋_GB2312"/>
          <w:b/>
          <w:bCs/>
          <w:color w:val="0000FF"/>
        </w:rPr>
        <w:t>三、服务成果</w:t>
      </w:r>
    </w:p>
    <w:p>
      <w:pPr>
        <w:pStyle w:val="4"/>
        <w:rPr>
          <w:rFonts w:hint="default" w:ascii="仿宋_GB2312" w:hAnsi="仿宋_GB2312" w:eastAsia="仿宋_GB2312" w:cs="仿宋_GB2312"/>
          <w:color w:val="0000FF"/>
        </w:rPr>
      </w:pPr>
      <w:r>
        <w:rPr>
          <w:rFonts w:hint="default" w:ascii="仿宋_GB2312" w:hAnsi="仿宋_GB2312" w:eastAsia="仿宋_GB2312" w:cs="仿宋_GB2312"/>
          <w:color w:val="0000FF"/>
        </w:rPr>
        <w:t>根据西安市公安局高新技术产业开发区分局提供涉案相关资料，依据《中国注册会计师审计准则》、《司法鉴定程序通则》以及《最高人民检察院公安部关于公安机关办理经济犯罪案件的若干规定》等相关规定，执行司法鉴定程序，出具司法鉴定意见书，同时在提请检察院、法院审理中，两院提出需要补充鉴定事项时，鉴定机构应全力配合完成补充鉴定，并最终通过检察院、法院审核。</w:t>
      </w:r>
    </w:p>
    <w:p>
      <w:pPr>
        <w:pStyle w:val="4"/>
        <w:rPr>
          <w:rFonts w:hint="default" w:ascii="仿宋_GB2312" w:hAnsi="仿宋_GB2312" w:eastAsia="仿宋_GB2312" w:cs="仿宋_GB2312"/>
          <w:color w:val="0000FF"/>
        </w:rPr>
      </w:pPr>
      <w:r>
        <w:rPr>
          <w:rFonts w:hint="default" w:ascii="仿宋_GB2312" w:hAnsi="仿宋_GB2312" w:eastAsia="仿宋_GB2312" w:cs="仿宋_GB2312"/>
          <w:color w:val="0000FF"/>
        </w:rPr>
        <w:t>上述补充鉴定事项具体指以下几方面内容：</w:t>
      </w:r>
    </w:p>
    <w:p>
      <w:pPr>
        <w:pStyle w:val="4"/>
        <w:rPr>
          <w:rFonts w:hint="default" w:ascii="仿宋_GB2312" w:hAnsi="仿宋_GB2312" w:eastAsia="仿宋_GB2312" w:cs="仿宋_GB2312"/>
          <w:color w:val="0000FF"/>
        </w:rPr>
      </w:pPr>
      <w:r>
        <w:rPr>
          <w:rFonts w:hint="default" w:ascii="仿宋_GB2312" w:hAnsi="仿宋_GB2312" w:eastAsia="仿宋_GB2312" w:cs="仿宋_GB2312"/>
          <w:color w:val="0000FF"/>
        </w:rPr>
        <w:t>1、案件新增报案人；</w:t>
      </w:r>
    </w:p>
    <w:p>
      <w:pPr>
        <w:pStyle w:val="4"/>
        <w:rPr>
          <w:rFonts w:hint="default" w:ascii="仿宋_GB2312" w:hAnsi="仿宋_GB2312" w:eastAsia="仿宋_GB2312" w:cs="仿宋_GB2312"/>
          <w:color w:val="0000FF"/>
        </w:rPr>
      </w:pPr>
      <w:r>
        <w:rPr>
          <w:rFonts w:hint="default" w:ascii="仿宋_GB2312" w:hAnsi="仿宋_GB2312" w:eastAsia="仿宋_GB2312" w:cs="仿宋_GB2312"/>
          <w:color w:val="0000FF"/>
        </w:rPr>
        <w:t>2、案件新增嫌疑人；</w:t>
      </w:r>
    </w:p>
    <w:p>
      <w:pPr>
        <w:pStyle w:val="4"/>
        <w:rPr>
          <w:rFonts w:hint="default" w:ascii="仿宋_GB2312" w:hAnsi="仿宋_GB2312" w:eastAsia="仿宋_GB2312" w:cs="仿宋_GB2312"/>
          <w:color w:val="0000FF"/>
        </w:rPr>
      </w:pPr>
      <w:r>
        <w:rPr>
          <w:rFonts w:hint="default" w:ascii="仿宋_GB2312" w:hAnsi="仿宋_GB2312" w:eastAsia="仿宋_GB2312" w:cs="仿宋_GB2312"/>
          <w:color w:val="0000FF"/>
        </w:rPr>
        <w:t>3、法院在案件审理中要求重新鉴定（如辩护律师提出嫌疑人涉案金额不准确需要重新计算）；</w:t>
      </w:r>
    </w:p>
    <w:p>
      <w:pPr>
        <w:pStyle w:val="4"/>
        <w:rPr>
          <w:rFonts w:hint="default" w:ascii="仿宋_GB2312" w:hAnsi="仿宋_GB2312" w:eastAsia="仿宋_GB2312" w:cs="仿宋_GB2312"/>
          <w:color w:val="0000FF"/>
        </w:rPr>
      </w:pPr>
      <w:r>
        <w:rPr>
          <w:rFonts w:hint="default" w:ascii="仿宋_GB2312" w:hAnsi="仿宋_GB2312" w:eastAsia="仿宋_GB2312" w:cs="仿宋_GB2312"/>
          <w:color w:val="0000FF"/>
        </w:rPr>
        <w:t>4、报案人对审计鉴定结论有异议，提出新的审计证据或要求；</w:t>
      </w:r>
    </w:p>
    <w:p>
      <w:pPr>
        <w:pStyle w:val="4"/>
        <w:rPr>
          <w:rFonts w:hint="default" w:ascii="仿宋_GB2312" w:hAnsi="仿宋_GB2312" w:eastAsia="仿宋_GB2312" w:cs="仿宋_GB2312"/>
          <w:color w:val="0000FF"/>
        </w:rPr>
      </w:pPr>
      <w:r>
        <w:rPr>
          <w:rFonts w:hint="default" w:ascii="仿宋_GB2312" w:hAnsi="仿宋_GB2312" w:eastAsia="仿宋_GB2312" w:cs="仿宋_GB2312"/>
          <w:color w:val="0000FF"/>
        </w:rPr>
        <w:t>5、合并起诉案件（外单位与我局相互移交案件，涉案金额发生变化需要补充鉴定）；</w:t>
      </w:r>
    </w:p>
    <w:p>
      <w:pPr>
        <w:pStyle w:val="4"/>
        <w:rPr>
          <w:rFonts w:hint="default" w:ascii="仿宋_GB2312" w:hAnsi="仿宋_GB2312" w:eastAsia="仿宋_GB2312" w:cs="仿宋_GB2312"/>
          <w:color w:val="0000FF"/>
        </w:rPr>
      </w:pPr>
      <w:r>
        <w:rPr>
          <w:rFonts w:hint="default" w:ascii="仿宋_GB2312" w:hAnsi="仿宋_GB2312" w:eastAsia="仿宋_GB2312" w:cs="仿宋_GB2312"/>
          <w:color w:val="0000FF"/>
        </w:rPr>
        <w:t>6、其他情况需要补充鉴定。</w:t>
      </w:r>
    </w:p>
    <w:p>
      <w:pPr>
        <w:pStyle w:val="4"/>
        <w:rPr>
          <w:rFonts w:hint="default" w:ascii="仿宋_GB2312" w:hAnsi="仿宋_GB2312" w:eastAsia="仿宋_GB2312" w:cs="仿宋_GB2312"/>
          <w:b/>
          <w:bCs/>
          <w:color w:val="0000FF"/>
        </w:rPr>
      </w:pPr>
      <w:r>
        <w:rPr>
          <w:rFonts w:hint="default" w:ascii="仿宋_GB2312" w:hAnsi="仿宋_GB2312" w:eastAsia="仿宋_GB2312" w:cs="仿宋_GB2312"/>
          <w:b/>
          <w:bCs/>
          <w:color w:val="0000FF"/>
        </w:rPr>
        <w:t>四、服务期限</w:t>
      </w:r>
    </w:p>
    <w:p>
      <w:pPr>
        <w:pStyle w:val="4"/>
        <w:rPr>
          <w:rFonts w:hint="default" w:ascii="仿宋_GB2312" w:hAnsi="仿宋_GB2312" w:eastAsia="仿宋_GB2312" w:cs="仿宋_GB2312"/>
          <w:color w:val="0000FF"/>
        </w:rPr>
      </w:pPr>
      <w:r>
        <w:rPr>
          <w:rFonts w:ascii="仿宋_GB2312" w:hAnsi="仿宋_GB2312" w:eastAsia="仿宋_GB2312" w:cs="仿宋_GB2312"/>
          <w:color w:val="0000FF"/>
        </w:rPr>
        <w:t>服务期限：</w:t>
      </w:r>
      <w:r>
        <w:rPr>
          <w:rFonts w:hint="default" w:ascii="仿宋_GB2312" w:hAnsi="仿宋_GB2312" w:eastAsia="仿宋_GB2312" w:cs="仿宋_GB2312"/>
          <w:color w:val="0000FF"/>
        </w:rPr>
        <w:t>自合同签订之日起</w:t>
      </w:r>
      <w:r>
        <w:rPr>
          <w:rFonts w:ascii="仿宋_GB2312" w:hAnsi="仿宋_GB2312" w:eastAsia="仿宋_GB2312" w:cs="仿宋_GB2312"/>
          <w:color w:val="0000FF"/>
        </w:rPr>
        <w:t>三</w:t>
      </w:r>
      <w:r>
        <w:rPr>
          <w:rFonts w:hint="default" w:ascii="仿宋_GB2312" w:hAnsi="仿宋_GB2312" w:eastAsia="仿宋_GB2312" w:cs="仿宋_GB2312"/>
          <w:color w:val="0000FF"/>
        </w:rPr>
        <w:t>年，合同一年一签</w:t>
      </w:r>
      <w:r>
        <w:rPr>
          <w:rFonts w:ascii="仿宋_GB2312" w:hAnsi="仿宋_GB2312" w:eastAsia="仿宋_GB2312" w:cs="仿宋_GB2312"/>
          <w:color w:val="0000FF"/>
        </w:rPr>
        <w:t>。</w:t>
      </w:r>
    </w:p>
    <w:p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9BF54B5"/>
    <w:rsid w:val="6B323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2026-09-10T07:22:00Z</dcterms:created>
  <dc:creator>Administrator</dc:creator>
  <cp:lastModifiedBy>Administrator</cp:lastModifiedBy>
  <dcterms:modified xsi:type="dcterms:W3CDTF">2026-09-10T08:06:10Z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