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版本号：慧科ZX-CG01076BF20260607001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第十七届艺术节、第四届中华传统文化进校园暨商贸文化街系列活动项目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慧科ZX-CG01076BF</w:t>
      </w:r>
      <w:r>
        <w:br/>
      </w:r>
      <w:r>
        <w:br/>
      </w:r>
      <w:r>
        <w:br/>
      </w:r>
    </w:p>
    <w:p>
      <w:pPr>
        <w:pStyle w:val="null3"/>
        <w:jc w:val="center"/>
        <w:outlineLvl w:val="2"/>
      </w:pPr>
      <w:r>
        <w:rPr>
          <w:rFonts w:ascii="仿宋_GB2312" w:hAnsi="仿宋_GB2312" w:cs="仿宋_GB2312" w:eastAsia="仿宋_GB2312"/>
          <w:sz w:val="28"/>
          <w:b/>
        </w:rPr>
        <w:t>西安商贸旅游技师学院</w:t>
      </w:r>
    </w:p>
    <w:p>
      <w:pPr>
        <w:pStyle w:val="null3"/>
        <w:jc w:val="center"/>
        <w:outlineLvl w:val="2"/>
      </w:pPr>
      <w:r>
        <w:rPr>
          <w:rFonts w:ascii="仿宋_GB2312" w:hAnsi="仿宋_GB2312" w:cs="仿宋_GB2312" w:eastAsia="仿宋_GB2312"/>
          <w:sz w:val="28"/>
          <w:b/>
        </w:rPr>
        <w:t>陕西慧科工程管理咨询有限公司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陕西慧科工程管理咨询有限公司</w:t>
      </w:r>
      <w:r>
        <w:rPr>
          <w:rFonts w:ascii="仿宋_GB2312" w:hAnsi="仿宋_GB2312" w:cs="仿宋_GB2312" w:eastAsia="仿宋_GB2312"/>
        </w:rPr>
        <w:t>（以下简称“代理机构”）受</w:t>
      </w:r>
      <w:r>
        <w:rPr>
          <w:rFonts w:ascii="仿宋_GB2312" w:hAnsi="仿宋_GB2312" w:cs="仿宋_GB2312" w:eastAsia="仿宋_GB2312"/>
        </w:rPr>
        <w:t>西安商贸旅游技师学院</w:t>
      </w:r>
      <w:r>
        <w:rPr>
          <w:rFonts w:ascii="仿宋_GB2312" w:hAnsi="仿宋_GB2312" w:cs="仿宋_GB2312" w:eastAsia="仿宋_GB2312"/>
        </w:rPr>
        <w:t>委托，拟对</w:t>
      </w:r>
      <w:r>
        <w:rPr>
          <w:rFonts w:ascii="仿宋_GB2312" w:hAnsi="仿宋_GB2312" w:cs="仿宋_GB2312" w:eastAsia="仿宋_GB2312"/>
        </w:rPr>
        <w:t>第十七届艺术节、第四届中华传统文化进校园暨商贸文化街系列活动项目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慧科ZX-CG01076BF</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第十七届艺术节、第四届中华传统文化进校园暨商贸文化街系列活动项目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第十七届艺术节、第四届中华传统文化进校园暨商贸文化街系列活动</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采购包1（第十七届艺术节、第四届中华传统文化进校园暨商贸文化街系列活动项目）：属于专门面向中小企业采购。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1、营业执照等主体资格证明文件：提供有效合格的具有统一社会信用代码的营业执照，其他组织经营的须提供合法凭证，自然人提供身份证明文件</w:t>
      </w:r>
    </w:p>
    <w:p>
      <w:pPr>
        <w:pStyle w:val="null3"/>
      </w:pPr>
      <w:r>
        <w:rPr>
          <w:rFonts w:ascii="仿宋_GB2312" w:hAnsi="仿宋_GB2312" w:cs="仿宋_GB2312" w:eastAsia="仿宋_GB2312"/>
        </w:rPr>
        <w:t>2、财务状况报告：提供2024年度或2025年度经审计的完整财务报告或磋商日期前三个月内其基本存款账户开户银行出具的资信证明。（如提供资信证明，须同时提供基本存款账户开户许可证或基本账户信息表）</w:t>
      </w:r>
    </w:p>
    <w:p>
      <w:pPr>
        <w:pStyle w:val="null3"/>
      </w:pPr>
      <w:r>
        <w:rPr>
          <w:rFonts w:ascii="仿宋_GB2312" w:hAnsi="仿宋_GB2312" w:cs="仿宋_GB2312" w:eastAsia="仿宋_GB2312"/>
        </w:rPr>
        <w:t>3、税收缴纳证明：提供2025年11月至今已缴纳的至少一个月的税收缴纳证明（时间以税款所属日期为准)，依法免税的单位应提供相关证明材料</w:t>
      </w:r>
    </w:p>
    <w:p>
      <w:pPr>
        <w:pStyle w:val="null3"/>
      </w:pPr>
      <w:r>
        <w:rPr>
          <w:rFonts w:ascii="仿宋_GB2312" w:hAnsi="仿宋_GB2312" w:cs="仿宋_GB2312" w:eastAsia="仿宋_GB2312"/>
        </w:rPr>
        <w:t>4、社会保障资金缴纳证明：提供2025年11月至今已缴存的至少一个月的社会保障资金缴存单据或社保机构开具的社会保险参保缴费情况证明，依法不需要缴纳社会保障资金的单位应提供相关证明材料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5、具有履行本合同所必需的设备和专业技术能力：提供具有履行本合同所必需的设备和专业技术能力的书面声明</w:t>
      </w:r>
    </w:p>
    <w:p>
      <w:pPr>
        <w:pStyle w:val="null3"/>
      </w:pPr>
      <w:r>
        <w:rPr>
          <w:rFonts w:ascii="仿宋_GB2312" w:hAnsi="仿宋_GB2312" w:cs="仿宋_GB2312" w:eastAsia="仿宋_GB2312"/>
        </w:rPr>
        <w:t>6、参加本次政府采购活动前三年内在经营活动中没有重大违法记录：参加本次政府采购活动前三年内在经营活动中没有重大违法记录</w:t>
      </w:r>
    </w:p>
    <w:p>
      <w:pPr>
        <w:pStyle w:val="null3"/>
      </w:pPr>
      <w:r>
        <w:rPr>
          <w:rFonts w:ascii="仿宋_GB2312" w:hAnsi="仿宋_GB2312" w:cs="仿宋_GB2312" w:eastAsia="仿宋_GB2312"/>
        </w:rPr>
        <w:t>7、信用记录：未被列入信用中国网站(www.creditchina.gov.cn)“失信被执行人、重大税收违法失信主体”；不处于中国政府采购网(www.ccgp.gov.cn)“政府采购严重违法失信行为信息记录”中的禁止参加政府采购活动期间</w:t>
      </w:r>
    </w:p>
    <w:p>
      <w:pPr>
        <w:pStyle w:val="null3"/>
      </w:pPr>
      <w:r>
        <w:rPr>
          <w:rFonts w:ascii="仿宋_GB2312" w:hAnsi="仿宋_GB2312" w:cs="仿宋_GB2312" w:eastAsia="仿宋_GB2312"/>
        </w:rPr>
        <w:t>8、授权委托书：法定代表人授权委托书、被授权人身份证(法定代表人参加磋商时,只需提供法定代表人身份证；被授权人参加磋商时，需提供磋商响应截止时间前三个月至少一个月的基本养老保险参保缴费证明）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西安商贸旅游技师学院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西安市南关正街99号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余老师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029-61819113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陕西慧科工程管理咨询有限公司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陕西省西安市雁塔区曲江文创中心双子座7号楼1702室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丁工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17782975313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代理服务费收费标准：以成交金额为基数，参照《招标代理服务收费管理暂行办法》（计价格[2002]1980号）和《关于招标代理服务收费有关问题的通知》（发改办价格[2003]857号）的有关规定下浮20%执行。 成交单位在领取成交通知书前，须向采购代理机构一次性支付代理服务费。 招标代理服务费缴纳账户： 开户名称：陕西慧科工程管理咨询有限公司 开户银行：交通银行股份有限公司西安光华路支行 银行账号：6113 0113 5013 0018 4142 8</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西安商贸旅游技师学院</w:t>
      </w:r>
      <w:r>
        <w:rPr>
          <w:rFonts w:ascii="仿宋_GB2312" w:hAnsi="仿宋_GB2312" w:cs="仿宋_GB2312" w:eastAsia="仿宋_GB2312"/>
        </w:rPr>
        <w:t>和</w:t>
      </w:r>
      <w:r>
        <w:rPr>
          <w:rFonts w:ascii="仿宋_GB2312" w:hAnsi="仿宋_GB2312" w:cs="仿宋_GB2312" w:eastAsia="仿宋_GB2312"/>
        </w:rPr>
        <w:t>陕西慧科工程管理咨询有限公司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西安商贸旅游技师学院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陕西慧科工程管理咨询有限公司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西安商贸旅游技师学院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陕西慧科工程管理咨询有限公司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陕西慧科工程管理咨询有限公司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陕西慧科工程管理咨询有限公司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陕西慧科工程管理咨询有限公司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联系人：丁工</w:t>
      </w:r>
    </w:p>
    <w:p>
      <w:pPr>
        <w:pStyle w:val="null3"/>
      </w:pPr>
      <w:r>
        <w:rPr>
          <w:rFonts w:ascii="仿宋_GB2312" w:hAnsi="仿宋_GB2312" w:cs="仿宋_GB2312" w:eastAsia="仿宋_GB2312"/>
        </w:rPr>
        <w:t>联系电话：17782975313</w:t>
      </w:r>
    </w:p>
    <w:p>
      <w:pPr>
        <w:pStyle w:val="null3"/>
      </w:pPr>
      <w:r>
        <w:rPr>
          <w:rFonts w:ascii="仿宋_GB2312" w:hAnsi="仿宋_GB2312" w:cs="仿宋_GB2312" w:eastAsia="仿宋_GB2312"/>
        </w:rPr>
        <w:t>地址：陕西省西安市雁塔区曲江文创中心双子座7号楼1702室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第十七届艺术节、第四届中华传统文化进校园暨商贸文化街系列活动</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450,000.00</w:t>
      </w:r>
    </w:p>
    <w:p>
      <w:pPr>
        <w:pStyle w:val="null3"/>
      </w:pPr>
      <w:r>
        <w:rPr>
          <w:rFonts w:ascii="仿宋_GB2312" w:hAnsi="仿宋_GB2312" w:cs="仿宋_GB2312" w:eastAsia="仿宋_GB2312"/>
        </w:rPr>
        <w:t>采购包最高限价（元）: 450,000.00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活动策划舞台搭建及场地布置等系列服务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标的名称：活动策划舞台搭建及场地布置等系列服务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b/>
              </w:rPr>
              <w:t>中华优秀传统文化进校园</w:t>
            </w:r>
          </w:p>
          <w:p>
            <w:pPr>
              <w:pStyle w:val="null3"/>
              <w:jc w:val="left"/>
            </w:pPr>
            <w:r>
              <w:rPr>
                <w:rFonts w:ascii="仿宋_GB2312" w:hAnsi="仿宋_GB2312" w:cs="仿宋_GB2312" w:eastAsia="仿宋_GB2312"/>
              </w:rPr>
              <w:t>时间：2026年6月下旬至</w:t>
            </w:r>
            <w:r>
              <w:rPr>
                <w:rFonts w:ascii="仿宋_GB2312" w:hAnsi="仿宋_GB2312" w:cs="仿宋_GB2312" w:eastAsia="仿宋_GB2312"/>
              </w:rPr>
              <w:t>10</w:t>
            </w:r>
            <w:r>
              <w:rPr>
                <w:rFonts w:ascii="仿宋_GB2312" w:hAnsi="仿宋_GB2312" w:cs="仿宋_GB2312" w:eastAsia="仿宋_GB2312"/>
              </w:rPr>
              <w:t>月上旬</w:t>
            </w:r>
          </w:p>
          <w:p>
            <w:pPr>
              <w:pStyle w:val="null3"/>
              <w:jc w:val="left"/>
            </w:pPr>
            <w:r>
              <w:rPr>
                <w:rFonts w:ascii="仿宋_GB2312" w:hAnsi="仿宋_GB2312" w:cs="仿宋_GB2312" w:eastAsia="仿宋_GB2312"/>
                <w:b/>
              </w:rPr>
              <w:t>一、大门口传统文化进校园门楼</w:t>
            </w:r>
          </w:p>
          <w:p>
            <w:pPr>
              <w:pStyle w:val="null3"/>
              <w:ind w:firstLine="400"/>
              <w:jc w:val="both"/>
            </w:pPr>
            <w:r>
              <w:rPr>
                <w:rFonts w:ascii="仿宋_GB2312" w:hAnsi="仿宋_GB2312" w:cs="仿宋_GB2312" w:eastAsia="仿宋_GB2312"/>
              </w:rPr>
              <w:t>总尺寸18.5米，中间门楼外径5.8米，两侧小门楼外径5.4米，框架桁架搭建，粘高清喷绘布，门楼及立体部分10毫米PVC雕刻UV,增加立体造型，传统文化进校园等主题采用发光字。</w:t>
            </w:r>
          </w:p>
          <w:p>
            <w:pPr>
              <w:pStyle w:val="null3"/>
              <w:jc w:val="left"/>
            </w:pPr>
            <w:r>
              <w:rPr>
                <w:rFonts w:ascii="仿宋_GB2312" w:hAnsi="仿宋_GB2312" w:cs="仿宋_GB2312" w:eastAsia="仿宋_GB2312"/>
                <w:b/>
              </w:rPr>
              <w:t>二、门口旁边门陈</w:t>
            </w:r>
          </w:p>
          <w:p>
            <w:pPr>
              <w:pStyle w:val="null3"/>
              <w:ind w:firstLine="400"/>
              <w:jc w:val="both"/>
            </w:pPr>
            <w:r>
              <w:rPr>
                <w:rFonts w:ascii="仿宋_GB2312" w:hAnsi="仿宋_GB2312" w:cs="仿宋_GB2312" w:eastAsia="仿宋_GB2312"/>
              </w:rPr>
              <w:t>总尺寸3.5米×2.4米，桁架搭建，kt板包柱，画面采用10毫米PVC雕刻加uv，搭建立体造型。</w:t>
            </w:r>
          </w:p>
          <w:p>
            <w:pPr>
              <w:pStyle w:val="null3"/>
              <w:jc w:val="left"/>
            </w:pPr>
            <w:r>
              <w:rPr>
                <w:rFonts w:ascii="仿宋_GB2312" w:hAnsi="仿宋_GB2312" w:cs="仿宋_GB2312" w:eastAsia="仿宋_GB2312"/>
                <w:b/>
              </w:rPr>
              <w:t>三、草坪处</w:t>
            </w:r>
          </w:p>
          <w:p>
            <w:pPr>
              <w:pStyle w:val="null3"/>
              <w:ind w:firstLine="400"/>
              <w:jc w:val="both"/>
            </w:pPr>
            <w:r>
              <w:rPr>
                <w:rFonts w:ascii="仿宋_GB2312" w:hAnsi="仿宋_GB2312" w:cs="仿宋_GB2312" w:eastAsia="仿宋_GB2312"/>
              </w:rPr>
              <w:t>草坪处以露营为主题打造天幕、野餐垫、低桌、露营椅、串灯，结合现场实际情况，预估4组，每组尺寸约为3米×3米，加露营桌椅（一桌四椅）。</w:t>
            </w:r>
          </w:p>
          <w:p>
            <w:pPr>
              <w:pStyle w:val="null3"/>
              <w:ind w:firstLine="400"/>
              <w:jc w:val="both"/>
            </w:pPr>
            <w:r>
              <w:rPr>
                <w:rFonts w:ascii="仿宋_GB2312" w:hAnsi="仿宋_GB2312" w:cs="仿宋_GB2312" w:eastAsia="仿宋_GB2312"/>
              </w:rPr>
              <w:t>打卡美陈两套，2.4米×3米，桁架搭建加高清展板，加灯光装饰。</w:t>
            </w:r>
          </w:p>
          <w:p>
            <w:pPr>
              <w:pStyle w:val="null3"/>
              <w:jc w:val="left"/>
            </w:pPr>
            <w:r>
              <w:rPr>
                <w:rFonts w:ascii="仿宋_GB2312" w:hAnsi="仿宋_GB2312" w:cs="仿宋_GB2312" w:eastAsia="仿宋_GB2312"/>
                <w:b/>
              </w:rPr>
              <w:t>四、两侧摊位</w:t>
            </w:r>
          </w:p>
          <w:p>
            <w:pPr>
              <w:pStyle w:val="null3"/>
              <w:ind w:firstLine="400"/>
              <w:jc w:val="both"/>
            </w:pPr>
            <w:r>
              <w:rPr>
                <w:rFonts w:ascii="仿宋_GB2312" w:hAnsi="仿宋_GB2312" w:cs="仿宋_GB2312" w:eastAsia="仿宋_GB2312"/>
              </w:rPr>
              <w:t>定制铁艺地摊，尺寸宽2米高2米，画面定制，正面面板PVC加高清写真，预计18套，大楼两侧每侧9套，每组中间预留操作空间。</w:t>
            </w:r>
          </w:p>
          <w:p>
            <w:pPr>
              <w:pStyle w:val="null3"/>
              <w:jc w:val="left"/>
            </w:pPr>
            <w:r>
              <w:rPr>
                <w:rFonts w:ascii="仿宋_GB2312" w:hAnsi="仿宋_GB2312" w:cs="仿宋_GB2312" w:eastAsia="仿宋_GB2312"/>
                <w:b/>
              </w:rPr>
              <w:t>五、顶部亮化</w:t>
            </w:r>
          </w:p>
          <w:p>
            <w:pPr>
              <w:pStyle w:val="null3"/>
              <w:ind w:firstLine="400"/>
              <w:jc w:val="both"/>
            </w:pPr>
            <w:r>
              <w:rPr>
                <w:rFonts w:ascii="仿宋_GB2312" w:hAnsi="仿宋_GB2312" w:cs="仿宋_GB2312" w:eastAsia="仿宋_GB2312"/>
              </w:rPr>
              <w:t>在原有两楼之间穿插钢丝绳，每道长度16米，左右交叉每间隔20厘米为一条，总计预估是2600米，采用瀑布灯、流星灯穿插组合，加黄色红色等色系搭配。</w:t>
            </w:r>
          </w:p>
          <w:p>
            <w:pPr>
              <w:pStyle w:val="null3"/>
              <w:jc w:val="left"/>
            </w:pPr>
            <w:r>
              <w:rPr>
                <w:rFonts w:ascii="仿宋_GB2312" w:hAnsi="仿宋_GB2312" w:cs="仿宋_GB2312" w:eastAsia="仿宋_GB2312"/>
                <w:b/>
              </w:rPr>
              <w:t>六、大屏处</w:t>
            </w:r>
          </w:p>
          <w:p>
            <w:pPr>
              <w:pStyle w:val="null3"/>
              <w:ind w:firstLine="400"/>
              <w:jc w:val="both"/>
            </w:pPr>
            <w:r>
              <w:rPr>
                <w:rFonts w:ascii="仿宋_GB2312" w:hAnsi="仿宋_GB2312" w:cs="仿宋_GB2312" w:eastAsia="仿宋_GB2312"/>
              </w:rPr>
              <w:t>显示屏主KV背景，舞台搭建，尺寸2.4米×12米，高度20厘米，制作美陈摆件加串灯，音响一套加4个话筒。</w:t>
            </w:r>
          </w:p>
          <w:p>
            <w:pPr>
              <w:pStyle w:val="null3"/>
              <w:jc w:val="left"/>
            </w:pPr>
            <w:r>
              <w:rPr>
                <w:rFonts w:ascii="仿宋_GB2312" w:hAnsi="仿宋_GB2312" w:cs="仿宋_GB2312" w:eastAsia="仿宋_GB2312"/>
                <w:b/>
              </w:rPr>
              <w:t>七、国风游艺区（行政楼门前左右两侧）</w:t>
            </w:r>
          </w:p>
          <w:p>
            <w:pPr>
              <w:pStyle w:val="null3"/>
              <w:ind w:firstLine="400"/>
              <w:jc w:val="both"/>
            </w:pPr>
            <w:r>
              <w:rPr>
                <w:rFonts w:ascii="仿宋_GB2312" w:hAnsi="仿宋_GB2312" w:cs="仿宋_GB2312" w:eastAsia="仿宋_GB2312"/>
              </w:rPr>
              <w:t>桁架搭建，整体左右各2套共计搭建4套游戏场景，其中每两个尺寸宽3米、长8米立体空间，画面喷绘布加展板加游戏场景布局。</w:t>
            </w:r>
          </w:p>
          <w:p>
            <w:pPr>
              <w:pStyle w:val="null3"/>
              <w:jc w:val="left"/>
            </w:pPr>
            <w:r>
              <w:rPr>
                <w:rFonts w:ascii="仿宋_GB2312" w:hAnsi="仿宋_GB2312" w:cs="仿宋_GB2312" w:eastAsia="仿宋_GB2312"/>
                <w:b/>
              </w:rPr>
              <w:t>八、活动交流休息区</w:t>
            </w:r>
          </w:p>
          <w:p>
            <w:pPr>
              <w:pStyle w:val="null3"/>
              <w:jc w:val="left"/>
            </w:pPr>
            <w:r>
              <w:rPr>
                <w:rFonts w:ascii="仿宋_GB2312" w:hAnsi="仿宋_GB2312" w:cs="仿宋_GB2312" w:eastAsia="仿宋_GB2312"/>
                <w:b/>
              </w:rPr>
              <w:t xml:space="preserve">     </w:t>
            </w:r>
            <w:r>
              <w:rPr>
                <w:rFonts w:ascii="仿宋_GB2312" w:hAnsi="仿宋_GB2312" w:cs="仿宋_GB2312" w:eastAsia="仿宋_GB2312"/>
                <w:b/>
              </w:rPr>
              <w:t>于操场西侧区域，规划露天活动交流休息区，供休息交流使用，设计长25米，宽12米的半开放区域。</w:t>
            </w:r>
          </w:p>
          <w:p>
            <w:pPr>
              <w:pStyle w:val="null3"/>
              <w:jc w:val="left"/>
            </w:pPr>
            <w:r>
              <w:rPr>
                <w:rFonts w:ascii="仿宋_GB2312" w:hAnsi="仿宋_GB2312" w:cs="仿宋_GB2312" w:eastAsia="仿宋_GB2312"/>
                <w:b/>
              </w:rPr>
              <w:t>九、服装及道具租赁。</w:t>
            </w:r>
          </w:p>
          <w:p>
            <w:pPr>
              <w:pStyle w:val="null3"/>
              <w:ind w:firstLine="400"/>
              <w:jc w:val="both"/>
            </w:pPr>
            <w:r>
              <w:rPr>
                <w:rFonts w:ascii="仿宋_GB2312" w:hAnsi="仿宋_GB2312" w:cs="仿宋_GB2312" w:eastAsia="仿宋_GB2312"/>
              </w:rPr>
              <w:t>师生预估需租赁500套</w:t>
            </w:r>
          </w:p>
          <w:p>
            <w:pPr>
              <w:pStyle w:val="null3"/>
              <w:jc w:val="both"/>
            </w:pPr>
            <w:r>
              <w:rPr>
                <w:rFonts w:ascii="仿宋_GB2312" w:hAnsi="仿宋_GB2312" w:cs="仿宋_GB2312" w:eastAsia="仿宋_GB2312"/>
                <w:b/>
              </w:rPr>
              <w:t>十、视频拍摄</w:t>
            </w:r>
          </w:p>
          <w:p>
            <w:pPr>
              <w:pStyle w:val="null3"/>
              <w:ind w:firstLine="400"/>
              <w:jc w:val="both"/>
            </w:pPr>
            <w:r>
              <w:rPr>
                <w:rFonts w:ascii="仿宋_GB2312" w:hAnsi="仿宋_GB2312" w:cs="仿宋_GB2312" w:eastAsia="仿宋_GB2312"/>
              </w:rPr>
              <w:t>标准配置</w:t>
            </w:r>
          </w:p>
          <w:tbl>
            <w:tblPr>
              <w:tblInd w:type="dxa" w:w="120"/>
              <w:tblBorders>
                <w:top w:val="none" w:color="000000" w:sz="4"/>
                <w:left w:val="none" w:color="000000" w:sz="4"/>
                <w:bottom w:val="none" w:color="000000" w:sz="4"/>
                <w:right w:val="none" w:color="000000" w:sz="4"/>
                <w:insideH w:val="none"/>
                <w:insideV w:val="none"/>
              </w:tblBorders>
            </w:tblPr>
            <w:tblGrid>
              <w:gridCol w:w="515"/>
              <w:gridCol w:w="448"/>
              <w:gridCol w:w="1590"/>
            </w:tblGrid>
            <w:tr>
              <w:tc>
                <w:tcPr>
                  <w:tcW w:type="dxa" w:w="5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岗位</w:t>
                  </w:r>
                </w:p>
              </w:tc>
              <w:tc>
                <w:tcPr>
                  <w:tcW w:type="dxa" w:w="4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人数</w:t>
                  </w:r>
                </w:p>
              </w:tc>
              <w:tc>
                <w:tcPr>
                  <w:tcW w:type="dxa" w:w="15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工作内容</w:t>
                  </w:r>
                </w:p>
              </w:tc>
            </w:tr>
            <w:tr>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导演/统筹</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1人</w:t>
                  </w:r>
                </w:p>
              </w:tc>
              <w:tc>
                <w:tcPr>
                  <w:tcW w:type="dxa" w:w="1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控制拍摄节奏、对接流程</w:t>
                  </w:r>
                </w:p>
              </w:tc>
            </w:tr>
            <w:tr>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摄像师</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2人</w:t>
                  </w:r>
                </w:p>
              </w:tc>
              <w:tc>
                <w:tcPr>
                  <w:tcW w:type="dxa" w:w="1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主机位、副机位拍摄</w:t>
                  </w:r>
                </w:p>
              </w:tc>
            </w:tr>
            <w:tr>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摄影师</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1人</w:t>
                  </w:r>
                </w:p>
              </w:tc>
              <w:tc>
                <w:tcPr>
                  <w:tcW w:type="dxa" w:w="1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校园及活动全景</w:t>
                  </w:r>
                </w:p>
              </w:tc>
            </w:tr>
            <w:tr>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摄影助理</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1人</w:t>
                  </w:r>
                </w:p>
              </w:tc>
              <w:tc>
                <w:tcPr>
                  <w:tcW w:type="dxa" w:w="1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灯光、收音、设备辅助</w:t>
                  </w:r>
                </w:p>
              </w:tc>
            </w:tr>
            <w:tr>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后期剪辑</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1人</w:t>
                  </w:r>
                </w:p>
              </w:tc>
              <w:tc>
                <w:tcPr>
                  <w:tcW w:type="dxa" w:w="1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剪辑、调色、字幕、包装</w:t>
                  </w:r>
                </w:p>
              </w:tc>
            </w:tr>
          </w:tbl>
          <w:p>
            <w:pPr>
              <w:pStyle w:val="null3"/>
              <w:ind w:firstLine="400"/>
              <w:jc w:val="both"/>
            </w:pPr>
            <w:r>
              <w:rPr>
                <w:rFonts w:ascii="仿宋_GB2312" w:hAnsi="仿宋_GB2312" w:cs="仿宋_GB2312" w:eastAsia="仿宋_GB2312"/>
              </w:rPr>
              <w:t>建议总人数： 3—5人。</w:t>
            </w:r>
          </w:p>
          <w:p>
            <w:pPr>
              <w:pStyle w:val="null3"/>
              <w:ind w:firstLine="400"/>
              <w:jc w:val="both"/>
            </w:pPr>
            <w:r>
              <w:rPr>
                <w:rFonts w:ascii="仿宋_GB2312" w:hAnsi="仿宋_GB2312" w:cs="仿宋_GB2312" w:eastAsia="仿宋_GB2312"/>
              </w:rPr>
              <w:t>活动宣传短片：1分钟—1分30秒,约拍摄1</w:t>
            </w:r>
            <w:r>
              <w:rPr>
                <w:rFonts w:ascii="仿宋_GB2312" w:hAnsi="仿宋_GB2312" w:cs="仿宋_GB2312" w:eastAsia="仿宋_GB2312"/>
              </w:rPr>
              <w:t>0</w:t>
            </w:r>
            <w:r>
              <w:rPr>
                <w:rFonts w:ascii="仿宋_GB2312" w:hAnsi="仿宋_GB2312" w:cs="仿宋_GB2312" w:eastAsia="仿宋_GB2312"/>
              </w:rPr>
              <w:t>0条</w:t>
            </w:r>
          </w:p>
          <w:p>
            <w:pPr>
              <w:pStyle w:val="null3"/>
              <w:ind w:firstLine="400"/>
              <w:jc w:val="both"/>
            </w:pPr>
            <w:r>
              <w:rPr>
                <w:rFonts w:ascii="仿宋_GB2312" w:hAnsi="仿宋_GB2312" w:cs="仿宋_GB2312" w:eastAsia="仿宋_GB2312"/>
              </w:rPr>
              <w:t>活动精美照片：全程云直播，精选精修1000张</w:t>
            </w:r>
          </w:p>
          <w:p>
            <w:pPr>
              <w:pStyle w:val="null3"/>
              <w:ind w:firstLine="400"/>
              <w:jc w:val="both"/>
            </w:pPr>
            <w:r>
              <w:rPr>
                <w:rFonts w:ascii="仿宋_GB2312" w:hAnsi="仿宋_GB2312" w:cs="仿宋_GB2312" w:eastAsia="仿宋_GB2312"/>
              </w:rPr>
              <w:t>活动期间邀请知名网络直播达人，带号直播等3位进校直播。</w:t>
            </w:r>
          </w:p>
          <w:p>
            <w:pPr>
              <w:pStyle w:val="null3"/>
              <w:jc w:val="both"/>
            </w:pPr>
            <w:r>
              <w:rPr>
                <w:rFonts w:ascii="仿宋_GB2312" w:hAnsi="仿宋_GB2312" w:cs="仿宋_GB2312" w:eastAsia="仿宋_GB2312"/>
                <w:b/>
              </w:rPr>
              <w:t>十一、国务院政府特殊津贴获得者，国家级非遗代表性传承人、工艺美术大师、技能大师进校园活动</w:t>
            </w:r>
          </w:p>
          <w:p>
            <w:pPr>
              <w:pStyle w:val="null3"/>
              <w:ind w:firstLine="400"/>
              <w:jc w:val="both"/>
            </w:pPr>
            <w:r>
              <w:rPr>
                <w:rFonts w:ascii="仿宋_GB2312" w:hAnsi="仿宋_GB2312" w:cs="仿宋_GB2312" w:eastAsia="仿宋_GB2312"/>
              </w:rPr>
              <w:t>活动分 6 月、7 月、9 月三个阶段举办，共邀请国家级非遗代表性传承人、工艺美术大师、技能大师、国务院政府特殊津贴专家等各类大师 20 名，其中国家级资质大师不少于 10 名。活动期间设置固定摊位开展作品与技艺展示，同步开设专题讲座、面对面交流、实操指导等活动，广泛传播非物质文化与传统手工工艺，帮助学生学习传统文化知识，接受艺术熏陶。</w:t>
            </w:r>
          </w:p>
          <w:p>
            <w:pPr>
              <w:pStyle w:val="null3"/>
              <w:jc w:val="both"/>
            </w:pPr>
            <w:r>
              <w:rPr>
                <w:rFonts w:ascii="仿宋_GB2312" w:hAnsi="仿宋_GB2312" w:cs="仿宋_GB2312" w:eastAsia="仿宋_GB2312"/>
                <w:b/>
              </w:rPr>
              <w:t>十二、其他基础物料</w:t>
            </w:r>
          </w:p>
          <w:p>
            <w:pPr>
              <w:pStyle w:val="null3"/>
              <w:ind w:firstLine="400"/>
              <w:jc w:val="both"/>
            </w:pPr>
            <w:r>
              <w:rPr>
                <w:rFonts w:ascii="仿宋_GB2312" w:hAnsi="仿宋_GB2312" w:cs="仿宋_GB2312" w:eastAsia="仿宋_GB2312"/>
              </w:rPr>
              <w:t>其中包含部分的一次性物料和物品不超过3万</w:t>
            </w:r>
          </w:p>
          <w:p>
            <w:pPr>
              <w:pStyle w:val="null3"/>
              <w:jc w:val="left"/>
            </w:pPr>
            <w:r>
              <w:rPr>
                <w:rFonts w:ascii="仿宋_GB2312" w:hAnsi="仿宋_GB2312" w:cs="仿宋_GB2312" w:eastAsia="仿宋_GB2312"/>
                <w:b/>
              </w:rPr>
              <w:t>艺术节</w:t>
            </w:r>
            <w:r>
              <w:rPr>
                <w:rFonts w:ascii="仿宋_GB2312" w:hAnsi="仿宋_GB2312" w:cs="仿宋_GB2312" w:eastAsia="仿宋_GB2312"/>
                <w:b/>
              </w:rPr>
              <w:t>及</w:t>
            </w:r>
            <w:r>
              <w:rPr>
                <w:rFonts w:ascii="仿宋_GB2312" w:hAnsi="仿宋_GB2312" w:cs="仿宋_GB2312" w:eastAsia="仿宋_GB2312"/>
                <w:b/>
              </w:rPr>
              <w:t>长征胜利90周年，主题大合唱专项活动</w:t>
            </w:r>
          </w:p>
          <w:p>
            <w:pPr>
              <w:pStyle w:val="null3"/>
              <w:ind w:firstLine="400"/>
              <w:jc w:val="left"/>
            </w:pPr>
            <w:r>
              <w:rPr>
                <w:rFonts w:ascii="仿宋_GB2312" w:hAnsi="仿宋_GB2312" w:cs="仿宋_GB2312" w:eastAsia="仿宋_GB2312"/>
              </w:rPr>
              <w:t>时间：2026年6月至2026年11月</w:t>
            </w:r>
          </w:p>
          <w:p>
            <w:pPr>
              <w:pStyle w:val="null3"/>
              <w:jc w:val="left"/>
            </w:pPr>
            <w:r>
              <w:rPr>
                <w:rFonts w:ascii="仿宋_GB2312" w:hAnsi="仿宋_GB2312" w:cs="仿宋_GB2312" w:eastAsia="仿宋_GB2312"/>
                <w:b/>
              </w:rPr>
              <w:t>一、大门口</w:t>
            </w:r>
          </w:p>
          <w:p>
            <w:pPr>
              <w:pStyle w:val="null3"/>
              <w:ind w:firstLine="400"/>
              <w:jc w:val="left"/>
            </w:pPr>
            <w:r>
              <w:rPr>
                <w:rFonts w:ascii="仿宋_GB2312" w:hAnsi="仿宋_GB2312" w:cs="仿宋_GB2312" w:eastAsia="仿宋_GB2312"/>
              </w:rPr>
              <w:t>5米高道旗预计30套，从进门口处开始摆放，一直指引到校门口。道旗30套，画面尺寸1.2米×2米，大门口结合传统文化进校园整体做大门头。</w:t>
            </w:r>
          </w:p>
          <w:p>
            <w:pPr>
              <w:pStyle w:val="null3"/>
              <w:jc w:val="left"/>
            </w:pPr>
            <w:r>
              <w:rPr>
                <w:rFonts w:ascii="仿宋_GB2312" w:hAnsi="仿宋_GB2312" w:cs="仿宋_GB2312" w:eastAsia="仿宋_GB2312"/>
                <w:b/>
              </w:rPr>
              <w:t>二、操场入口龙门架</w:t>
            </w:r>
          </w:p>
          <w:p>
            <w:pPr>
              <w:pStyle w:val="null3"/>
              <w:ind w:firstLine="400"/>
              <w:jc w:val="left"/>
            </w:pPr>
            <w:r>
              <w:rPr>
                <w:rFonts w:ascii="仿宋_GB2312" w:hAnsi="仿宋_GB2312" w:cs="仿宋_GB2312" w:eastAsia="仿宋_GB2312"/>
              </w:rPr>
              <w:t>外径尺寸5米×8米艺术节龙门架，桁架搭建加高清喷绘加PVC板材雕刻异形。一套。</w:t>
            </w:r>
          </w:p>
          <w:p>
            <w:pPr>
              <w:pStyle w:val="null3"/>
              <w:jc w:val="left"/>
            </w:pPr>
            <w:r>
              <w:rPr>
                <w:rFonts w:ascii="仿宋_GB2312" w:hAnsi="仿宋_GB2312" w:cs="仿宋_GB2312" w:eastAsia="仿宋_GB2312"/>
                <w:b/>
              </w:rPr>
              <w:t>三、指引标识加打卡美陈</w:t>
            </w:r>
          </w:p>
          <w:p>
            <w:pPr>
              <w:pStyle w:val="null3"/>
              <w:ind w:firstLine="400"/>
              <w:jc w:val="left"/>
            </w:pPr>
            <w:r>
              <w:rPr>
                <w:rFonts w:ascii="仿宋_GB2312" w:hAnsi="仿宋_GB2312" w:cs="仿宋_GB2312" w:eastAsia="仿宋_GB2312"/>
              </w:rPr>
              <w:t>60厘米×90厘米展板加展架指引，6套</w:t>
            </w:r>
          </w:p>
          <w:p>
            <w:pPr>
              <w:pStyle w:val="null3"/>
              <w:ind w:firstLine="400"/>
              <w:jc w:val="left"/>
            </w:pPr>
            <w:r>
              <w:rPr>
                <w:rFonts w:ascii="仿宋_GB2312" w:hAnsi="仿宋_GB2312" w:cs="仿宋_GB2312" w:eastAsia="仿宋_GB2312"/>
              </w:rPr>
              <w:t>打卡美陈2套，2.4米×3米桁架搭建加展板</w:t>
            </w:r>
          </w:p>
          <w:p>
            <w:pPr>
              <w:pStyle w:val="null3"/>
              <w:jc w:val="left"/>
            </w:pPr>
            <w:r>
              <w:rPr>
                <w:rFonts w:ascii="仿宋_GB2312" w:hAnsi="仿宋_GB2312" w:cs="仿宋_GB2312" w:eastAsia="仿宋_GB2312"/>
                <w:b/>
              </w:rPr>
              <w:t>四、操场主舞台</w:t>
            </w:r>
          </w:p>
          <w:p>
            <w:pPr>
              <w:pStyle w:val="null3"/>
              <w:ind w:firstLine="400"/>
              <w:jc w:val="left"/>
            </w:pPr>
            <w:r>
              <w:rPr>
                <w:rFonts w:ascii="仿宋_GB2312" w:hAnsi="仿宋_GB2312" w:cs="仿宋_GB2312" w:eastAsia="仿宋_GB2312"/>
              </w:rPr>
              <w:t>本次活动舞台采用22米×10米×1米规格搭建，舞台中央设置10米×4米主LED屏，两侧各设置3米×4米侧屏，LED总面积64平方米。舞台上方及两侧搭建专业灯光桁架，配置面光、顶光、逆光、侧光、染色灯、光束灯及追光灯，满足艺术节晚会、舞蹈、合唱、朗诵、颁奖等节目需求。音响系统采用数字调音台、线阵主扩、超低音箱、返听音箱及无线话筒、合唱拾音系统，确保现场扩声清晰稳定。施工过程中严格执行舞台结构安全、用电安全、设备防护及现场人员管理要求，保障活动顺利进行。</w:t>
            </w:r>
          </w:p>
          <w:p>
            <w:pPr>
              <w:pStyle w:val="null3"/>
              <w:jc w:val="left"/>
            </w:pPr>
            <w:r>
              <w:rPr>
                <w:rFonts w:ascii="仿宋_GB2312" w:hAnsi="仿宋_GB2312" w:cs="仿宋_GB2312" w:eastAsia="仿宋_GB2312"/>
                <w:b/>
              </w:rPr>
              <w:t>五、桌椅</w:t>
            </w:r>
          </w:p>
          <w:p>
            <w:pPr>
              <w:pStyle w:val="null3"/>
              <w:ind w:firstLine="400"/>
              <w:jc w:val="left"/>
            </w:pPr>
            <w:r>
              <w:rPr>
                <w:rFonts w:ascii="仿宋_GB2312" w:hAnsi="仿宋_GB2312" w:cs="仿宋_GB2312" w:eastAsia="仿宋_GB2312"/>
              </w:rPr>
              <w:t>观众区建议按600—700人规模布置，来宾椅约80把，长条桌约30张，并预留中间通道、两侧消防通道及舞台前安全距离。</w:t>
            </w:r>
          </w:p>
          <w:p>
            <w:pPr>
              <w:pStyle w:val="null3"/>
              <w:jc w:val="left"/>
            </w:pPr>
            <w:r>
              <w:rPr>
                <w:rFonts w:ascii="仿宋_GB2312" w:hAnsi="仿宋_GB2312" w:cs="仿宋_GB2312" w:eastAsia="仿宋_GB2312"/>
                <w:b/>
              </w:rPr>
              <w:t>六、教学楼正面条幅，</w:t>
            </w:r>
            <w:r>
              <w:rPr>
                <w:rFonts w:ascii="仿宋_GB2312" w:hAnsi="仿宋_GB2312" w:cs="仿宋_GB2312" w:eastAsia="仿宋_GB2312"/>
              </w:rPr>
              <w:t>1.5米×20米旗帜布印刷，六条。</w:t>
            </w:r>
          </w:p>
          <w:p>
            <w:pPr>
              <w:pStyle w:val="null3"/>
              <w:jc w:val="left"/>
            </w:pPr>
            <w:r>
              <w:rPr>
                <w:rFonts w:ascii="仿宋_GB2312" w:hAnsi="仿宋_GB2312" w:cs="仿宋_GB2312" w:eastAsia="仿宋_GB2312"/>
                <w:b/>
              </w:rPr>
              <w:t>七、艺术节印刷物料</w:t>
            </w:r>
          </w:p>
          <w:p>
            <w:pPr>
              <w:pStyle w:val="null3"/>
              <w:ind w:firstLine="400"/>
              <w:jc w:val="left"/>
            </w:pPr>
            <w:r>
              <w:rPr>
                <w:rFonts w:ascii="仿宋_GB2312" w:hAnsi="仿宋_GB2312" w:cs="仿宋_GB2312" w:eastAsia="仿宋_GB2312"/>
              </w:rPr>
              <w:t>节目单手册：150本（210-285毫米）</w:t>
            </w:r>
          </w:p>
          <w:p>
            <w:pPr>
              <w:pStyle w:val="null3"/>
              <w:ind w:firstLine="400"/>
              <w:jc w:val="left"/>
            </w:pPr>
            <w:r>
              <w:rPr>
                <w:rFonts w:ascii="仿宋_GB2312" w:hAnsi="仿宋_GB2312" w:cs="仿宋_GB2312" w:eastAsia="仿宋_GB2312"/>
              </w:rPr>
              <w:t>工作人员胸牌：150个（80-120毫米）</w:t>
            </w:r>
          </w:p>
          <w:p>
            <w:pPr>
              <w:pStyle w:val="null3"/>
              <w:ind w:firstLine="400"/>
              <w:jc w:val="left"/>
            </w:pPr>
            <w:r>
              <w:rPr>
                <w:rFonts w:ascii="仿宋_GB2312" w:hAnsi="仿宋_GB2312" w:cs="仿宋_GB2312" w:eastAsia="仿宋_GB2312"/>
              </w:rPr>
              <w:t>座位签：150个（</w:t>
            </w:r>
            <w:r>
              <w:rPr>
                <w:rFonts w:ascii="仿宋_GB2312" w:hAnsi="仿宋_GB2312" w:cs="仿宋_GB2312" w:eastAsia="仿宋_GB2312"/>
              </w:rPr>
              <w:t xml:space="preserve"> </w:t>
            </w:r>
            <w:r>
              <w:rPr>
                <w:rFonts w:ascii="仿宋_GB2312" w:hAnsi="仿宋_GB2312" w:cs="仿宋_GB2312" w:eastAsia="仿宋_GB2312"/>
              </w:rPr>
              <w:t>260-370</w:t>
            </w:r>
            <w:r>
              <w:rPr>
                <w:rFonts w:ascii="仿宋_GB2312" w:hAnsi="仿宋_GB2312" w:cs="仿宋_GB2312" w:eastAsia="仿宋_GB2312"/>
              </w:rPr>
              <w:t>毫米）</w:t>
            </w:r>
          </w:p>
          <w:p>
            <w:pPr>
              <w:pStyle w:val="null3"/>
              <w:ind w:firstLine="400"/>
              <w:jc w:val="left"/>
            </w:pPr>
            <w:r>
              <w:rPr>
                <w:rFonts w:ascii="仿宋_GB2312" w:hAnsi="仿宋_GB2312" w:cs="仿宋_GB2312" w:eastAsia="仿宋_GB2312"/>
              </w:rPr>
              <w:t>宣传海报：</w:t>
            </w:r>
            <w:r>
              <w:rPr>
                <w:rFonts w:ascii="仿宋_GB2312" w:hAnsi="仿宋_GB2312" w:cs="仿宋_GB2312" w:eastAsia="仿宋_GB2312"/>
              </w:rPr>
              <w:t>6</w:t>
            </w:r>
            <w:r>
              <w:rPr>
                <w:rFonts w:ascii="仿宋_GB2312" w:hAnsi="仿宋_GB2312" w:cs="仿宋_GB2312" w:eastAsia="仿宋_GB2312"/>
              </w:rPr>
              <w:t>0张（600-900毫米）</w:t>
            </w:r>
          </w:p>
          <w:p>
            <w:pPr>
              <w:pStyle w:val="null3"/>
              <w:ind w:firstLine="400"/>
              <w:jc w:val="left"/>
            </w:pPr>
            <w:r>
              <w:rPr>
                <w:rFonts w:ascii="仿宋_GB2312" w:hAnsi="仿宋_GB2312" w:cs="仿宋_GB2312" w:eastAsia="仿宋_GB2312"/>
              </w:rPr>
              <w:t>荣誉证书：100套</w:t>
            </w:r>
          </w:p>
          <w:p>
            <w:pPr>
              <w:pStyle w:val="null3"/>
              <w:ind w:firstLine="400"/>
              <w:jc w:val="left"/>
            </w:pPr>
            <w:r>
              <w:rPr>
                <w:rFonts w:ascii="仿宋_GB2312" w:hAnsi="仿宋_GB2312" w:cs="仿宋_GB2312" w:eastAsia="仿宋_GB2312"/>
              </w:rPr>
              <w:t>奖牌：50套</w:t>
            </w:r>
          </w:p>
          <w:p>
            <w:pPr>
              <w:pStyle w:val="null3"/>
              <w:ind w:firstLine="400"/>
              <w:jc w:val="left"/>
            </w:pPr>
            <w:r>
              <w:rPr>
                <w:rFonts w:ascii="仿宋_GB2312" w:hAnsi="仿宋_GB2312" w:cs="仿宋_GB2312" w:eastAsia="仿宋_GB2312"/>
              </w:rPr>
              <w:t>节目单150份和主持人手卡12个</w:t>
            </w:r>
          </w:p>
          <w:p>
            <w:pPr>
              <w:pStyle w:val="null3"/>
              <w:jc w:val="left"/>
            </w:pPr>
            <w:r>
              <w:rPr>
                <w:rFonts w:ascii="仿宋_GB2312" w:hAnsi="仿宋_GB2312" w:cs="仿宋_GB2312" w:eastAsia="仿宋_GB2312"/>
                <w:b/>
              </w:rPr>
              <w:t>八、化妆</w:t>
            </w:r>
          </w:p>
          <w:p>
            <w:pPr>
              <w:pStyle w:val="null3"/>
              <w:ind w:firstLine="400"/>
              <w:jc w:val="left"/>
            </w:pPr>
            <w:r>
              <w:rPr>
                <w:rFonts w:ascii="仿宋_GB2312" w:hAnsi="仿宋_GB2312" w:cs="仿宋_GB2312" w:eastAsia="仿宋_GB2312"/>
              </w:rPr>
              <w:t>化妆负责人</w:t>
            </w:r>
            <w:r>
              <w:rPr>
                <w:rFonts w:ascii="仿宋_GB2312" w:hAnsi="仿宋_GB2312" w:cs="仿宋_GB2312" w:eastAsia="仿宋_GB2312"/>
              </w:rPr>
              <w:t>1人</w:t>
            </w:r>
          </w:p>
          <w:p>
            <w:pPr>
              <w:pStyle w:val="null3"/>
              <w:ind w:firstLine="400"/>
              <w:jc w:val="left"/>
            </w:pPr>
            <w:r>
              <w:rPr>
                <w:rFonts w:ascii="仿宋_GB2312" w:hAnsi="仿宋_GB2312" w:cs="仿宋_GB2312" w:eastAsia="仿宋_GB2312"/>
              </w:rPr>
              <w:t>主持人专属化妆师</w:t>
            </w:r>
            <w:r>
              <w:rPr>
                <w:rFonts w:ascii="仿宋_GB2312" w:hAnsi="仿宋_GB2312" w:cs="仿宋_GB2312" w:eastAsia="仿宋_GB2312"/>
              </w:rPr>
              <w:t>1人</w:t>
            </w:r>
          </w:p>
          <w:p>
            <w:pPr>
              <w:pStyle w:val="null3"/>
              <w:ind w:firstLine="400"/>
              <w:jc w:val="left"/>
            </w:pPr>
            <w:r>
              <w:rPr>
                <w:rFonts w:ascii="仿宋_GB2312" w:hAnsi="仿宋_GB2312" w:cs="仿宋_GB2312" w:eastAsia="仿宋_GB2312"/>
              </w:rPr>
              <w:t>主化妆师</w:t>
            </w:r>
            <w:r>
              <w:rPr>
                <w:rFonts w:ascii="仿宋_GB2312" w:hAnsi="仿宋_GB2312" w:cs="仿宋_GB2312" w:eastAsia="仿宋_GB2312"/>
              </w:rPr>
              <w:t>4人</w:t>
            </w:r>
          </w:p>
          <w:p>
            <w:pPr>
              <w:pStyle w:val="null3"/>
              <w:ind w:firstLine="400"/>
              <w:jc w:val="left"/>
            </w:pPr>
            <w:r>
              <w:rPr>
                <w:rFonts w:ascii="仿宋_GB2312" w:hAnsi="仿宋_GB2312" w:cs="仿宋_GB2312" w:eastAsia="仿宋_GB2312"/>
              </w:rPr>
              <w:t>助理化妆师</w:t>
            </w:r>
            <w:r>
              <w:rPr>
                <w:rFonts w:ascii="仿宋_GB2312" w:hAnsi="仿宋_GB2312" w:cs="仿宋_GB2312" w:eastAsia="仿宋_GB2312"/>
              </w:rPr>
              <w:t>6人</w:t>
            </w:r>
          </w:p>
          <w:p>
            <w:pPr>
              <w:pStyle w:val="null3"/>
              <w:ind w:firstLine="400"/>
              <w:jc w:val="left"/>
            </w:pPr>
            <w:r>
              <w:rPr>
                <w:rFonts w:ascii="仿宋_GB2312" w:hAnsi="仿宋_GB2312" w:cs="仿宋_GB2312" w:eastAsia="仿宋_GB2312"/>
              </w:rPr>
              <w:t>氛围营造荧光手棒500个</w:t>
            </w:r>
          </w:p>
          <w:p>
            <w:pPr>
              <w:pStyle w:val="null3"/>
              <w:jc w:val="left"/>
            </w:pPr>
            <w:r>
              <w:rPr>
                <w:rFonts w:ascii="仿宋_GB2312" w:hAnsi="仿宋_GB2312" w:cs="仿宋_GB2312" w:eastAsia="仿宋_GB2312"/>
                <w:b/>
              </w:rPr>
              <w:t>九、服装租赁</w:t>
            </w:r>
          </w:p>
          <w:p>
            <w:pPr>
              <w:pStyle w:val="null3"/>
              <w:ind w:firstLine="400"/>
              <w:jc w:val="left"/>
            </w:pPr>
            <w:r>
              <w:rPr>
                <w:rFonts w:ascii="仿宋_GB2312" w:hAnsi="仿宋_GB2312" w:cs="仿宋_GB2312" w:eastAsia="仿宋_GB2312"/>
              </w:rPr>
              <w:t>各类服装约550套左右</w:t>
            </w:r>
          </w:p>
          <w:p>
            <w:pPr>
              <w:pStyle w:val="null3"/>
              <w:jc w:val="left"/>
            </w:pPr>
            <w:r>
              <w:rPr>
                <w:rFonts w:ascii="仿宋_GB2312" w:hAnsi="仿宋_GB2312" w:cs="仿宋_GB2312" w:eastAsia="仿宋_GB2312"/>
                <w:b/>
              </w:rPr>
              <w:t>十、直播摄像</w:t>
            </w:r>
          </w:p>
          <w:p>
            <w:pPr>
              <w:pStyle w:val="null3"/>
              <w:ind w:firstLine="400"/>
              <w:jc w:val="left"/>
            </w:pPr>
            <w:r>
              <w:rPr>
                <w:rFonts w:ascii="仿宋_GB2312" w:hAnsi="仿宋_GB2312" w:cs="仿宋_GB2312" w:eastAsia="仿宋_GB2312"/>
              </w:rPr>
              <w:t>艺术节按操场1600人规模执行，建议配置3机位视频拍摄、1组摄像、1名摄影师及后期剪辑团队。拍摄内容涵盖活动前期氛围、后台化妆候场、观众入场、主持开场、领导讲话、节目表演、颁奖合影及现场花絮。视频机位采用主机位全程记录、侧机位补充中近景、游机捕捉特写与现场氛围，能展现操场整体规模。后期交付活动宣传片、短视频快剪、完整活动记录、单节目拆条及活动照片，满足学校宣传推广、资料归档和后续新媒体传播需求。</w:t>
            </w:r>
          </w:p>
          <w:p>
            <w:pPr>
              <w:pStyle w:val="null3"/>
              <w:ind w:firstLine="400"/>
              <w:jc w:val="left"/>
            </w:pPr>
            <w:r>
              <w:rPr>
                <w:rFonts w:ascii="仿宋_GB2312" w:hAnsi="仿宋_GB2312" w:cs="仿宋_GB2312" w:eastAsia="仿宋_GB2312"/>
              </w:rPr>
              <w:t>活动宣传短片：1分钟—1分30秒，</w:t>
            </w:r>
            <w:r>
              <w:rPr>
                <w:rFonts w:ascii="仿宋_GB2312" w:hAnsi="仿宋_GB2312" w:cs="仿宋_GB2312" w:eastAsia="仿宋_GB2312"/>
              </w:rPr>
              <w:t>20</w:t>
            </w:r>
            <w:r>
              <w:rPr>
                <w:rFonts w:ascii="仿宋_GB2312" w:hAnsi="仿宋_GB2312" w:cs="仿宋_GB2312" w:eastAsia="仿宋_GB2312"/>
              </w:rPr>
              <w:t>个</w:t>
            </w:r>
          </w:p>
          <w:p>
            <w:pPr>
              <w:pStyle w:val="null3"/>
              <w:ind w:firstLine="400"/>
              <w:jc w:val="left"/>
            </w:pPr>
            <w:r>
              <w:rPr>
                <w:rFonts w:ascii="仿宋_GB2312" w:hAnsi="仿宋_GB2312" w:cs="仿宋_GB2312" w:eastAsia="仿宋_GB2312"/>
              </w:rPr>
              <w:t>活动精美照片：全程云直播，300张</w:t>
            </w:r>
          </w:p>
          <w:p>
            <w:pPr>
              <w:pStyle w:val="null3"/>
              <w:ind w:firstLine="400"/>
              <w:jc w:val="left"/>
            </w:pPr>
            <w:r>
              <w:rPr>
                <w:rFonts w:ascii="仿宋_GB2312" w:hAnsi="仿宋_GB2312" w:cs="仿宋_GB2312" w:eastAsia="仿宋_GB2312"/>
              </w:rPr>
              <w:t>主场拍摄加图片及视频直播</w:t>
            </w:r>
          </w:p>
          <w:p>
            <w:pPr>
              <w:pStyle w:val="null3"/>
              <w:jc w:val="left"/>
            </w:pPr>
            <w:r>
              <w:rPr>
                <w:rFonts w:ascii="仿宋_GB2312" w:hAnsi="仿宋_GB2312" w:cs="仿宋_GB2312" w:eastAsia="仿宋_GB2312"/>
                <w:b/>
              </w:rPr>
              <w:t>艺术节课本剧才艺展示及文化艺术溯源活动</w:t>
            </w:r>
          </w:p>
          <w:p>
            <w:pPr>
              <w:pStyle w:val="null3"/>
              <w:ind w:firstLine="400"/>
              <w:jc w:val="left"/>
            </w:pPr>
            <w:r>
              <w:rPr>
                <w:rFonts w:ascii="仿宋_GB2312" w:hAnsi="仿宋_GB2312" w:cs="仿宋_GB2312" w:eastAsia="仿宋_GB2312"/>
              </w:rPr>
              <w:t>1、课本剧才艺展示</w:t>
            </w:r>
          </w:p>
          <w:p>
            <w:pPr>
              <w:pStyle w:val="null3"/>
              <w:ind w:firstLine="400"/>
              <w:jc w:val="left"/>
            </w:pPr>
            <w:r>
              <w:rPr>
                <w:rFonts w:ascii="仿宋_GB2312" w:hAnsi="仿宋_GB2312" w:cs="仿宋_GB2312" w:eastAsia="仿宋_GB2312"/>
              </w:rPr>
              <w:t>人员：全校选拔 3-5 支优秀课本剧团队，统一组织排练、租赁演出服装。</w:t>
            </w:r>
          </w:p>
          <w:p>
            <w:pPr>
              <w:pStyle w:val="null3"/>
              <w:ind w:firstLine="400"/>
              <w:jc w:val="left"/>
            </w:pPr>
            <w:r>
              <w:rPr>
                <w:rFonts w:ascii="仿宋_GB2312" w:hAnsi="仿宋_GB2312" w:cs="仿宋_GB2312" w:eastAsia="仿宋_GB2312"/>
              </w:rPr>
              <w:t>拍摄范围：仅限西安市 100 公里以内区域。</w:t>
            </w:r>
          </w:p>
          <w:p>
            <w:pPr>
              <w:pStyle w:val="null3"/>
              <w:ind w:firstLine="400"/>
              <w:jc w:val="left"/>
            </w:pPr>
            <w:r>
              <w:rPr>
                <w:rFonts w:ascii="仿宋_GB2312" w:hAnsi="仿宋_GB2312" w:cs="仿宋_GB2312" w:eastAsia="仿宋_GB2312"/>
              </w:rPr>
              <w:t>取景场地：红色革命教育基地、传统历史文化遗址。</w:t>
            </w:r>
          </w:p>
          <w:p>
            <w:pPr>
              <w:pStyle w:val="null3"/>
              <w:ind w:firstLine="400"/>
              <w:jc w:val="left"/>
            </w:pPr>
            <w:r>
              <w:rPr>
                <w:rFonts w:ascii="仿宋_GB2312" w:hAnsi="仿宋_GB2312" w:cs="仿宋_GB2312" w:eastAsia="仿宋_GB2312"/>
              </w:rPr>
              <w:t>内容主旨：实景演绎革命故事、经典历史时刻与国家发展成就，传承传统文化、弘扬革命精神，实现沉浸式育人。</w:t>
            </w:r>
          </w:p>
          <w:p>
            <w:pPr>
              <w:pStyle w:val="null3"/>
              <w:ind w:firstLine="400"/>
              <w:jc w:val="left"/>
            </w:pPr>
            <w:r>
              <w:rPr>
                <w:rFonts w:ascii="仿宋_GB2312" w:hAnsi="仿宋_GB2312" w:cs="仿宋_GB2312" w:eastAsia="仿宋_GB2312"/>
              </w:rPr>
              <w:t>经费范围：包含交通、服装、场地门票等相关开支。</w:t>
            </w:r>
          </w:p>
          <w:p>
            <w:pPr>
              <w:pStyle w:val="null3"/>
              <w:ind w:firstLine="400"/>
              <w:jc w:val="left"/>
            </w:pPr>
            <w:r>
              <w:rPr>
                <w:rFonts w:ascii="仿宋_GB2312" w:hAnsi="仿宋_GB2312" w:cs="仿宋_GB2312" w:eastAsia="仿宋_GB2312"/>
              </w:rPr>
              <w:t>2、文化艺术溯源活动</w:t>
            </w:r>
          </w:p>
          <w:p>
            <w:pPr>
              <w:pStyle w:val="null3"/>
            </w:pPr>
            <w:r>
              <w:rPr>
                <w:rFonts w:ascii="仿宋_GB2312" w:hAnsi="仿宋_GB2312" w:cs="仿宋_GB2312" w:eastAsia="仿宋_GB2312"/>
              </w:rPr>
              <w:t>特色实践单元，包含五大活动内容：开展文化艺术社区展演，以文艺传递青春活力；开展电商助农实践，践行社会责任；举办烹饪艺术菜品展示，呈现美食匠心；组织旅游专业学子外出采风，感悟传统文脉；走进非遗大师工坊，拜师研习技艺，溯源传统文化精髓。经费范围：包含交通、服装、横幅、其他物料等相关开支。</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满足磋商文件及采购人要求。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满足磋商文件及采购人要求。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满足采购人的要求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中华优秀传统文化进校园：2026年6月下旬至10月上旬；艺术节及大合唱比赛：2026年6月至2026年11月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成交供应商配合采购人验收，首次验收产生的费用由采购人承担；首次验收不合格，重新验收产生的费用，由过失方承担。合同约定的服务内容完成后先由成交供应商进行自检，自检内容包括是否按照采购人要求进行服务、是否在规定时间内服务完毕。自检合格后向采购人项目需求部门提出初验申请，经需求部门初验合格，双方签署书面初验意见并提出书面验收申请，经采购人相关部门及领导确认审核后，由招标代理机构制定项目验收方案，组织专家、成交供应商及采购人进行验收；验收合格后，填写项目验收单并出具验收报告。 2.验收标准：验收以合同、磋商文件、磋商响应文件、澄清及国家相应的标准、规范等为依据。</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进度款，合同签订后，完成合同规定内容的30%，达到付款条件起15个工作日内，支付合同总金额的40.0%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进度款，完成合同规定内容的50%，达到付款条件起15个工作日内，支付合同总金额的30.0%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进度款，完成全部活动后，达到资料提交验收合格，恢复所有场地，场内废料拆除、垃圾清理、废料装车外运全部施工完毕，场地恢复整洁，达到付款条件起15个工作日内，支付合同总金额的30.0%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1．甲乙双方必须遵守本合同并执行合同中的各项规定，保证本合同的正常履行。 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根据采购文件要求及合同约定执行；依法免税或不需要缴纳社会保障资金的供应商，应提供相应证明文件，证明其依法免税或不需要缴纳社会保障资金；自然人（仅限中国公民）参与投标时，只须提供身份证复印件； 3.4.2（响应文件格式-标的清单）本项目服务范围：第十七届艺术节、第四届中华传统文化进校园暨商贸文化街系列活动项目；服务要求：符合采购文件有关技术、商务要求；服务标准：符合国家和省、市有关行业标准及采购人的有关规定。 3.4.3 本项目专门面向中小企业采购，所属行业为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提供有效合格的具有统一社会信用代码的营业执照，其他组织经营的须提供合法凭证，自然人提供身份证明文件</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提供2024年度或2025年度经审计的完整财务报告或磋商日期前三个月内其基本存款账户开户银行出具的资信证明。（如提供资信证明，须同时提供基本存款账户开户许可证或基本账户信息表）</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提供2025年11月至今已缴纳的至少一个月的税收缴纳证明（时间以税款所属日期为准)，依法免税的单位应提供相关证明材料</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具有履行本合同所必需的设备和专业技术能力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提供具有履行本合同所必需的设备和专业技术能力的书面声明</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参加本次政府采购活动前三年内在经营活动中没有重大违法记录</w:t>
            </w:r>
          </w:p>
        </w:tc>
        <w:tc>
          <w:tcPr>
            <w:tcW w:type="dxa" w:w="3322"/>
          </w:tcPr>
          <w:p>
            <w:pPr>
              <w:pStyle w:val="null3"/>
            </w:pPr>
            <w:r>
              <w:rPr>
                <w:rFonts w:ascii="仿宋_GB2312" w:hAnsi="仿宋_GB2312" w:cs="仿宋_GB2312" w:eastAsia="仿宋_GB2312"/>
              </w:rPr>
              <w:t>参加本次政府采购活动前三年内在经营活动中没有重大违法记录</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未被列入信用中国网站(www.creditchina.gov.cn)“失信被执行人、重大税收违法失信主体”；不处于中国政府采购网(www.ccgp.gov.cn)“政府采购严重违法失信行为信息记录”中的禁止参加政府采购活动期间</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法定代表人授权委托书、被授权人身份证(法定代表人参加磋商时,只需提供法定代表人身份证；被授权人参加磋商时，需提供磋商响应截止时间前三个月至少一个月的基本养老保险参保缴费证明）</w:t>
            </w:r>
          </w:p>
        </w:tc>
        <w:tc>
          <w:tcPr>
            <w:tcW w:type="dxa" w:w="1661"/>
          </w:tcPr>
          <w:p>
            <w:pPr>
              <w:pStyle w:val="null3"/>
            </w:pPr>
            <w:r>
              <w:rPr>
                <w:rFonts w:ascii="仿宋_GB2312" w:hAnsi="仿宋_GB2312" w:cs="仿宋_GB2312" w:eastAsia="仿宋_GB2312"/>
              </w:rPr>
              <w:t>其他附件.docx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磋商响应文件完整性</w:t>
            </w:r>
          </w:p>
        </w:tc>
        <w:tc>
          <w:tcPr>
            <w:tcW w:type="dxa" w:w="3322"/>
          </w:tcPr>
          <w:p>
            <w:pPr>
              <w:pStyle w:val="null3"/>
            </w:pPr>
            <w:r>
              <w:rPr>
                <w:rFonts w:ascii="仿宋_GB2312" w:hAnsi="仿宋_GB2312" w:cs="仿宋_GB2312" w:eastAsia="仿宋_GB2312"/>
              </w:rPr>
              <w:t>磋商响应文件构成无重大缺项（详细评审除外），按照磋商文件要求的格式编写磋商响应文件</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磋商响应文件报价</w:t>
            </w:r>
          </w:p>
        </w:tc>
        <w:tc>
          <w:tcPr>
            <w:tcW w:type="dxa" w:w="3322"/>
          </w:tcPr>
          <w:p>
            <w:pPr>
              <w:pStyle w:val="null3"/>
            </w:pPr>
            <w:r>
              <w:rPr>
                <w:rFonts w:ascii="仿宋_GB2312" w:hAnsi="仿宋_GB2312" w:cs="仿宋_GB2312" w:eastAsia="仿宋_GB2312"/>
              </w:rPr>
              <w:t>报价唯一，且没有低于成本价或高于采购预算的</w:t>
            </w:r>
          </w:p>
        </w:tc>
        <w:tc>
          <w:tcPr>
            <w:tcW w:type="dxa" w:w="1661"/>
          </w:tcPr>
          <w:p>
            <w:pPr>
              <w:pStyle w:val="null3"/>
            </w:pPr>
            <w:r>
              <w:rPr>
                <w:rFonts w:ascii="仿宋_GB2312" w:hAnsi="仿宋_GB2312" w:cs="仿宋_GB2312" w:eastAsia="仿宋_GB2312"/>
              </w:rPr>
              <w:t>标的清单 报价表 其他附件.docx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磋商响应文件有效性</w:t>
            </w:r>
          </w:p>
        </w:tc>
        <w:tc>
          <w:tcPr>
            <w:tcW w:type="dxa" w:w="3322"/>
          </w:tcPr>
          <w:p>
            <w:pPr>
              <w:pStyle w:val="null3"/>
            </w:pPr>
            <w:r>
              <w:rPr>
                <w:rFonts w:ascii="仿宋_GB2312" w:hAnsi="仿宋_GB2312" w:cs="仿宋_GB2312" w:eastAsia="仿宋_GB2312"/>
              </w:rPr>
              <w:t>磋商响应文件的签署、盖章符合磋商文件要求，供应商递交的磋商响应文件与本项目名称一致</w:t>
            </w:r>
          </w:p>
        </w:tc>
        <w:tc>
          <w:tcPr>
            <w:tcW w:type="dxa" w:w="1661"/>
          </w:tcPr>
          <w:p>
            <w:pPr>
              <w:pStyle w:val="null3"/>
            </w:pPr>
            <w:r>
              <w:rPr>
                <w:rFonts w:ascii="仿宋_GB2312" w:hAnsi="仿宋_GB2312" w:cs="仿宋_GB2312" w:eastAsia="仿宋_GB2312"/>
              </w:rPr>
              <w:t>报价表 其他附件.docx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磋商有效期、授权有效期</w:t>
            </w:r>
          </w:p>
        </w:tc>
        <w:tc>
          <w:tcPr>
            <w:tcW w:type="dxa" w:w="3322"/>
          </w:tcPr>
          <w:p>
            <w:pPr>
              <w:pStyle w:val="null3"/>
            </w:pPr>
            <w:r>
              <w:rPr>
                <w:rFonts w:ascii="仿宋_GB2312" w:hAnsi="仿宋_GB2312" w:cs="仿宋_GB2312" w:eastAsia="仿宋_GB2312"/>
              </w:rPr>
              <w:t>文件递交截止之日起90日历日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磋商响应文件响应性</w:t>
            </w:r>
          </w:p>
        </w:tc>
        <w:tc>
          <w:tcPr>
            <w:tcW w:type="dxa" w:w="3322"/>
          </w:tcPr>
          <w:p>
            <w:pPr>
              <w:pStyle w:val="null3"/>
            </w:pPr>
            <w:r>
              <w:rPr>
                <w:rFonts w:ascii="仿宋_GB2312" w:hAnsi="仿宋_GB2312" w:cs="仿宋_GB2312" w:eastAsia="仿宋_GB2312"/>
              </w:rPr>
              <w:t>服务期限响应磋商文件要求</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无磋商文件中规定的无效情形</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项目重难点分析</w:t>
            </w:r>
          </w:p>
        </w:tc>
        <w:tc>
          <w:tcPr>
            <w:tcW w:type="dxa" w:w="2492"/>
          </w:tcPr>
          <w:p>
            <w:pPr>
              <w:pStyle w:val="null3"/>
            </w:pPr>
            <w:r>
              <w:rPr>
                <w:rFonts w:ascii="仿宋_GB2312" w:hAnsi="仿宋_GB2312" w:cs="仿宋_GB2312" w:eastAsia="仿宋_GB2312"/>
              </w:rPr>
              <w:t>一、评审内容 针对本项目提供详细的分析，包括但不限于：①针对本项目的重难点分析②针对重难点分析后的预防及解决措施等内容。 二、评审标准 上述两项评审内容中： 每一项方案内容满足本项目采购需求，符合实际情况、方案详实，有针对性和可操作性，得5分； 方案内容合理，涵盖上述维度，得3分； 方案内容粗略，无针对性，得1分； 未提供响应方案内容，得0分。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 针对本项目提供详细的实施方案，包括但不限于：①服务内容②实施方案③服务目标。 二、评审标准 上述两项评审内容中：每一项方案内容满足本项目采购需求，符合实际情况、方案详实，有针对性和可操作性，得5分； 方案内容合理，涵盖上述维度，得3分； 方案内容粗略，无针对性，得1分； 未提供响应方案内容，得0分。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一、评审内容 针对本项目提供详细的实施方案，包括但不限于：①质量管理体系②质量保障措施及手段。 二、评审标准 上述两项评审内容中：每一项方案内容满足本项目采购需求，符合实际情况、方案详实，有针对性和可操作性，得5分； 方案内容合理，涵盖上述维度，得3分； 方案内容粗略，无针对性，得1分； 未提供响应方案内容，得0分。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保障措施</w:t>
            </w:r>
          </w:p>
        </w:tc>
        <w:tc>
          <w:tcPr>
            <w:tcW w:type="dxa" w:w="2492"/>
          </w:tcPr>
          <w:p>
            <w:pPr>
              <w:pStyle w:val="null3"/>
            </w:pPr>
            <w:r>
              <w:rPr>
                <w:rFonts w:ascii="仿宋_GB2312" w:hAnsi="仿宋_GB2312" w:cs="仿宋_GB2312" w:eastAsia="仿宋_GB2312"/>
              </w:rPr>
              <w:t>一、评审内容 ①项目质量保障措施； ②进度计划安排； ③响应时效保障措施； ④安全保障措施； ⑤针对本项目提供应急预案（不限于技术故障、活动延期、人员变动、项目风险、极端天气等各类特殊情况）。 二、评审标准 上述五项评审内容中： 每一项方案内容满足本项目采购需求，符合实际情况、方案详实，有针对性和可操作性，得5分； 方案内容合理，涵盖上述维度，得3分； 方案内容粗略，无针对性，得1分； 未提供响应方案内容，得0分。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一、评审内容 ①有专业的运营团队，团队人员数量、分工合理，岗位职责明确； ②人员管理制度。 二、评审标准 上述两项评审内容中： 人员配备齐全专业，且符合实际情况，组织结构清晰、方案详实，有针对性和可操作性，得5分； 人员配备方案合理，涵盖上述维度，得3分； 人员岗位配置粗略，方案内容简单粗糙，无明显针对性，得1分； 未提供响应方案，得0分。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针对本项目提供详细的服务承诺，包括但不限于： ①制定完善的各项规章制度等内容; ②针对本项目的服务质量保证承诺。 二、评审标准 上述两项评审内容中： 每一项方案内容满足本项目采购需求，符合实际情况、方案详实，有针对性和可操作性，得5分；方案内容合理，涵盖上述维度，得3分；方案内容粗略，无针对性，得1分； 未提供响应方案内容，得0分。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供应商提供2023年6月至今类似项目业绩合同（以合同签订时间为准）；一个业绩得2分，最高得10分； 评审依据：提供合同复印件并加盖公章。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供应商提供2023年6月至今类似项目业绩合同（以合同签订时间为准）；一个业绩得2分，最高得10分； 评审依据：提供合同复印件并加盖公章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详见附件：其他附件.docx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