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08E0FF">
      <w:pPr>
        <w:pStyle w:val="4"/>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152B8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3E872333">
            <w:pPr>
              <w:pStyle w:val="4"/>
              <w:jc w:val="left"/>
            </w:pPr>
            <w:r>
              <w:rPr>
                <w:rFonts w:ascii="仿宋_GB2312" w:hAnsi="仿宋_GB2312" w:eastAsia="仿宋_GB2312" w:cs="仿宋_GB2312"/>
              </w:rPr>
              <w:t xml:space="preserve"> 序号</w:t>
            </w:r>
          </w:p>
        </w:tc>
        <w:tc>
          <w:tcPr>
            <w:tcW w:w="2769" w:type="dxa"/>
          </w:tcPr>
          <w:p w14:paraId="2C1F265B">
            <w:pPr>
              <w:pStyle w:val="4"/>
              <w:jc w:val="left"/>
            </w:pPr>
            <w:r>
              <w:rPr>
                <w:rFonts w:ascii="仿宋_GB2312" w:hAnsi="仿宋_GB2312" w:eastAsia="仿宋_GB2312" w:cs="仿宋_GB2312"/>
              </w:rPr>
              <w:t xml:space="preserve"> 参数性质</w:t>
            </w:r>
          </w:p>
        </w:tc>
        <w:tc>
          <w:tcPr>
            <w:tcW w:w="2769" w:type="dxa"/>
          </w:tcPr>
          <w:p w14:paraId="336E4F34">
            <w:pPr>
              <w:pStyle w:val="4"/>
              <w:jc w:val="left"/>
            </w:pPr>
            <w:r>
              <w:rPr>
                <w:rFonts w:ascii="仿宋_GB2312" w:hAnsi="仿宋_GB2312" w:eastAsia="仿宋_GB2312" w:cs="仿宋_GB2312"/>
              </w:rPr>
              <w:t xml:space="preserve"> 技术参数与性能指标</w:t>
            </w:r>
          </w:p>
        </w:tc>
      </w:tr>
      <w:tr w14:paraId="6703A9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B2F5AD">
            <w:pPr>
              <w:pStyle w:val="4"/>
              <w:jc w:val="left"/>
            </w:pPr>
            <w:r>
              <w:rPr>
                <w:rFonts w:ascii="仿宋_GB2312" w:hAnsi="仿宋_GB2312" w:eastAsia="仿宋_GB2312" w:cs="仿宋_GB2312"/>
              </w:rPr>
              <w:t>1</w:t>
            </w:r>
          </w:p>
        </w:tc>
        <w:tc>
          <w:tcPr>
            <w:tcW w:w="2769" w:type="dxa"/>
          </w:tcPr>
          <w:p w14:paraId="73D1C716">
            <w:bookmarkStart w:id="0" w:name="_GoBack"/>
            <w:bookmarkEnd w:id="0"/>
          </w:p>
        </w:tc>
        <w:tc>
          <w:tcPr>
            <w:tcW w:w="2769" w:type="dxa"/>
          </w:tcPr>
          <w:p w14:paraId="0DB42FE3">
            <w:pPr>
              <w:pStyle w:val="4"/>
              <w:jc w:val="left"/>
            </w:pPr>
            <w:r>
              <w:rPr>
                <w:rFonts w:ascii="仿宋_GB2312" w:hAnsi="仿宋_GB2312" w:eastAsia="仿宋_GB2312" w:cs="仿宋_GB2312"/>
              </w:rPr>
              <w:t>一、项目概况与采购目标</w:t>
            </w:r>
          </w:p>
          <w:p w14:paraId="0F7284DB">
            <w:pPr>
              <w:pStyle w:val="4"/>
              <w:jc w:val="left"/>
            </w:pPr>
            <w:r>
              <w:rPr>
                <w:rFonts w:ascii="仿宋_GB2312" w:hAnsi="仿宋_GB2312" w:eastAsia="仿宋_GB2312" w:cs="仿宋_GB2312"/>
              </w:rPr>
              <w:t>1.1 项目背景</w:t>
            </w:r>
          </w:p>
          <w:p w14:paraId="19AE6EA8">
            <w:pPr>
              <w:pStyle w:val="4"/>
              <w:jc w:val="left"/>
            </w:pPr>
            <w:r>
              <w:rPr>
                <w:rFonts w:ascii="仿宋_GB2312" w:hAnsi="仿宋_GB2312" w:eastAsia="仿宋_GB2312" w:cs="仿宋_GB2312"/>
              </w:rPr>
              <w:t>全面掌握咸阳市2025年度国土利用变化情况，完成2026年度日常变更调查市级汇总；同时按照自然资源部及陕西省厅要求，开展咸阳市水资源基础调查中的水下地形测量工作，为地表液态水储存量调查提供可靠数据支撑。</w:t>
            </w:r>
          </w:p>
          <w:p w14:paraId="13D6FF6A">
            <w:pPr>
              <w:pStyle w:val="4"/>
              <w:jc w:val="left"/>
            </w:pPr>
            <w:r>
              <w:rPr>
                <w:rFonts w:ascii="仿宋_GB2312" w:hAnsi="仿宋_GB2312" w:eastAsia="仿宋_GB2312" w:cs="仿宋_GB2312"/>
              </w:rPr>
              <w:t>1.2 采购目标</w:t>
            </w:r>
          </w:p>
          <w:p w14:paraId="28F8E5E2">
            <w:pPr>
              <w:pStyle w:val="4"/>
              <w:jc w:val="left"/>
            </w:pPr>
            <w:r>
              <w:rPr>
                <w:rFonts w:ascii="仿宋_GB2312" w:hAnsi="仿宋_GB2312" w:eastAsia="仿宋_GB2312" w:cs="仿宋_GB2312"/>
              </w:rPr>
              <w:t>(1)国土变更调查部分： 完成市级核查、数据库更新与汇总分析，确保成果通过省级、国家级核查。</w:t>
            </w:r>
          </w:p>
          <w:p w14:paraId="51D623A5">
            <w:pPr>
              <w:pStyle w:val="4"/>
              <w:jc w:val="left"/>
            </w:pPr>
            <w:r>
              <w:rPr>
                <w:rFonts w:ascii="仿宋_GB2312" w:hAnsi="仿宋_GB2312" w:eastAsia="仿宋_GB2312" w:cs="仿宋_GB2312"/>
              </w:rPr>
              <w:t>(2)水资源调查部分： 完成指定河流、坑塘的水下地形测量及周边陆域无人机机载激光雷达测量，生成水陆一体DEM并与国家现有DEM接边，建立水下地形测量成果数据库。</w:t>
            </w:r>
          </w:p>
        </w:tc>
      </w:tr>
      <w:tr w14:paraId="785685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4ED1FD8">
            <w:pPr>
              <w:pStyle w:val="4"/>
              <w:jc w:val="left"/>
            </w:pPr>
            <w:r>
              <w:rPr>
                <w:rFonts w:ascii="仿宋_GB2312" w:hAnsi="仿宋_GB2312" w:eastAsia="仿宋_GB2312" w:cs="仿宋_GB2312"/>
              </w:rPr>
              <w:t>2</w:t>
            </w:r>
          </w:p>
        </w:tc>
        <w:tc>
          <w:tcPr>
            <w:tcW w:w="2769" w:type="dxa"/>
          </w:tcPr>
          <w:p w14:paraId="21A952DD"/>
        </w:tc>
        <w:tc>
          <w:tcPr>
            <w:tcW w:w="2769" w:type="dxa"/>
          </w:tcPr>
          <w:p w14:paraId="2C0D5122">
            <w:pPr>
              <w:pStyle w:val="4"/>
              <w:jc w:val="left"/>
            </w:pPr>
            <w:r>
              <w:rPr>
                <w:rFonts w:ascii="仿宋_GB2312" w:hAnsi="仿宋_GB2312" w:eastAsia="仿宋_GB2312" w:cs="仿宋_GB2312"/>
              </w:rPr>
              <w:t>二、技术需求</w:t>
            </w:r>
          </w:p>
          <w:p w14:paraId="30499BF5">
            <w:pPr>
              <w:pStyle w:val="4"/>
              <w:jc w:val="left"/>
            </w:pPr>
            <w:r>
              <w:rPr>
                <w:rFonts w:ascii="仿宋_GB2312" w:hAnsi="仿宋_GB2312" w:eastAsia="仿宋_GB2312" w:cs="仿宋_GB2312"/>
              </w:rPr>
              <w:t>2.1 国土变更调查与市级汇总</w:t>
            </w:r>
          </w:p>
          <w:p w14:paraId="1E50DC57">
            <w:pPr>
              <w:pStyle w:val="4"/>
              <w:jc w:val="left"/>
            </w:pPr>
            <w:r>
              <w:rPr>
                <w:rFonts w:ascii="仿宋_GB2312" w:hAnsi="仿宋_GB2312" w:eastAsia="仿宋_GB2312" w:cs="仿宋_GB2312"/>
              </w:rPr>
              <w:t>工作内容： 包含但不限于人员培训、数据准备、日常及年度变更图斑外业核查（含季度监测图斑及自然资源管理项目涉及图斑）、市级核查（内业全面检查+外业抽查）、数据库质检与更新、市级汇总分析及成果整理。</w:t>
            </w:r>
          </w:p>
          <w:p w14:paraId="08553696">
            <w:pPr>
              <w:pStyle w:val="4"/>
              <w:jc w:val="left"/>
            </w:pPr>
            <w:r>
              <w:rPr>
                <w:rFonts w:ascii="仿宋_GB2312" w:hAnsi="仿宋_GB2312" w:eastAsia="仿宋_GB2312" w:cs="仿宋_GB2312"/>
              </w:rPr>
              <w:t>质量要求： 成果须符合《自然资源部办公厅关于开展2025年度全国国土变更调查工作及森林草原湿地荒漠化调查监测工作的通知》（自然资办发〔2025〕33号）及陕西省厅相关实施细则。数据库成果须通过省级核查与国家级复核。</w:t>
            </w:r>
          </w:p>
          <w:p w14:paraId="02918FFF">
            <w:pPr>
              <w:pStyle w:val="4"/>
              <w:jc w:val="left"/>
            </w:pPr>
            <w:r>
              <w:rPr>
                <w:rFonts w:ascii="仿宋_GB2312" w:hAnsi="仿宋_GB2312" w:eastAsia="仿宋_GB2312" w:cs="仿宋_GB2312"/>
              </w:rPr>
              <w:t>人员配置： 投标人须承诺投入本项目的项目负责人及核心技术团队具备测绘或土地管理相关专业背景，且具备承担同类国土调查项目的经验。</w:t>
            </w:r>
          </w:p>
          <w:p w14:paraId="38F54BEA">
            <w:pPr>
              <w:pStyle w:val="4"/>
              <w:jc w:val="left"/>
            </w:pPr>
            <w:r>
              <w:rPr>
                <w:rFonts w:ascii="仿宋_GB2312" w:hAnsi="仿宋_GB2312" w:eastAsia="仿宋_GB2312" w:cs="仿宋_GB2312"/>
              </w:rPr>
              <w:t>2.2 水资源水下地形测量</w:t>
            </w:r>
          </w:p>
          <w:p w14:paraId="625A6682">
            <w:pPr>
              <w:pStyle w:val="4"/>
              <w:jc w:val="left"/>
            </w:pPr>
            <w:r>
              <w:rPr>
                <w:rFonts w:ascii="仿宋_GB2312" w:hAnsi="仿宋_GB2312" w:eastAsia="仿宋_GB2312" w:cs="仿宋_GB2312"/>
              </w:rPr>
              <w:t>(1)测量范围： 以实景三维中国数据库数字高程模型水域空白区域为施测范围，具体河流、坑塘清单由采购人在合同签订后提供。</w:t>
            </w:r>
          </w:p>
          <w:p w14:paraId="33745F3E">
            <w:pPr>
              <w:pStyle w:val="4"/>
              <w:jc w:val="left"/>
            </w:pPr>
            <w:r>
              <w:rPr>
                <w:rFonts w:ascii="仿宋_GB2312" w:hAnsi="仿宋_GB2312" w:eastAsia="仿宋_GB2312" w:cs="仿宋_GB2312"/>
              </w:rPr>
              <w:t>(2)技术标准：</w:t>
            </w:r>
          </w:p>
          <w:p w14:paraId="7C30A29F">
            <w:pPr>
              <w:pStyle w:val="4"/>
              <w:jc w:val="left"/>
            </w:pPr>
            <w:r>
              <w:rPr>
                <w:rFonts w:ascii="仿宋_GB2312" w:hAnsi="仿宋_GB2312" w:eastAsia="仿宋_GB2312" w:cs="仿宋_GB2312"/>
              </w:rPr>
              <w:t>①　坐标与高程系统： 平面采用2000国家大地坐标系（CGCS2000），高程采用1985国家高程基准。</w:t>
            </w:r>
          </w:p>
          <w:p w14:paraId="56756001">
            <w:pPr>
              <w:pStyle w:val="4"/>
              <w:jc w:val="left"/>
            </w:pPr>
            <w:r>
              <w:rPr>
                <w:rFonts w:ascii="仿宋_GB2312" w:hAnsi="仿宋_GB2312" w:eastAsia="仿宋_GB2312" w:cs="仿宋_GB2312"/>
              </w:rPr>
              <w:t>②　水下地形测量： 须采用无人船单波束、测深杆等水深测量适用技术。高程中误差优于±2.5m，复杂困难区域可放宽至2倍（参照陕西省同类项目通行标准；原需求文件未指定量化指标，最终精度以甲方确认的技术设计书为准）。</w:t>
            </w:r>
          </w:p>
          <w:p w14:paraId="60D666A3">
            <w:pPr>
              <w:pStyle w:val="4"/>
              <w:jc w:val="left"/>
            </w:pPr>
            <w:r>
              <w:rPr>
                <w:rFonts w:ascii="仿宋_GB2312" w:hAnsi="仿宋_GB2312" w:eastAsia="仿宋_GB2312" w:cs="仿宋_GB2312"/>
              </w:rPr>
              <w:t>③　陆域激光雷达测量： 对待测水域周边区域开展无人机机载激光雷达测量，点云扫描点间距优于2米。</w:t>
            </w:r>
          </w:p>
          <w:p w14:paraId="38DDF305">
            <w:pPr>
              <w:pStyle w:val="4"/>
              <w:jc w:val="left"/>
            </w:pPr>
            <w:r>
              <w:rPr>
                <w:rFonts w:ascii="仿宋_GB2312" w:hAnsi="仿宋_GB2312" w:eastAsia="仿宋_GB2312" w:cs="仿宋_GB2312"/>
              </w:rPr>
              <w:t>④　DEM生产与接边： 生成水陆一体数字高程模型，格网间距不大于10米（同上，以甲方确认的技术设计书为准），必须与国家现有DEM无缝接边，接边误差不得超限。</w:t>
            </w:r>
          </w:p>
          <w:p w14:paraId="1CD71BF4">
            <w:pPr>
              <w:pStyle w:val="4"/>
              <w:jc w:val="left"/>
            </w:pPr>
            <w:r>
              <w:rPr>
                <w:rFonts w:ascii="仿宋_GB2312" w:hAnsi="仿宋_GB2312" w:eastAsia="仿宋_GB2312" w:cs="仿宋_GB2312"/>
              </w:rPr>
              <w:t>(3)数据库建设： 建立水下地形测量成果数据库，数据格式须兼容采购人现有自然资源管理平台（如ArcGIS Geodatabase或通用Shapefile/IMG格式）。</w:t>
            </w:r>
          </w:p>
        </w:tc>
      </w:tr>
      <w:tr w14:paraId="0B3CCA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CBC312">
            <w:pPr>
              <w:pStyle w:val="4"/>
              <w:jc w:val="left"/>
            </w:pPr>
            <w:r>
              <w:rPr>
                <w:rFonts w:ascii="仿宋_GB2312" w:hAnsi="仿宋_GB2312" w:eastAsia="仿宋_GB2312" w:cs="仿宋_GB2312"/>
              </w:rPr>
              <w:t>3</w:t>
            </w:r>
          </w:p>
        </w:tc>
        <w:tc>
          <w:tcPr>
            <w:tcW w:w="2769" w:type="dxa"/>
          </w:tcPr>
          <w:p w14:paraId="00275D02"/>
        </w:tc>
        <w:tc>
          <w:tcPr>
            <w:tcW w:w="2769" w:type="dxa"/>
          </w:tcPr>
          <w:p w14:paraId="2BF0270D">
            <w:pPr>
              <w:pStyle w:val="4"/>
              <w:jc w:val="left"/>
            </w:pPr>
            <w:r>
              <w:rPr>
                <w:rFonts w:ascii="仿宋_GB2312" w:hAnsi="仿宋_GB2312" w:eastAsia="仿宋_GB2312" w:cs="仿宋_GB2312"/>
              </w:rPr>
              <w:t>三、交付成果清单</w:t>
            </w:r>
          </w:p>
          <w:p w14:paraId="56E1AF18">
            <w:pPr>
              <w:pStyle w:val="4"/>
              <w:jc w:val="left"/>
            </w:pPr>
            <w:r>
              <w:rPr>
                <w:rFonts w:ascii="仿宋_GB2312" w:hAnsi="仿宋_GB2312" w:eastAsia="仿宋_GB2312" w:cs="仿宋_GB2312"/>
              </w:rPr>
              <w:t>3.1 国土变更调查与市级汇总成果</w:t>
            </w:r>
          </w:p>
          <w:p w14:paraId="362B6609">
            <w:pPr>
              <w:pStyle w:val="4"/>
              <w:jc w:val="left"/>
            </w:pPr>
            <w:r>
              <w:rPr>
                <w:rFonts w:ascii="仿宋_GB2312" w:hAnsi="仿宋_GB2312" w:eastAsia="仿宋_GB2312" w:cs="仿宋_GB2312"/>
              </w:rPr>
              <w:t>(1)咸阳市2025年度国土变更调查市级核查报告（含核查记录、问题图斑清单、整改台账）。</w:t>
            </w:r>
          </w:p>
          <w:p w14:paraId="53127889">
            <w:pPr>
              <w:pStyle w:val="4"/>
              <w:jc w:val="left"/>
            </w:pPr>
            <w:r>
              <w:rPr>
                <w:rFonts w:ascii="仿宋_GB2312" w:hAnsi="仿宋_GB2312" w:eastAsia="仿宋_GB2312" w:cs="仿宋_GB2312"/>
              </w:rPr>
              <w:t>(2)咸阳市2025年度国土变更调查数据库（更新后的市级年度国土调查数据库，格式须兼容采购人现有平台）。</w:t>
            </w:r>
          </w:p>
          <w:p w14:paraId="79BB2A37">
            <w:pPr>
              <w:pStyle w:val="4"/>
              <w:jc w:val="left"/>
            </w:pPr>
            <w:r>
              <w:rPr>
                <w:rFonts w:ascii="仿宋_GB2312" w:hAnsi="仿宋_GB2312" w:eastAsia="仿宋_GB2312" w:cs="仿宋_GB2312"/>
              </w:rPr>
              <w:t>(3)咸阳市2026年度日常国土变更调查数据库（经国、省、市逐级审核确认后的日常变更调查数据库）。</w:t>
            </w:r>
          </w:p>
          <w:p w14:paraId="1C667869">
            <w:pPr>
              <w:pStyle w:val="4"/>
              <w:jc w:val="left"/>
            </w:pPr>
            <w:r>
              <w:rPr>
                <w:rFonts w:ascii="仿宋_GB2312" w:hAnsi="仿宋_GB2312" w:eastAsia="仿宋_GB2312" w:cs="仿宋_GB2312"/>
              </w:rPr>
              <w:t>(4)市级汇总分析报告（含地类、面积、属性变化情况分析，服务耕地保护、用途管制等管理需求）。</w:t>
            </w:r>
          </w:p>
          <w:p w14:paraId="37828109">
            <w:pPr>
              <w:pStyle w:val="4"/>
              <w:jc w:val="left"/>
            </w:pPr>
            <w:r>
              <w:rPr>
                <w:rFonts w:ascii="仿宋_GB2312" w:hAnsi="仿宋_GB2312" w:eastAsia="仿宋_GB2312" w:cs="仿宋_GB2312"/>
              </w:rPr>
              <w:t>(5)各类图件、图集及说明文档（含变化图斑分布图、汇总统计表等）。</w:t>
            </w:r>
          </w:p>
          <w:p w14:paraId="66260393">
            <w:pPr>
              <w:pStyle w:val="4"/>
              <w:jc w:val="left"/>
            </w:pPr>
            <w:r>
              <w:rPr>
                <w:rFonts w:ascii="仿宋_GB2312" w:hAnsi="仿宋_GB2312" w:eastAsia="仿宋_GB2312" w:cs="仿宋_GB2312"/>
              </w:rPr>
              <w:t>(6)人员培训相关材料（培训方案、课件、签到记录等，对应原费用清单第1项"国土、日常变更人员培训"）。</w:t>
            </w:r>
          </w:p>
          <w:p w14:paraId="549E1248">
            <w:pPr>
              <w:pStyle w:val="4"/>
              <w:jc w:val="left"/>
            </w:pPr>
            <w:r>
              <w:rPr>
                <w:rFonts w:ascii="仿宋_GB2312" w:hAnsi="仿宋_GB2312" w:eastAsia="仿宋_GB2312" w:cs="仿宋_GB2312"/>
              </w:rPr>
              <w:t>3.2 水资源调查成果</w:t>
            </w:r>
          </w:p>
          <w:p w14:paraId="14FBED4E">
            <w:pPr>
              <w:pStyle w:val="4"/>
              <w:jc w:val="left"/>
            </w:pPr>
            <w:r>
              <w:rPr>
                <w:rFonts w:ascii="仿宋_GB2312" w:hAnsi="仿宋_GB2312" w:eastAsia="仿宋_GB2312" w:cs="仿宋_GB2312"/>
              </w:rPr>
              <w:t>(1)水下地形测量技术设计书（施测前提交采购人确认）。</w:t>
            </w:r>
          </w:p>
          <w:p w14:paraId="2E5070F8">
            <w:pPr>
              <w:pStyle w:val="4"/>
              <w:jc w:val="left"/>
            </w:pPr>
            <w:r>
              <w:rPr>
                <w:rFonts w:ascii="仿宋_GB2312" w:hAnsi="仿宋_GB2312" w:eastAsia="仿宋_GB2312" w:cs="仿宋_GB2312"/>
              </w:rPr>
              <w:t>(2)控制测量成果（控制点坐标、高程成果表及点之记）。</w:t>
            </w:r>
          </w:p>
          <w:p w14:paraId="2CD4CC6B">
            <w:pPr>
              <w:pStyle w:val="4"/>
              <w:jc w:val="left"/>
            </w:pPr>
            <w:r>
              <w:rPr>
                <w:rFonts w:ascii="仿宋_GB2312" w:hAnsi="仿宋_GB2312" w:eastAsia="仿宋_GB2312" w:cs="仿宋_GB2312"/>
              </w:rPr>
              <w:t>(3)河流、坑塘水下地形测量原始数据及成果数据（含无人船单波束/测深杆采集数据）。</w:t>
            </w:r>
          </w:p>
          <w:p w14:paraId="4683DB97">
            <w:pPr>
              <w:pStyle w:val="4"/>
              <w:jc w:val="left"/>
            </w:pPr>
            <w:r>
              <w:rPr>
                <w:rFonts w:ascii="仿宋_GB2312" w:hAnsi="仿宋_GB2312" w:eastAsia="仿宋_GB2312" w:cs="仿宋_GB2312"/>
              </w:rPr>
              <w:t>(4)陆域无人机机载激光雷达测量成果（点云数据）。</w:t>
            </w:r>
          </w:p>
          <w:p w14:paraId="76CC7DDD">
            <w:pPr>
              <w:pStyle w:val="4"/>
              <w:jc w:val="left"/>
            </w:pPr>
            <w:r>
              <w:rPr>
                <w:rFonts w:ascii="仿宋_GB2312" w:hAnsi="仿宋_GB2312" w:eastAsia="仿宋_GB2312" w:cs="仿宋_GB2312"/>
              </w:rPr>
              <w:t>(5)水陆一体数字高程模型（DEM）（须与国家现有DEM接边，附接边精度检查表）。</w:t>
            </w:r>
          </w:p>
          <w:p w14:paraId="7B4120CA">
            <w:pPr>
              <w:pStyle w:val="4"/>
              <w:jc w:val="left"/>
            </w:pPr>
            <w:r>
              <w:rPr>
                <w:rFonts w:ascii="仿宋_GB2312" w:hAnsi="仿宋_GB2312" w:eastAsia="仿宋_GB2312" w:cs="仿宋_GB2312"/>
              </w:rPr>
              <w:t>(6)水下地形测量成果数据库（格式兼容采购人平台）。</w:t>
            </w:r>
          </w:p>
          <w:p w14:paraId="00DF57BA">
            <w:pPr>
              <w:pStyle w:val="4"/>
              <w:jc w:val="left"/>
            </w:pPr>
            <w:r>
              <w:rPr>
                <w:rFonts w:ascii="仿宋_GB2312" w:hAnsi="仿宋_GB2312" w:eastAsia="仿宋_GB2312" w:cs="仿宋_GB2312"/>
              </w:rPr>
              <w:t>(7)技术总结报告（含精度统计、质量检查记录、结论）。</w:t>
            </w:r>
          </w:p>
          <w:p w14:paraId="2C039823">
            <w:pPr>
              <w:pStyle w:val="4"/>
              <w:jc w:val="left"/>
            </w:pPr>
            <w:r>
              <w:rPr>
                <w:rFonts w:ascii="仿宋_GB2312" w:hAnsi="仿宋_GB2312" w:eastAsia="仿宋_GB2312" w:cs="仿宋_GB2312"/>
              </w:rPr>
              <w:t>3.3 交付方式与验收</w:t>
            </w:r>
          </w:p>
          <w:p w14:paraId="7E5350B3">
            <w:pPr>
              <w:pStyle w:val="4"/>
              <w:jc w:val="left"/>
            </w:pPr>
            <w:r>
              <w:rPr>
                <w:rFonts w:ascii="仿宋_GB2312" w:hAnsi="仿宋_GB2312" w:eastAsia="仿宋_GB2312" w:cs="仿宋_GB2312"/>
              </w:rPr>
              <w:t>电子成果须附数据说明文档（坐标系、高程基准、格式、字段含义），确保采购人可独立读取使用。</w:t>
            </w:r>
          </w:p>
          <w:p w14:paraId="34FBB60A">
            <w:pPr>
              <w:pStyle w:val="4"/>
              <w:jc w:val="left"/>
            </w:pPr>
            <w:r>
              <w:rPr>
                <w:rFonts w:ascii="仿宋_GB2312" w:hAnsi="仿宋_GB2312" w:eastAsia="仿宋_GB2312" w:cs="仿宋_GB2312"/>
              </w:rPr>
              <w:t>交付成果清单将作为履约验收的依据：验收时逐项核对，缺项或格式不符的，按"验收不合格"处理，供应商须在15个工作日内补正。</w:t>
            </w:r>
          </w:p>
        </w:tc>
      </w:tr>
      <w:tr w14:paraId="62D11E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24D85A">
            <w:pPr>
              <w:pStyle w:val="4"/>
              <w:jc w:val="left"/>
            </w:pPr>
            <w:r>
              <w:rPr>
                <w:rFonts w:ascii="仿宋_GB2312" w:hAnsi="仿宋_GB2312" w:eastAsia="仿宋_GB2312" w:cs="仿宋_GB2312"/>
              </w:rPr>
              <w:t>4</w:t>
            </w:r>
          </w:p>
        </w:tc>
        <w:tc>
          <w:tcPr>
            <w:tcW w:w="2769" w:type="dxa"/>
          </w:tcPr>
          <w:p w14:paraId="3DF592D0"/>
        </w:tc>
        <w:tc>
          <w:tcPr>
            <w:tcW w:w="2769" w:type="dxa"/>
          </w:tcPr>
          <w:p w14:paraId="727C145F">
            <w:pPr>
              <w:pStyle w:val="4"/>
              <w:jc w:val="left"/>
            </w:pPr>
            <w:r>
              <w:rPr>
                <w:rFonts w:ascii="仿宋_GB2312" w:hAnsi="仿宋_GB2312" w:eastAsia="仿宋_GB2312" w:cs="仿宋_GB2312"/>
              </w:rPr>
              <w:t>四、售后服务要求</w:t>
            </w:r>
          </w:p>
          <w:p w14:paraId="3666AE8D">
            <w:pPr>
              <w:pStyle w:val="4"/>
              <w:jc w:val="left"/>
            </w:pPr>
            <w:r>
              <w:rPr>
                <w:rFonts w:ascii="仿宋_GB2312" w:hAnsi="仿宋_GB2312" w:eastAsia="仿宋_GB2312" w:cs="仿宋_GB2312"/>
              </w:rPr>
              <w:t xml:space="preserve">应永久恪守因签署或履行委托服务合同而获知的对方秘密信息及其它秘密资料，特别是国家安全秘密，如将获知的对方秘密信息泄露给第三方，应赔偿因泄密而给对方造成的一切损失并承担相应的法律责任。（包括刑事责任） </w:t>
            </w:r>
          </w:p>
        </w:tc>
      </w:tr>
    </w:tbl>
    <w:p w14:paraId="054AD9D6">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855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2026-10-29T09:58:56Z</dcterms:created>
  <dc:creator>PC</dc:creator>
  <cp:lastModifiedBy>白日梦</cp:lastModifiedBy>
  <dcterms:modified xsi:type="dcterms:W3CDTF">2026-10-29T09:59:17Z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eyJoZGlkIjoiZjFmMzhjMzA1NWViZWRkYmZhMTA3NTM5M2U0Y2ViYWMiLCJ1c2VySWQiOiIzMTI3MDEwNzEifQ==</vt:lpwstr>
  </property>
  <property fmtid="{D5CDD505-2E9C-101B-9397-08002B2CF9AE}" pid="4" name="ICV">
    <vt:lpwstr>3011A95B928347C2AEB35EEFD971F36D_12</vt:lpwstr>
  </property>
</Properties>
</file>