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5CE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482" w:firstLineChars="200"/>
        <w:jc w:val="center"/>
        <w:textAlignment w:val="auto"/>
        <w:rPr>
          <w:rFonts w:hint="eastAsia" w:ascii="宋体" w:hAnsi="宋体" w:eastAsia="宋体" w:cs="宋体"/>
          <w:b/>
          <w:bCs/>
          <w:i w:val="0"/>
          <w:iCs w:val="0"/>
          <w:caps w:val="0"/>
          <w:color w:val="auto"/>
          <w:spacing w:val="0"/>
          <w:kern w:val="0"/>
          <w:sz w:val="24"/>
          <w:szCs w:val="24"/>
          <w:shd w:val="clear" w:fill="FFFFFF"/>
          <w:lang w:val="en-US" w:eastAsia="zh-CN" w:bidi="ar"/>
        </w:rPr>
      </w:pPr>
      <w:r>
        <w:rPr>
          <w:rFonts w:hint="eastAsia" w:ascii="宋体" w:hAnsi="宋体" w:eastAsia="宋体" w:cs="宋体"/>
          <w:b/>
          <w:bCs/>
          <w:i w:val="0"/>
          <w:iCs w:val="0"/>
          <w:caps w:val="0"/>
          <w:color w:val="auto"/>
          <w:spacing w:val="0"/>
          <w:kern w:val="0"/>
          <w:sz w:val="24"/>
          <w:szCs w:val="24"/>
          <w:shd w:val="clear" w:fill="FFFFFF"/>
          <w:lang w:val="en-US" w:eastAsia="zh-CN" w:bidi="ar"/>
        </w:rPr>
        <w:t>西安中国画院新中国五大画派巡回交流展览（广州站）服务项目</w:t>
      </w:r>
    </w:p>
    <w:p w14:paraId="43D8A70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482" w:firstLineChars="200"/>
        <w:jc w:val="center"/>
        <w:textAlignment w:val="auto"/>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竞争性磋商公告</w:t>
      </w:r>
    </w:p>
    <w:p w14:paraId="198FBE5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6" w:beforeAutospacing="0" w:after="76"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项目概况</w:t>
      </w:r>
    </w:p>
    <w:p w14:paraId="16FDB7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6" w:beforeAutospacing="0" w:after="76"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新中国五大画派巡回交流展览（广州站）服务项目的潜在供应商应在陕西省政府采购综合管理平台项目电子化交易系统（以下简称“项目电子化交易系统”）获取采购文件，并于 2026年06月29日 09时30分 （北京时间）前提交响应文件。</w:t>
      </w:r>
    </w:p>
    <w:p w14:paraId="519500F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5"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一、项目基本情况</w:t>
      </w:r>
    </w:p>
    <w:p w14:paraId="1F1B7E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项目编号：ZCBN-西安市-2026-00869</w:t>
      </w:r>
    </w:p>
    <w:p w14:paraId="6F7394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项目名称：新中国五大画派巡回交流展览（广州站）服务项目</w:t>
      </w:r>
    </w:p>
    <w:p w14:paraId="36D39B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bookmarkStart w:id="0" w:name="_GoBack"/>
      <w:bookmarkEnd w:id="0"/>
    </w:p>
    <w:p w14:paraId="29CFB8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预算金额：1,100,000.00元</w:t>
      </w:r>
    </w:p>
    <w:p w14:paraId="3518E0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采购需求：详见采购需求附件</w:t>
      </w:r>
    </w:p>
    <w:p w14:paraId="00F48E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w:t>
      </w:r>
    </w:p>
    <w:p w14:paraId="49FD7A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采购包1：签订合同之日起至整个项目结束。</w:t>
      </w:r>
    </w:p>
    <w:p w14:paraId="51E286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本项目是否接受联合体投标：</w:t>
      </w:r>
    </w:p>
    <w:p w14:paraId="2FFE4C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采购包1：不接受联合体投标</w:t>
      </w:r>
    </w:p>
    <w:p w14:paraId="4A7FA2C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5"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二、申请人的资格要求：</w:t>
      </w:r>
    </w:p>
    <w:p w14:paraId="1B5F84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FC446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36E48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合同包1(五大画派巡回交流展览)落实政府采购政策需满足的资格要求如下:</w:t>
      </w:r>
    </w:p>
    <w:p w14:paraId="4ED777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24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参与的供应商（联合体）服务全部由符合政策要求的小微企业承接。</w:t>
      </w:r>
    </w:p>
    <w:p w14:paraId="145127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64BAF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合同包1(五大画派巡回交流展览)特定资格要求如下:</w:t>
      </w:r>
    </w:p>
    <w:p w14:paraId="36D003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(1)具有独立承担民事责任能力的法人、其他组织或自然人，并出具合法有效的营业执照等国家规定的相关证明，自然人参与的提供其身份证明（提供复印件加盖公章）；</w:t>
      </w:r>
    </w:p>
    <w:p w14:paraId="241926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供应商应授权合法的人员参加采购活动全过程，其中法定代表人直接参加磋商的，须出具法定代表人身份证扫描件，并与营业执照上信息一致；法定代表人授权代表参加磋商的，须出具法定代表人授权书及被授权代表身份证扫描件；</w:t>
      </w:r>
    </w:p>
    <w:p w14:paraId="6ACDC55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(3)提供2025年度经审计的财务报告（成立时间至提交磋商响应文件递交截止时间不足一年的可提供成立后任意时段的资产负债表），或其基本存款账户开户银行出具的资信证明（附开户许可证或开户备案证明）；</w:t>
      </w:r>
    </w:p>
    <w:p w14:paraId="53D69C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(4)提供磋商前一年内已缴纳的至少一个月的纳税证明或完税证明（任意税种），依法免税的单位应提供相关证明材料；</w:t>
      </w:r>
    </w:p>
    <w:p w14:paraId="795145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(5)社会保障资金缴纳证明：提供磋商前一年内已缴存的至少一个月的社会保障资金缴存单据或社保机构开具的社会保险参保缴费情况证明，依法不需要缴纳社会保障资金的单位应提供相关证明材料；</w:t>
      </w:r>
    </w:p>
    <w:p w14:paraId="1BBD68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(6)参加政府采购活动近三年内，在经营活动中没有重大违法记录书面声明（加盖公章）；</w:t>
      </w:r>
    </w:p>
    <w:p w14:paraId="086D2F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(7)供应商不得为“信用中国”网站（www.creditchina.gov.cn）中列入严重失信主体名单，供应商不得为“中国执行信息公开网”（http://zxgk.court.gov.cn/shixin/） 中列入严重失信被执行人，供应商不得为政府采购严重违法失信行为记录名单的供应商，（提供查询结果网页截图，代理机构工作人员在现场复核）；</w:t>
      </w:r>
    </w:p>
    <w:p w14:paraId="368AB0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(8)单位负责人为同一人或者存在直接控股、管理关系的供应商，不得参加同一合同下的政府采购活动。</w:t>
      </w:r>
    </w:p>
    <w:p w14:paraId="6A4140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5"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三、获取采购文件</w:t>
      </w:r>
    </w:p>
    <w:p w14:paraId="0F536C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2026年06月17日 至 2026年06月24日 ，每天上午 00:00:00 至 12:00:00 ，下午 12:00:00 至 23:59:59 （北京时间）</w:t>
      </w:r>
    </w:p>
    <w:p w14:paraId="2213F6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途径：项目电子化交易系统（交易执行-选择项目所属区划-应标-项目投标-未获取页面）选择本项目报名参与并获取采购文件</w:t>
      </w:r>
    </w:p>
    <w:p w14:paraId="59B9B95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方式：投标人有意参加本项目的，应在陕西省政府采购网（www.ccgp-shaanxi.gov.cn）登录项目电子化交易系统申请获取采购文件</w:t>
      </w:r>
    </w:p>
    <w:p w14:paraId="5BA534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0元</w:t>
      </w:r>
    </w:p>
    <w:p w14:paraId="644C33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5"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四、响应文件提交</w:t>
      </w:r>
    </w:p>
    <w:p w14:paraId="40A0CA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 2026年06月29日 09时30分00秒 （北京时间）</w:t>
      </w:r>
    </w:p>
    <w:p w14:paraId="030E02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地点：项目电子化交易系统（交易执行-选择项目所属区划-应标-项目投标-已获取-投标（响应）管理）上传投标（响应）文件</w:t>
      </w:r>
    </w:p>
    <w:p w14:paraId="39153D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5"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五、开启</w:t>
      </w:r>
    </w:p>
    <w:p w14:paraId="16C962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2026年06月29日 09时30分00秒 （北京时间）</w:t>
      </w:r>
    </w:p>
    <w:p w14:paraId="42247F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地点：项目电子化交易系统（交易执行-选择项目所属区划-开标-供应商开标大厅）参与线上开标</w:t>
      </w:r>
    </w:p>
    <w:p w14:paraId="6E0138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5"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六、公告期限</w:t>
      </w:r>
    </w:p>
    <w:p w14:paraId="5F1CB0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14E62E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5"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七、其他补充事宜</w:t>
      </w:r>
    </w:p>
    <w:p w14:paraId="5C7C10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3AD505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2931E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240ED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980EC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66766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（三）供应商应当自行准备电子化采购所需的计算机终端、软硬件及网络环境，承担因准备不足产生的不利后果。</w:t>
      </w:r>
    </w:p>
    <w:p w14:paraId="753B35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（四）开标/开启前30分钟内，供应商需登录项目电子化交易系统-“供应商开标大厅”-进入开标选择对应项目包组操作签到。</w:t>
      </w:r>
    </w:p>
    <w:p w14:paraId="0EF2CF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（五）政府采购平台技术支持：</w:t>
      </w:r>
    </w:p>
    <w:p w14:paraId="5D106C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在线客服：通过陕西省政府采购网-在线客服进行咨询</w:t>
      </w:r>
    </w:p>
    <w:p w14:paraId="56D0AE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技术服务电话：029-96702</w:t>
      </w:r>
    </w:p>
    <w:p w14:paraId="7C95D4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CA及签章服务：通过陕西省政府采购网-办事指南进行查询</w:t>
      </w:r>
    </w:p>
    <w:p w14:paraId="5C6E4C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（六）需要落实的政府采购政策：</w:t>
      </w:r>
    </w:p>
    <w:p w14:paraId="129EFC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50DCE8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p>
    <w:p w14:paraId="4053B9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3、《财政部民政部中国残疾人联合会关于促进残疾人就业政府采购政策的通知》（财库〔2017〕141号）；</w:t>
      </w:r>
    </w:p>
    <w:p w14:paraId="734E83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4、《财政部国家发展改革委关于印发(节能产品政府采购实施意见)的通知》(财库〔2004〕185号)；</w:t>
      </w:r>
    </w:p>
    <w:p w14:paraId="6C12D6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5、《国务院办公厅关于建立政府强制采购节能产品制度的通知》(国办发〔2007〕51号)；</w:t>
      </w:r>
    </w:p>
    <w:p w14:paraId="644EF1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6、《财政部环保总局关于环境标志产品政府采购实施的意见》(财库〔2006〕90号)；</w:t>
      </w:r>
    </w:p>
    <w:p w14:paraId="359448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7、《财政部发展改革委生态环境部市场监管总局关于调整优化节能产品、环境标志产品政府采购执行机制的通知》（财库〔2019〕9号）；</w:t>
      </w:r>
    </w:p>
    <w:p w14:paraId="17014C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8、《关于印发环境标志产品政府采购品目清单的通知》（财库〔2019〕18号）；</w:t>
      </w:r>
    </w:p>
    <w:p w14:paraId="27F251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9、《关于印发节能产品政府采购品目清单的通知》（财库〔2019〕19号）；</w:t>
      </w:r>
    </w:p>
    <w:p w14:paraId="64CCEE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10、《财政部、农业农村部、国家乡村振兴局关于运用政府采购政策支持乡村产业振兴的通知》（财库〔2021〕19号）；</w:t>
      </w:r>
    </w:p>
    <w:p w14:paraId="0B5622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11、《陕西省财政厅关于印发陕西省中小企业政府采购信用融资办法》（陕财办采〔2018〕23号）；</w:t>
      </w:r>
    </w:p>
    <w:p w14:paraId="5ECC17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12、《陕西省财政厅关于加快推进我省中小企业政府采购信用融资工作的通知》（陕财办采〔2020〕15号）；</w:t>
      </w:r>
    </w:p>
    <w:p w14:paraId="4F15B5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13、《关于政府采购支持绿色建材促进建筑品质提升试点工作的通知》（财库〔2020〕31号）；</w:t>
      </w:r>
    </w:p>
    <w:p w14:paraId="6FA4C56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14、《财政部办公厅关于组织地方预算单位做好2023年政府采购脱贫地区农副产品工作的通知》（财办库〔2023〕45号）；</w:t>
      </w:r>
    </w:p>
    <w:p w14:paraId="0D6513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15、《财政部住房城乡建设部工业和信息化部关于扩大政府采购绿色建材促进建筑品质提升政策实施范围的通知》（财库〔2022〕35号）；</w:t>
      </w:r>
    </w:p>
    <w:p w14:paraId="7C2910B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16、其他需要落实的政府采购政策。</w:t>
      </w:r>
    </w:p>
    <w:p w14:paraId="4D1B76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75" w:beforeAutospacing="0" w:after="0" w:afterAutospacing="0" w:line="360" w:lineRule="auto"/>
        <w:ind w:left="0" w:right="0" w:firstLine="482" w:firstLineChars="200"/>
        <w:jc w:val="left"/>
        <w:textAlignment w:val="auto"/>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15A7A0B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93AC6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名称：西安中国画院</w:t>
      </w:r>
    </w:p>
    <w:p w14:paraId="4A6630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地址：含光路南段14号</w:t>
      </w:r>
    </w:p>
    <w:p w14:paraId="0C9D5B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 029-88219613</w:t>
      </w:r>
    </w:p>
    <w:p w14:paraId="0EE6DC9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3DC1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名称：陕西嘉悦晟禾工程咨询有限公司</w:t>
      </w:r>
    </w:p>
    <w:p w14:paraId="2B0775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地址：陕西省咸阳市高新技术产业开发区咸平路与香柏路交叉口西南角高新公园里16号楼二单元 502 室</w:t>
      </w:r>
    </w:p>
    <w:p w14:paraId="2DC2A1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联系方式：15389350626</w:t>
      </w:r>
    </w:p>
    <w:p w14:paraId="6787728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5D910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项目联系人：高金丹</w:t>
      </w:r>
    </w:p>
    <w:p w14:paraId="1B9C05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电话：15389350626</w:t>
      </w:r>
    </w:p>
    <w:p w14:paraId="28677F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陕西嘉悦晟禾工程咨询有限公司</w:t>
      </w:r>
    </w:p>
    <w:p w14:paraId="2554AE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rPr>
          <w:rFonts w:hint="eastAsia" w:ascii="宋体" w:hAnsi="宋体" w:eastAsia="宋体" w:cs="宋体"/>
          <w:i w:val="0"/>
          <w:iCs w:val="0"/>
          <w:caps w:val="0"/>
          <w:color w:val="auto"/>
          <w:spacing w:val="0"/>
          <w:sz w:val="24"/>
          <w:szCs w:val="24"/>
          <w:shd w:val="clear" w:fill="FFFFFF"/>
        </w:rPr>
      </w:pPr>
    </w:p>
    <w:p w14:paraId="26BD53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right"/>
        <w:textAlignment w:val="auto"/>
        <w:rPr>
          <w:rFonts w:hint="eastAsia" w:ascii="宋体" w:hAnsi="宋体" w:eastAsia="宋体" w:cs="宋体"/>
          <w:i w:val="0"/>
          <w:iCs w:val="0"/>
          <w:caps w:val="0"/>
          <w:color w:val="auto"/>
          <w:spacing w:val="0"/>
          <w:sz w:val="24"/>
          <w:szCs w:val="24"/>
          <w:shd w:val="clear" w:fill="FFFFFF"/>
        </w:rPr>
      </w:pPr>
    </w:p>
    <w:p w14:paraId="3CE0368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44D38901">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附采购项目清单：</w:t>
      </w:r>
    </w:p>
    <w:p w14:paraId="58B7018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2235"/>
        <w:gridCol w:w="4769"/>
      </w:tblGrid>
      <w:tr w14:paraId="07689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Align w:val="center"/>
          </w:tcPr>
          <w:p w14:paraId="57FC34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2235" w:type="dxa"/>
            <w:vAlign w:val="center"/>
          </w:tcPr>
          <w:p w14:paraId="32333E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类别</w:t>
            </w:r>
          </w:p>
        </w:tc>
        <w:tc>
          <w:tcPr>
            <w:tcW w:w="4769" w:type="dxa"/>
            <w:vAlign w:val="center"/>
          </w:tcPr>
          <w:p w14:paraId="360CC6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单项</w:t>
            </w:r>
          </w:p>
        </w:tc>
      </w:tr>
      <w:tr w14:paraId="13C3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restart"/>
            <w:vAlign w:val="center"/>
          </w:tcPr>
          <w:p w14:paraId="2ADD13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235" w:type="dxa"/>
            <w:vMerge w:val="restart"/>
            <w:vAlign w:val="center"/>
          </w:tcPr>
          <w:p w14:paraId="11D1D1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场地租赁</w:t>
            </w:r>
          </w:p>
        </w:tc>
        <w:tc>
          <w:tcPr>
            <w:tcW w:w="4769" w:type="dxa"/>
            <w:vAlign w:val="center"/>
          </w:tcPr>
          <w:p w14:paraId="106F08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展场安保、水电、物业</w:t>
            </w:r>
          </w:p>
        </w:tc>
      </w:tr>
      <w:tr w14:paraId="5C49D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continue"/>
            <w:vAlign w:val="center"/>
          </w:tcPr>
          <w:p w14:paraId="55D201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p>
        </w:tc>
        <w:tc>
          <w:tcPr>
            <w:tcW w:w="2235" w:type="dxa"/>
            <w:vMerge w:val="continue"/>
            <w:vAlign w:val="center"/>
          </w:tcPr>
          <w:p w14:paraId="1537C0A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4769" w:type="dxa"/>
            <w:vAlign w:val="center"/>
          </w:tcPr>
          <w:p w14:paraId="7D77A5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展场涂料喷绘、施工</w:t>
            </w:r>
          </w:p>
        </w:tc>
      </w:tr>
      <w:tr w14:paraId="13BA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restart"/>
            <w:vAlign w:val="center"/>
          </w:tcPr>
          <w:p w14:paraId="6D2D1CA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2235" w:type="dxa"/>
            <w:vMerge w:val="restart"/>
            <w:vAlign w:val="center"/>
          </w:tcPr>
          <w:p w14:paraId="7B581D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展前准备</w:t>
            </w:r>
            <w:r>
              <w:rPr>
                <w:rFonts w:hint="eastAsia" w:ascii="宋体" w:hAnsi="宋体" w:eastAsia="宋体" w:cs="宋体"/>
                <w:sz w:val="24"/>
                <w:szCs w:val="24"/>
                <w:lang w:val="en-US" w:eastAsia="zh-CN"/>
              </w:rPr>
              <w:t>及参加活动</w:t>
            </w:r>
          </w:p>
        </w:tc>
        <w:tc>
          <w:tcPr>
            <w:tcW w:w="4769" w:type="dxa"/>
            <w:vAlign w:val="center"/>
          </w:tcPr>
          <w:p w14:paraId="3DE2D7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展前对接、场地测量</w:t>
            </w:r>
          </w:p>
        </w:tc>
      </w:tr>
      <w:tr w14:paraId="119C3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continue"/>
            <w:vAlign w:val="center"/>
          </w:tcPr>
          <w:p w14:paraId="2D7E91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p>
        </w:tc>
        <w:tc>
          <w:tcPr>
            <w:tcW w:w="2235" w:type="dxa"/>
            <w:vMerge w:val="continue"/>
            <w:vAlign w:val="center"/>
          </w:tcPr>
          <w:p w14:paraId="781E60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4769" w:type="dxa"/>
            <w:vAlign w:val="center"/>
          </w:tcPr>
          <w:p w14:paraId="30FB584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布展</w:t>
            </w:r>
          </w:p>
        </w:tc>
      </w:tr>
      <w:tr w14:paraId="24F4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continue"/>
            <w:vAlign w:val="center"/>
          </w:tcPr>
          <w:p w14:paraId="708704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p>
        </w:tc>
        <w:tc>
          <w:tcPr>
            <w:tcW w:w="2235" w:type="dxa"/>
            <w:vMerge w:val="continue"/>
            <w:vAlign w:val="center"/>
          </w:tcPr>
          <w:p w14:paraId="137D3C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4769" w:type="dxa"/>
            <w:vAlign w:val="center"/>
          </w:tcPr>
          <w:p w14:paraId="590D80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开幕式舞台搭建、音响、灯光租赁</w:t>
            </w:r>
          </w:p>
        </w:tc>
      </w:tr>
      <w:tr w14:paraId="01242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continue"/>
            <w:vAlign w:val="center"/>
          </w:tcPr>
          <w:p w14:paraId="1811DF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p>
        </w:tc>
        <w:tc>
          <w:tcPr>
            <w:tcW w:w="2235" w:type="dxa"/>
            <w:vMerge w:val="continue"/>
            <w:vAlign w:val="center"/>
          </w:tcPr>
          <w:p w14:paraId="38A8B9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4769" w:type="dxa"/>
            <w:vAlign w:val="center"/>
          </w:tcPr>
          <w:p w14:paraId="7A062F8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整体UI设计、喷绘、物料制作</w:t>
            </w:r>
          </w:p>
        </w:tc>
      </w:tr>
      <w:tr w14:paraId="13D1D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continue"/>
            <w:vAlign w:val="center"/>
          </w:tcPr>
          <w:p w14:paraId="430D3B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p>
        </w:tc>
        <w:tc>
          <w:tcPr>
            <w:tcW w:w="2235" w:type="dxa"/>
            <w:vMerge w:val="continue"/>
            <w:vAlign w:val="center"/>
          </w:tcPr>
          <w:p w14:paraId="374C79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4769" w:type="dxa"/>
            <w:vAlign w:val="center"/>
          </w:tcPr>
          <w:p w14:paraId="5C480A6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撤展及包画材料</w:t>
            </w:r>
          </w:p>
        </w:tc>
      </w:tr>
      <w:tr w14:paraId="1396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Align w:val="center"/>
          </w:tcPr>
          <w:p w14:paraId="24EEE8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2235" w:type="dxa"/>
            <w:vAlign w:val="center"/>
          </w:tcPr>
          <w:p w14:paraId="7546E1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交流采风</w:t>
            </w:r>
          </w:p>
        </w:tc>
        <w:tc>
          <w:tcPr>
            <w:tcW w:w="4769" w:type="dxa"/>
            <w:vAlign w:val="center"/>
          </w:tcPr>
          <w:p w14:paraId="0346BF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r>
      <w:tr w14:paraId="715C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restart"/>
            <w:vAlign w:val="center"/>
          </w:tcPr>
          <w:p w14:paraId="741DCD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2235" w:type="dxa"/>
            <w:vMerge w:val="restart"/>
            <w:vAlign w:val="center"/>
          </w:tcPr>
          <w:p w14:paraId="402E9F3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作品装框装裱</w:t>
            </w:r>
          </w:p>
        </w:tc>
        <w:tc>
          <w:tcPr>
            <w:tcW w:w="4769" w:type="dxa"/>
            <w:vAlign w:val="center"/>
          </w:tcPr>
          <w:p w14:paraId="388360B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装裱</w:t>
            </w:r>
            <w:r>
              <w:rPr>
                <w:rFonts w:hint="eastAsia" w:ascii="宋体" w:hAnsi="宋体" w:eastAsia="宋体" w:cs="宋体"/>
                <w:sz w:val="24"/>
                <w:szCs w:val="24"/>
                <w:lang w:val="en-US" w:eastAsia="zh-CN"/>
              </w:rPr>
              <w:t>:</w:t>
            </w:r>
            <w:r>
              <w:rPr>
                <w:rFonts w:hint="eastAsia" w:ascii="宋体" w:hAnsi="宋体" w:eastAsia="宋体" w:cs="宋体"/>
                <w:sz w:val="24"/>
                <w:szCs w:val="24"/>
              </w:rPr>
              <w:t>100幅</w:t>
            </w:r>
          </w:p>
        </w:tc>
      </w:tr>
      <w:tr w14:paraId="3074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continue"/>
            <w:vAlign w:val="center"/>
          </w:tcPr>
          <w:p w14:paraId="1BB4050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p>
        </w:tc>
        <w:tc>
          <w:tcPr>
            <w:tcW w:w="2235" w:type="dxa"/>
            <w:vMerge w:val="continue"/>
            <w:vAlign w:val="center"/>
          </w:tcPr>
          <w:p w14:paraId="46B43D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4769" w:type="dxa"/>
            <w:vAlign w:val="center"/>
          </w:tcPr>
          <w:p w14:paraId="1C9244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装框</w:t>
            </w:r>
            <w:r>
              <w:rPr>
                <w:rFonts w:hint="eastAsia" w:ascii="宋体" w:hAnsi="宋体" w:eastAsia="宋体" w:cs="宋体"/>
                <w:sz w:val="24"/>
                <w:szCs w:val="24"/>
                <w:lang w:val="en-US" w:eastAsia="zh-CN"/>
              </w:rPr>
              <w:t>:</w:t>
            </w:r>
            <w:r>
              <w:rPr>
                <w:rFonts w:hint="eastAsia" w:ascii="宋体" w:hAnsi="宋体" w:eastAsia="宋体" w:cs="宋体"/>
                <w:sz w:val="24"/>
                <w:szCs w:val="24"/>
              </w:rPr>
              <w:t>100幅</w:t>
            </w:r>
          </w:p>
        </w:tc>
      </w:tr>
      <w:tr w14:paraId="56C0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Align w:val="center"/>
          </w:tcPr>
          <w:p w14:paraId="41478A9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2235" w:type="dxa"/>
            <w:vAlign w:val="center"/>
          </w:tcPr>
          <w:p w14:paraId="3AFC25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作品</w:t>
            </w:r>
            <w:r>
              <w:rPr>
                <w:rFonts w:hint="eastAsia" w:ascii="宋体" w:hAnsi="宋体" w:eastAsia="宋体" w:cs="宋体"/>
                <w:sz w:val="24"/>
                <w:szCs w:val="24"/>
                <w:lang w:val="en-US" w:eastAsia="zh-CN"/>
              </w:rPr>
              <w:t>装箱、</w:t>
            </w:r>
            <w:r>
              <w:rPr>
                <w:rFonts w:hint="eastAsia" w:ascii="宋体" w:hAnsi="宋体" w:eastAsia="宋体" w:cs="宋体"/>
                <w:sz w:val="24"/>
                <w:szCs w:val="24"/>
              </w:rPr>
              <w:t>运输及保险</w:t>
            </w:r>
          </w:p>
        </w:tc>
        <w:tc>
          <w:tcPr>
            <w:tcW w:w="4769" w:type="dxa"/>
            <w:vAlign w:val="center"/>
          </w:tcPr>
          <w:p w14:paraId="67AF37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w:t>
            </w:r>
          </w:p>
        </w:tc>
      </w:tr>
      <w:tr w14:paraId="0129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Align w:val="center"/>
          </w:tcPr>
          <w:p w14:paraId="69295F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w:t>
            </w:r>
          </w:p>
        </w:tc>
        <w:tc>
          <w:tcPr>
            <w:tcW w:w="2235" w:type="dxa"/>
            <w:vAlign w:val="center"/>
          </w:tcPr>
          <w:p w14:paraId="0062CE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作品高清照片拍摄</w:t>
            </w:r>
          </w:p>
        </w:tc>
        <w:tc>
          <w:tcPr>
            <w:tcW w:w="4769" w:type="dxa"/>
            <w:vAlign w:val="center"/>
          </w:tcPr>
          <w:p w14:paraId="428D28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100幅</w:t>
            </w:r>
          </w:p>
        </w:tc>
      </w:tr>
      <w:tr w14:paraId="2E2C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restart"/>
            <w:vAlign w:val="center"/>
          </w:tcPr>
          <w:p w14:paraId="06F142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w:t>
            </w:r>
          </w:p>
        </w:tc>
        <w:tc>
          <w:tcPr>
            <w:tcW w:w="2235" w:type="dxa"/>
            <w:vMerge w:val="restart"/>
            <w:vAlign w:val="center"/>
          </w:tcPr>
          <w:p w14:paraId="0816A5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学术</w:t>
            </w:r>
            <w:r>
              <w:rPr>
                <w:rFonts w:hint="eastAsia" w:ascii="宋体" w:hAnsi="宋体" w:eastAsia="宋体" w:cs="宋体"/>
                <w:sz w:val="24"/>
                <w:szCs w:val="24"/>
                <w:lang w:val="en-US" w:eastAsia="zh-CN"/>
              </w:rPr>
              <w:t>座谈</w:t>
            </w:r>
            <w:r>
              <w:rPr>
                <w:rFonts w:hint="eastAsia" w:ascii="宋体" w:hAnsi="宋体" w:eastAsia="宋体" w:cs="宋体"/>
                <w:sz w:val="24"/>
                <w:szCs w:val="24"/>
              </w:rPr>
              <w:t>会</w:t>
            </w:r>
          </w:p>
        </w:tc>
        <w:tc>
          <w:tcPr>
            <w:tcW w:w="4769" w:type="dxa"/>
            <w:vAlign w:val="center"/>
          </w:tcPr>
          <w:p w14:paraId="21AF8A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开幕式及研讨会现场布置</w:t>
            </w:r>
          </w:p>
        </w:tc>
      </w:tr>
      <w:tr w14:paraId="3109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continue"/>
            <w:vAlign w:val="center"/>
          </w:tcPr>
          <w:p w14:paraId="2FEB66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p>
        </w:tc>
        <w:tc>
          <w:tcPr>
            <w:tcW w:w="2235" w:type="dxa"/>
            <w:vMerge w:val="continue"/>
            <w:vAlign w:val="center"/>
          </w:tcPr>
          <w:p w14:paraId="22CA8A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4769" w:type="dxa"/>
            <w:vAlign w:val="center"/>
          </w:tcPr>
          <w:p w14:paraId="2D241EA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邀请国内知名专家（高级职称）</w:t>
            </w:r>
          </w:p>
        </w:tc>
      </w:tr>
      <w:tr w14:paraId="6D79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restart"/>
            <w:vAlign w:val="center"/>
          </w:tcPr>
          <w:p w14:paraId="724662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w:t>
            </w:r>
          </w:p>
        </w:tc>
        <w:tc>
          <w:tcPr>
            <w:tcW w:w="2235" w:type="dxa"/>
            <w:vMerge w:val="restart"/>
            <w:vAlign w:val="center"/>
          </w:tcPr>
          <w:p w14:paraId="0FD4370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宣传</w:t>
            </w:r>
          </w:p>
        </w:tc>
        <w:tc>
          <w:tcPr>
            <w:tcW w:w="4769" w:type="dxa"/>
            <w:vAlign w:val="center"/>
          </w:tcPr>
          <w:p w14:paraId="5143D6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各大网站及微信公众号宣传</w:t>
            </w:r>
          </w:p>
        </w:tc>
      </w:tr>
      <w:tr w14:paraId="620C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Merge w:val="continue"/>
            <w:vAlign w:val="center"/>
          </w:tcPr>
          <w:p w14:paraId="2175021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p>
        </w:tc>
        <w:tc>
          <w:tcPr>
            <w:tcW w:w="2235" w:type="dxa"/>
            <w:vMerge w:val="continue"/>
            <w:vAlign w:val="center"/>
          </w:tcPr>
          <w:p w14:paraId="4DD8753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p>
        </w:tc>
        <w:tc>
          <w:tcPr>
            <w:tcW w:w="4769" w:type="dxa"/>
            <w:vAlign w:val="center"/>
          </w:tcPr>
          <w:p w14:paraId="2B2D4D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纸媒中国美术报等</w:t>
            </w:r>
          </w:p>
        </w:tc>
      </w:tr>
      <w:tr w14:paraId="4DF3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Align w:val="center"/>
          </w:tcPr>
          <w:p w14:paraId="50B943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w:t>
            </w:r>
          </w:p>
        </w:tc>
        <w:tc>
          <w:tcPr>
            <w:tcW w:w="2235" w:type="dxa"/>
            <w:vAlign w:val="center"/>
          </w:tcPr>
          <w:p w14:paraId="3A0234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专题片拍摄制作</w:t>
            </w:r>
          </w:p>
        </w:tc>
        <w:tc>
          <w:tcPr>
            <w:tcW w:w="4769" w:type="dxa"/>
            <w:vAlign w:val="center"/>
          </w:tcPr>
          <w:p w14:paraId="0A65B00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少于2个，每个时长</w:t>
            </w:r>
            <w:r>
              <w:rPr>
                <w:rFonts w:hint="eastAsia" w:ascii="宋体" w:hAnsi="宋体" w:eastAsia="宋体" w:cs="宋体"/>
                <w:sz w:val="24"/>
                <w:szCs w:val="24"/>
                <w:lang w:val="en-US" w:eastAsia="zh-CN"/>
              </w:rPr>
              <w:t>10</w:t>
            </w:r>
            <w:r>
              <w:rPr>
                <w:rFonts w:hint="eastAsia" w:ascii="宋体" w:hAnsi="宋体" w:eastAsia="宋体" w:cs="宋体"/>
                <w:sz w:val="24"/>
                <w:szCs w:val="24"/>
              </w:rPr>
              <w:t>分钟以内</w:t>
            </w:r>
            <w:r>
              <w:rPr>
                <w:rFonts w:hint="eastAsia" w:ascii="宋体" w:hAnsi="宋体" w:eastAsia="宋体" w:cs="宋体"/>
                <w:sz w:val="24"/>
                <w:szCs w:val="24"/>
                <w:lang w:val="en-US" w:eastAsia="zh-CN"/>
              </w:rPr>
              <w:t>,</w:t>
            </w:r>
            <w:r>
              <w:rPr>
                <w:rFonts w:hint="eastAsia" w:ascii="宋体" w:hAnsi="宋体" w:eastAsia="宋体" w:cs="宋体"/>
                <w:sz w:val="24"/>
                <w:szCs w:val="24"/>
              </w:rPr>
              <w:t>不高于</w:t>
            </w:r>
            <w:r>
              <w:rPr>
                <w:rFonts w:hint="eastAsia" w:ascii="宋体" w:hAnsi="宋体" w:eastAsia="宋体" w:cs="宋体"/>
                <w:sz w:val="24"/>
                <w:szCs w:val="24"/>
                <w:lang w:val="en-US" w:eastAsia="zh-CN"/>
              </w:rPr>
              <w:t>5000</w:t>
            </w:r>
            <w:r>
              <w:rPr>
                <w:rFonts w:hint="eastAsia" w:ascii="宋体" w:hAnsi="宋体" w:eastAsia="宋体" w:cs="宋体"/>
                <w:sz w:val="24"/>
                <w:szCs w:val="24"/>
              </w:rPr>
              <w:t>元/分钟标准</w:t>
            </w:r>
          </w:p>
        </w:tc>
      </w:tr>
      <w:tr w14:paraId="082FD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216" w:type="dxa"/>
            <w:vAlign w:val="center"/>
          </w:tcPr>
          <w:p w14:paraId="3DEAEA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w:t>
            </w:r>
          </w:p>
        </w:tc>
        <w:tc>
          <w:tcPr>
            <w:tcW w:w="2235" w:type="dxa"/>
            <w:vAlign w:val="center"/>
          </w:tcPr>
          <w:p w14:paraId="0C0321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画册印刷</w:t>
            </w:r>
          </w:p>
        </w:tc>
        <w:tc>
          <w:tcPr>
            <w:tcW w:w="4769" w:type="dxa"/>
            <w:vAlign w:val="center"/>
          </w:tcPr>
          <w:p w14:paraId="4C6E15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lang w:val="en-US" w:eastAsia="zh-CN"/>
              </w:rPr>
              <w:t>精品集1000册</w:t>
            </w:r>
          </w:p>
        </w:tc>
      </w:tr>
    </w:tbl>
    <w:p w14:paraId="1DF42D07">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4F20732"/>
    <w:rsid w:val="7E7E39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3316</Words>
  <Characters>3665</Characters>
  <Lines>0</Lines>
  <Paragraphs>0</Paragraphs>
  <TotalTime>0</TotalTime>
  <ScaleCrop>false</ScaleCrop>
  <LinksUpToDate>false</LinksUpToDate>
  <CharactersWithSpaces>3691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2026-06-16T07:31:00Z</dcterms:created>
  <dc:creator>98688</dc:creator>
  <cp:lastModifiedBy>西瓜瓢虫。</cp:lastModifiedBy>
  <dcterms:modified xsi:type="dcterms:W3CDTF">2026-06-16T07:33:55Z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eyJoZGlkIjoiOGVmZmM3NjZmNjExMWU3YTliZDYxMTE1YTA0ZmMzYTEiLCJ1c2VySWQiOiIxMjY5ODYyNTY5In0=</vt:lpwstr>
  </property>
  <property fmtid="{D5CDD505-2E9C-101B-9397-08002B2CF9AE}" pid="4" name="ICV">
    <vt:lpwstr>F89365C16736471095524D9516FFD51A_12</vt:lpwstr>
  </property>
</Properties>
</file>