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版本号：MZ2026-DY103320260710002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西安文理学院中国教育和科研计算机网接入服务项目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MZ2026-DY1033</w:t>
      </w:r>
      <w:r>
        <w:br/>
      </w:r>
      <w:r>
        <w:br/>
      </w:r>
      <w:r>
        <w:br/>
      </w:r>
    </w:p>
    <w:p>
      <w:pPr>
        <w:pStyle w:val="null3"/>
        <w:jc w:val="center"/>
        <w:outlineLvl w:val="5"/>
      </w:pPr>
      <w:r>
        <w:rPr>
          <w:rFonts w:ascii="仿宋_GB2312" w:hAnsi="仿宋_GB2312" w:cs="仿宋_GB2312" w:eastAsia="仿宋_GB2312"/>
          <w:sz w:val="15"/>
          <w:b/>
        </w:rPr>
        <w:t>西安文理学院（本级）</w:t>
      </w:r>
    </w:p>
    <w:p>
      <w:pPr>
        <w:pStyle w:val="null3"/>
        <w:jc w:val="center"/>
        <w:outlineLvl w:val="5"/>
      </w:pPr>
      <w:r>
        <w:rPr>
          <w:rFonts w:ascii="仿宋_GB2312" w:hAnsi="仿宋_GB2312" w:cs="仿宋_GB2312" w:eastAsia="仿宋_GB2312"/>
          <w:sz w:val="15"/>
          <w:b/>
        </w:rPr>
        <w:t>陕西明正招标有限公司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西安文理学院中国教育和科研计算机网接入服务项目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MZ2026-DY1033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西安文理学院中国教育和科研计算机网接入服务项目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中国教育和科研计算机网是教育部指定的承担着高等教育许多重要工作的全国性学术计算机互联网，教育网是我校出口带宽的重要组成部分，也是教育、科研资源的重要获取途径，是基于IPv4/IPv6 教学、学术、科研和管理等重要工作的网络平台支撑，同时也保障一年一度的校园招生顺利完成。本项目为学校2026年教育和科研计算机网络服务。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采购包1（中国教育和科研计算机网接入服务）：属于专门面向中小企业采购。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1、法定代表人身份证明/法定代表人授权书：法定代表人直接参加协商的，须出具法定代表人身份证明及法人身份证；法定代表人授权代表参加协商的，须出具法定代表人授权书及法人和授权代表身份证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协商当天的网站查询记录为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 韩微 王雪娟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联系人：陕西明正招标有限公司</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中国教育和科研计算机网是教育部指定的承担着高等教育许多重要工作的全国性学术计算机互联网，教育网是我校出口带宽的重要组成部分，也是教育、科研资源的重要获取途径，是基于IPv4/IPv6 教学、学术、科研和管理等重要工作的网络平台支撑，同时也保障一年一度的校园招生顺利完成。本项目为学校2026年教育和科研计算机网络服务。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305,000.00</w:t>
      </w:r>
    </w:p>
    <w:p>
      <w:pPr>
        <w:pStyle w:val="null3"/>
      </w:pPr>
      <w:r>
        <w:rPr>
          <w:rFonts w:ascii="仿宋_GB2312" w:hAnsi="仿宋_GB2312" w:cs="仿宋_GB2312" w:eastAsia="仿宋_GB2312"/>
        </w:rPr>
        <w:t>采购包最高限价（元）: 305,000.00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中国教育和科研计算机网接入服务项目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标的名称：中国教育和科研计算机网接入服务项目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259"/>
              <w:gridCol w:w="865"/>
              <w:gridCol w:w="722"/>
              <w:gridCol w:w="707"/>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服务期限</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国内带宽包月</w:t>
                  </w:r>
                  <w:r>
                    <w:rPr>
                      <w:rFonts w:ascii="仿宋_GB2312" w:hAnsi="仿宋_GB2312" w:cs="仿宋_GB2312" w:eastAsia="仿宋_GB2312"/>
                      <w:sz w:val="20"/>
                    </w:rPr>
                    <w:t>【</w:t>
                  </w:r>
                  <w:r>
                    <w:rPr>
                      <w:rFonts w:ascii="仿宋_GB2312" w:hAnsi="仿宋_GB2312" w:cs="仿宋_GB2312" w:eastAsia="仿宋_GB2312"/>
                      <w:sz w:val="20"/>
                    </w:rPr>
                    <w:t>300Mb</w:t>
                  </w:r>
                  <w:r>
                    <w:rPr>
                      <w:rFonts w:ascii="仿宋_GB2312" w:hAnsi="仿宋_GB2312" w:cs="仿宋_GB2312" w:eastAsia="仿宋_GB2312"/>
                      <w:sz w:val="20"/>
                    </w:rPr>
                    <w:t>ps(CERNET主干网150</w:t>
                  </w:r>
                  <w:r>
                    <w:rPr>
                      <w:rFonts w:ascii="仿宋_GB2312" w:hAnsi="仿宋_GB2312" w:cs="仿宋_GB2312" w:eastAsia="仿宋_GB2312"/>
                      <w:sz w:val="20"/>
                    </w:rPr>
                    <w:t>Mbps,城域网150Mbp</w:t>
                  </w:r>
                  <w:r>
                    <w:rPr>
                      <w:rFonts w:ascii="仿宋_GB2312" w:hAnsi="仿宋_GB2312" w:cs="仿宋_GB2312" w:eastAsia="仿宋_GB2312"/>
                      <w:sz w:val="20"/>
                    </w:rPr>
                    <w:t>s)</w:t>
                  </w:r>
                  <w:r>
                    <w:rPr>
                      <w:rFonts w:ascii="仿宋_GB2312" w:hAnsi="仿宋_GB2312" w:cs="仿宋_GB2312" w:eastAsia="仿宋_GB2312"/>
                      <w:sz w:val="20"/>
                    </w:rPr>
                    <w:t>】</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保持</w:t>
                  </w:r>
                  <w:r>
                    <w:rPr>
                      <w:rFonts w:ascii="仿宋_GB2312" w:hAnsi="仿宋_GB2312" w:cs="仿宋_GB2312" w:eastAsia="仿宋_GB2312"/>
                      <w:sz w:val="20"/>
                    </w:rPr>
                    <w:t>CERNET网络畅通，及时处理网络故障</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12个月</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IP地址2048个</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IP地址使用正常</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12个月</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域名解析</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提供教育网域名</w:t>
                  </w:r>
                  <w:r>
                    <w:rPr>
                      <w:rFonts w:ascii="仿宋_GB2312" w:hAnsi="仿宋_GB2312" w:cs="仿宋_GB2312" w:eastAsia="仿宋_GB2312"/>
                      <w:sz w:val="20"/>
                    </w:rPr>
                    <w:t>xawl.edu.cn解析</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12个月</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需具有独立的国际出口资格</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免费国际带宽配额</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12个月</w:t>
                  </w:r>
                </w:p>
              </w:tc>
            </w:tr>
          </w:tbl>
          <w:p>
            <w:pPr>
              <w:pStyle w:val="null3"/>
              <w:ind w:firstLine="420"/>
              <w:jc w:val="left"/>
            </w:pPr>
            <w:r>
              <w:rPr>
                <w:rFonts w:ascii="仿宋_GB2312" w:hAnsi="仿宋_GB2312" w:cs="仿宋_GB2312" w:eastAsia="仿宋_GB2312"/>
                <w:sz w:val="20"/>
                <w:shd w:fill="FFFFFF" w:val="clear"/>
              </w:rPr>
              <w:t>具体服务内容如下：</w:t>
            </w:r>
          </w:p>
          <w:p>
            <w:pPr>
              <w:pStyle w:val="null3"/>
              <w:ind w:firstLine="42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1）服务供应商向西安文理学院提供CERNET接入服务，协助学校办理接入线路租赁、设备采购和系统调试等。</w:t>
            </w:r>
          </w:p>
          <w:p>
            <w:pPr>
              <w:pStyle w:val="null3"/>
              <w:ind w:firstLine="42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2）服务供应商负责对CERNET接入线路进行监测和必要日常维护。</w:t>
            </w:r>
          </w:p>
          <w:p>
            <w:pPr>
              <w:pStyle w:val="null3"/>
              <w:ind w:firstLine="42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3）服务供应商由于线路检修、设备搬迁、工程割接、网络及软件升级等可预见的原因，影响或可能影响西安文理学院使用CERNET接入服务的，应提前72小时通知西安文理学院。</w:t>
            </w:r>
          </w:p>
          <w:p>
            <w:pPr>
              <w:pStyle w:val="null3"/>
              <w:ind w:firstLine="42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4）服务供应商保证尽力协调有关各方完成对西安文理学院接入CERNET的相关调试工作，开通网络。</w:t>
            </w:r>
          </w:p>
          <w:p>
            <w:pPr>
              <w:pStyle w:val="null3"/>
              <w:ind w:firstLine="42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5）服务供应商有义务维护网络畅通，保障西安文理学院能够正常使用CERNET接入服务。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6）由于服务供应商网络或设备原因造成西安文理学院网络通信中断，服务供应商应在接到学校的故障申告后48小时恢复网络通信。服务供应商网络故障修复后，应及时通知学校，故障消除时间以服务供应商通知学校时间为准。因网络中断造成西安文理学院损失的，服务供应商应当承担赔偿责任，对西安文理学院造成影响，服务供应商应向西安文理学院支付相应的违约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供应商针对本项目提供相应的服务人员，能满足履行合同需求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供应商针对本项目提供相应的设施设备，能满足履行合同需求。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 ，达到付款条件起10个工作日内，支付合同总金额的100.0%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2.未按合同或协商文件要求提供服务或服务质量不能满足采购人技术要求，采购人有权终止合同，甚至对供应商违约行为进行追究。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成交供应商须在结果公告发布之日起5个工作日内，提交响应文件一正一副（建议正反面打印）至西安市雁塔区二环南路西段88号老三届世纪星大厦30层AB座（陕西明正招标有限公司）。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（2）财务状况报告：提供经审计的2024或2025年度财务报告或协商前六个月内其本公司银行账户出具的资信证明或政府采购专业担保机构出具的协商担保函（事业单位可不提供）（加盖公章）； （3）税收缴纳证明：供应商提供截止至协商时间前六个月任一月份的缴费凭据；依法免税的应提供相关文件证明（加盖公章）； （4）社会保障资金缴纳证明：供应商提供截止至协商时间前六个月任一月份的缴费凭据或社保机构开具的社会保险参保缴费情况证明；依法不需要缴纳社会保障资金的应提供相关文件证明（加盖公章）；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法定代表人直接参加协商的，须出具法定代表人身份证明及法人身份证；法定代表人授权代表参加协商的，须出具法定代表人授权书及法人和授权代表身份证</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协商当天的网站查询记录为准；</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