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版本号：RTDZB(2026-031)20260731001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S27洋镇线洋县至西乡高速公路项目杆管线迁改和企业厂矿拆迁全过程咨询技术服务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RTDZB(2026-031)</w:t>
      </w:r>
      <w:r>
        <w:br/>
      </w:r>
      <w:r>
        <w:br/>
      </w:r>
      <w:r>
        <w:br/>
      </w:r>
    </w:p>
    <w:p>
      <w:pPr>
        <w:pStyle w:val="null3"/>
        <w:jc w:val="center"/>
        <w:outlineLvl w:val="2"/>
      </w:pPr>
      <w:r>
        <w:rPr>
          <w:rFonts w:ascii="仿宋_GB2312" w:hAnsi="仿宋_GB2312" w:cs="仿宋_GB2312" w:eastAsia="仿宋_GB2312"/>
          <w:sz w:val="28"/>
          <w:b/>
        </w:rPr>
        <w:t>汉中市交通运输局</w:t>
      </w:r>
    </w:p>
    <w:p>
      <w:pPr>
        <w:pStyle w:val="null3"/>
        <w:jc w:val="center"/>
        <w:outlineLvl w:val="2"/>
      </w:pPr>
      <w:r>
        <w:rPr>
          <w:rFonts w:ascii="仿宋_GB2312" w:hAnsi="仿宋_GB2312" w:cs="仿宋_GB2312" w:eastAsia="仿宋_GB2312"/>
          <w:sz w:val="28"/>
          <w:b/>
        </w:rPr>
        <w:t>陕西瑞通达工程造价咨询有限公司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2026年07月31日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陕西瑞通达工程造价咨询有限公司</w:t>
      </w:r>
      <w:r>
        <w:rPr>
          <w:rFonts w:ascii="仿宋_GB2312" w:hAnsi="仿宋_GB2312" w:cs="仿宋_GB2312" w:eastAsia="仿宋_GB2312"/>
        </w:rPr>
        <w:t>（以下简称“代理机构”）受</w:t>
      </w:r>
      <w:r>
        <w:rPr>
          <w:rFonts w:ascii="仿宋_GB2312" w:hAnsi="仿宋_GB2312" w:cs="仿宋_GB2312" w:eastAsia="仿宋_GB2312"/>
        </w:rPr>
        <w:t>汉中市交通运输局</w:t>
      </w:r>
      <w:r>
        <w:rPr>
          <w:rFonts w:ascii="仿宋_GB2312" w:hAnsi="仿宋_GB2312" w:cs="仿宋_GB2312" w:eastAsia="仿宋_GB2312"/>
        </w:rPr>
        <w:t>委托，拟对</w:t>
      </w:r>
      <w:r>
        <w:rPr>
          <w:rFonts w:ascii="仿宋_GB2312" w:hAnsi="仿宋_GB2312" w:cs="仿宋_GB2312" w:eastAsia="仿宋_GB2312"/>
        </w:rPr>
        <w:t>S27洋镇线洋县至西乡高速公路项目杆管线迁改和企业厂矿拆迁全过程咨询技术服务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RTDZB(2026-031)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S27洋镇线洋县至西乡高速公路项目杆管线迁改和企业厂矿拆迁全过程咨询技术服务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S27洋镇线洋县至西乡项目路线起于汉中市洋县龙亭镇，改造既有龙亭互通立交为枢纽互通与京昆高速相接，经黄家营镇、桑园镇、柳树镇，止于西乡县城关镇桥房村，新建柳树枢纽互通立交与十天高速相接。路线全长30.197公里。项目总投资48.15亿元。全线采用双向四车道高速公路技术标准，设计速度采用100公里/小时，路基宽度26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采购包1（S27洋镇线洋县至西乡高速公路项目杆管线迁改和企业厂矿拆迁全过程咨询技术服务）：属于专门面向中小企业采购。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须具有独立承担民事责任的能力，是具备独立法人资格或其他组织或自然人：供应商须具有独立承担民事责任的能力，是具备独立法人资格或其他组织或自然人。企业法人应提供合法有效的标识有统一社会信用代码的营业执照；事业法人应提供事业单位法人证书；其他组织应提供合法登记证明文件；供应商为自然人的提供身份证。</w:t>
      </w:r>
    </w:p>
    <w:p>
      <w:pPr>
        <w:pStyle w:val="null3"/>
      </w:pPr>
      <w:r>
        <w:rPr>
          <w:rFonts w:ascii="仿宋_GB2312" w:hAnsi="仿宋_GB2312" w:cs="仿宋_GB2312" w:eastAsia="仿宋_GB2312"/>
        </w:rPr>
        <w:t>2、供应商应授权合法的人员参加磋商：供应商应授权合法的人员参加磋商：法定代表人直接参与磋商时需提供法定代表人身份证明；被授权人参与时需提供被授权人身份证复印件及法定代表人授权委托书加盖公章</w:t>
      </w:r>
    </w:p>
    <w:p>
      <w:pPr>
        <w:pStyle w:val="null3"/>
      </w:pPr>
      <w:r>
        <w:rPr>
          <w:rFonts w:ascii="仿宋_GB2312" w:hAnsi="仿宋_GB2312" w:cs="仿宋_GB2312" w:eastAsia="仿宋_GB2312"/>
        </w:rPr>
        <w:t>3、供应商须在全国投资项目在线审批监管平台（http://www.tzxm.gov.cn/）备案可查询，且备案专业须包含公路专业，供应商名称与该名录中的单位名称完全一致：供应商须在全国投资项目在线审批监管平台（http://www.tzxm.gov.cn/）备案可查询，且备案专业须包含公路专业，供应商名称与该名录中的单位名称完全一致：供应商须提供网页查询截图加盖公章</w:t>
      </w:r>
    </w:p>
    <w:p>
      <w:pPr>
        <w:pStyle w:val="null3"/>
      </w:pPr>
      <w:r>
        <w:rPr>
          <w:rFonts w:ascii="仿宋_GB2312" w:hAnsi="仿宋_GB2312" w:cs="仿宋_GB2312" w:eastAsia="仿宋_GB2312"/>
        </w:rPr>
        <w:t>4、拟派项目负责人须具备国家一级注册造价工程师资格且在本单位注册。：拟派项目负责人须具备国家一级注册造价工程师资格且在本单位注册：供应商须提供项目负责人有效期内的注册证书加盖公章</w:t>
      </w:r>
    </w:p>
    <w:p>
      <w:pPr>
        <w:pStyle w:val="null3"/>
      </w:pPr>
      <w:r>
        <w:rPr>
          <w:rFonts w:ascii="仿宋_GB2312" w:hAnsi="仿宋_GB2312" w:cs="仿宋_GB2312" w:eastAsia="仿宋_GB2312"/>
        </w:rPr>
        <w:t>5、供应商不得在“信用中国”网站(www.creditchina.gov.cn）中列入失信被执行人名单，不得在国家企业信用信息公示系统（www.gsxt.gov.cn）中被列入严重违法失信企业名单；不得在中国政府采购网(www.ccgp.gov.cn）中被列入政府采购严重违法失信行为记录名单。：供应商须提供加盖公章的《汉中市政府采购供应商资格承诺函》</w:t>
      </w:r>
    </w:p>
    <w:p>
      <w:pPr>
        <w:pStyle w:val="null3"/>
      </w:pPr>
      <w:r>
        <w:rPr>
          <w:rFonts w:ascii="仿宋_GB2312" w:hAnsi="仿宋_GB2312" w:cs="仿宋_GB2312" w:eastAsia="仿宋_GB2312"/>
        </w:rPr>
        <w:t>6、本项目专门面向中小企业：供应商须提供《中小企业声明函》并进行电子签章。</w:t>
      </w:r>
    </w:p>
    <w:p>
      <w:pPr>
        <w:pStyle w:val="null3"/>
      </w:pPr>
      <w:r>
        <w:rPr>
          <w:rFonts w:ascii="仿宋_GB2312" w:hAnsi="仿宋_GB2312" w:cs="仿宋_GB2312" w:eastAsia="仿宋_GB2312"/>
        </w:rPr>
        <w:t>7、本项目不接受联合体投标：本项目不接受联合体投标，供应商需提供承诺并进行电子签章。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汉中市交通运输局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汉中市东一环路东段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0916-2536055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陕西瑞通达工程造价咨询有限公司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陕西省汉中市汉台区和谐春天108号楼三楼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石晓梅、袁凤霞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0916-2527896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汉中市财政局政府采购管理科</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祝广泽</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0916-2514015</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采购包1：740,000.00元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采购包1保证金金额：12,000.00元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开户名称：陕西瑞通达工程造价咨询有限公司</w:t>
            </w:r>
          </w:p>
          <w:p>
            <w:pPr>
              <w:pStyle w:val="null3"/>
            </w:pPr>
            <w:r>
              <w:rPr>
                <w:rFonts w:ascii="仿宋_GB2312" w:hAnsi="仿宋_GB2312" w:cs="仿宋_GB2312" w:eastAsia="仿宋_GB2312"/>
              </w:rPr>
              <w:t>开户银行：中国农业发展银行汉中市分行营业部</w:t>
            </w:r>
          </w:p>
          <w:p>
            <w:pPr>
              <w:pStyle w:val="null3"/>
            </w:pPr>
            <w:r>
              <w:rPr>
                <w:rFonts w:ascii="仿宋_GB2312" w:hAnsi="仿宋_GB2312" w:cs="仿宋_GB2312" w:eastAsia="仿宋_GB2312"/>
              </w:rPr>
              <w:t>银行账号：20361079900100000558521</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以中标价为基数，参照国家计委关于印发《招标代理服务收费管理暂行办法》（计价格〔2002〕1980号）、《发改委办公厅关于招标代理服务收费有关问题的通知》（发改办价格〔2003〕857号）以及《国家发展改革委关于降低部分建设项目收费标准规范收费行为等有关问题的通知》(发改价格〔2011〕534号)规定的国家标准收取，由成交供应商承担，在成交通知书发出前一次结清。</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汉中市交通运输局</w:t>
      </w:r>
      <w:r>
        <w:rPr>
          <w:rFonts w:ascii="仿宋_GB2312" w:hAnsi="仿宋_GB2312" w:cs="仿宋_GB2312" w:eastAsia="仿宋_GB2312"/>
        </w:rPr>
        <w:t>和</w:t>
      </w:r>
      <w:r>
        <w:rPr>
          <w:rFonts w:ascii="仿宋_GB2312" w:hAnsi="仿宋_GB2312" w:cs="仿宋_GB2312" w:eastAsia="仿宋_GB2312"/>
        </w:rPr>
        <w:t>陕西瑞通达工程造价咨询有限公司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汉中市交通运输局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陕西瑞通达工程造价咨询有限公司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汉中市交通运输局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陕西瑞通达工程造价咨询有限公司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详见合同</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按照最新政策要求进行验收</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陕西瑞通达工程造价咨询有限公司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联系人：石晓梅、袁凤霞</w:t>
      </w:r>
    </w:p>
    <w:p>
      <w:pPr>
        <w:pStyle w:val="null3"/>
      </w:pPr>
      <w:r>
        <w:rPr>
          <w:rFonts w:ascii="仿宋_GB2312" w:hAnsi="仿宋_GB2312" w:cs="仿宋_GB2312" w:eastAsia="仿宋_GB2312"/>
        </w:rPr>
        <w:t>联系电话：0916-2527896</w:t>
      </w:r>
    </w:p>
    <w:p>
      <w:pPr>
        <w:pStyle w:val="null3"/>
      </w:pPr>
      <w:r>
        <w:rPr>
          <w:rFonts w:ascii="仿宋_GB2312" w:hAnsi="仿宋_GB2312" w:cs="仿宋_GB2312" w:eastAsia="仿宋_GB2312"/>
        </w:rPr>
        <w:t>地址：陕西省汉中市汉台区和谐春天108号楼三楼</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S27洋镇线洋县至西乡项目路线起于汉中市洋县龙亭镇，改造既有龙亭互通立交为枢纽互通与京昆高速相接，经黄家营镇、桑园镇、柳树镇，止于西乡县城关镇桥房村，新建柳树枢纽互通立交与十天高速相接。路线全长30.197公里。项目总投资48.15亿元。全线采用双向四车道高速公路技术标准，设计速度采用100公里/小时，路基宽度26米。</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740,000.00</w:t>
      </w:r>
    </w:p>
    <w:p>
      <w:pPr>
        <w:pStyle w:val="null3"/>
      </w:pPr>
      <w:r>
        <w:rPr>
          <w:rFonts w:ascii="仿宋_GB2312" w:hAnsi="仿宋_GB2312" w:cs="仿宋_GB2312" w:eastAsia="仿宋_GB2312"/>
        </w:rPr>
        <w:t>采购包最高限价（元）: 740,000.00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S27洋镇线洋县至西乡高速公路项目杆管线迁改和企业厂矿拆迁全过程咨询技术服务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740,000.00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标的名称：S27洋镇线洋县至西乡高速公路项目杆管线迁改和企业厂矿拆迁全过程咨询技术服务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1"/>
              </w:rPr>
              <w:t>按照最新政策要求，完成</w:t>
            </w:r>
            <w:r>
              <w:rPr>
                <w:rFonts w:ascii="仿宋_GB2312" w:hAnsi="仿宋_GB2312" w:cs="仿宋_GB2312" w:eastAsia="仿宋_GB2312"/>
                <w:sz w:val="21"/>
              </w:rPr>
              <w:t>S27洋镇线洋县至西乡高速公路项目杆管线迁改和企业厂矿拆迁全过程咨询技术服务。针对本项目涉及的所有电力、通讯、广播电视、铁塔、军用光缆、国防光缆杆管线等设施迁改及企业厂矿拆迁工作进行前期摸排、方案优化、费用审核、协议谈判等咨询工作，编制并提供咨询审查报告，协助业主完成迁改验收、资料归档，配合完成各类审计等工作。</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合同签订之日起至项目通过专项审计后</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在约定时限内完成咨询审查报告，资料交接完整。配合完成各类审计等工作服务配合度⾼。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预付款，合同签订后，达到付款条件起7个工作日内，支付合同总金额的25.0%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进度款，企业厂矿拆迁完成后 ，达到付款条件起7个工作日内，支付合同总金额的25.0%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进度款，电力杆线迁改完成后，达到付款条件起7个工作日内，支付合同总金额的20.0%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进度款，通讯及铁塔迁改完成后，达到付款条件起7个工作日内，支付合同总金额的15.0%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进度款，国防及军用光缆迁改完成后，达到付款条件起7个工作日内，支付合同总金额的5.0%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进度款，项目审计决算后 ，达到付款条件起7个工作日内，支付合同总金额的10.0%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（1）在执⾏本合同中发⽣的或与本项目有关的争端，双⽅应通过友好协商解决，经协商不能达成协议时，应提交项⽬所在地仲裁委员会仲裁或向当地⼈⺠法院提起诉讼解决。 （2）仲裁裁决或法院判决应为最终决定，并对双⽅具有约束⼒。 （3）除另有裁决外，仲裁费或诉讼费应由败诉⽅负担。（4）在仲裁或诉讼期间，除正在进⾏仲裁或诉讼部分外，合同其他部分继续执⾏。</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特别注意:为顺利推进政府采购电⼦化交易平台应⽤⼯作，供应商需要在线提交所有通过电⼦化交易平台实施的政府采购项⽬的投标响应⽂件。各供应商应在递交截⽌时间前将响应⽂件上传⾄平台，如未按时提交响应⽂件或电⼦响应⽂件因供应商⾃⾝原因导致⽆法导⼊或解密，由此导致的结果由供应商⾃⾏承担。 2.评审时因供应商提供⽂件材料不清晰导致⽆法辨认的，或隐瞒相关不良信息的，造成资格不通过的后果⾃负。 3.成交供应商在采购结果发布后3个⼯作⽇内向代理机构提交纸质版响应⽂件以便于存档，响应⽂件正本1份，副本1份，电⼦版⽂件1份（U盘）。纸质响应⽂件均须A4纸双⾯打印，分别装订成册并编制⽬录和⻚码。线下递交响应⽂件地点：汉中市汉台区和谐春天108号楼3楼。 4.如招标⽂件中融资相关内容与新政策要求有出⼊，按照最新要求执⾏。</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供应商须具有独立承担民事责任的能力，是具备独立法人资格或其他组织或自然人</w:t>
            </w:r>
          </w:p>
        </w:tc>
        <w:tc>
          <w:tcPr>
            <w:tcW w:type="dxa" w:w="3322"/>
          </w:tcPr>
          <w:p>
            <w:pPr>
              <w:pStyle w:val="null3"/>
            </w:pPr>
            <w:r>
              <w:rPr>
                <w:rFonts w:ascii="仿宋_GB2312" w:hAnsi="仿宋_GB2312" w:cs="仿宋_GB2312" w:eastAsia="仿宋_GB2312"/>
              </w:rPr>
              <w:t>供应商须具有独立承担民事责任的能力，是具备独立法人资格或其他组织或自然人。企业法人应提供合法有效的标识有统一社会信用代码的营业执照；事业法人应提供事业单位法人证书；其他组织应提供合法登记证明文件；供应商为自然人的提供身份证。</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供应商应授权合法的人员参加磋商</w:t>
            </w:r>
          </w:p>
        </w:tc>
        <w:tc>
          <w:tcPr>
            <w:tcW w:type="dxa" w:w="3322"/>
          </w:tcPr>
          <w:p>
            <w:pPr>
              <w:pStyle w:val="null3"/>
            </w:pPr>
            <w:r>
              <w:rPr>
                <w:rFonts w:ascii="仿宋_GB2312" w:hAnsi="仿宋_GB2312" w:cs="仿宋_GB2312" w:eastAsia="仿宋_GB2312"/>
              </w:rPr>
              <w:t>供应商应授权合法的人员参加磋商：法定代表人直接参与磋商时需提供法定代表人身份证明；被授权人参与时需提供被授权人身份证复印件及法定代表人授权委托书加盖公章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供应商须在全国投资项目在线审批监管平台（http://www.tzxm.gov.cn/）备案可查询，且备案专业须包含公路专业，供应商名称与该名录中的单位名称完全一致</w:t>
            </w:r>
          </w:p>
        </w:tc>
        <w:tc>
          <w:tcPr>
            <w:tcW w:type="dxa" w:w="3322"/>
          </w:tcPr>
          <w:p>
            <w:pPr>
              <w:pStyle w:val="null3"/>
            </w:pPr>
            <w:r>
              <w:rPr>
                <w:rFonts w:ascii="仿宋_GB2312" w:hAnsi="仿宋_GB2312" w:cs="仿宋_GB2312" w:eastAsia="仿宋_GB2312"/>
              </w:rPr>
              <w:t>供应商须在全国投资项目在线审批监管平台（http://www.tzxm.gov.cn/）备案可查询，且备案专业须包含公路专业，供应商名称与该名录中的单位名称完全一致：供应商须提供网页查询截图加盖公章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拟派项目负责人须具备国家一级注册造价工程师资格且在本单位注册。</w:t>
            </w:r>
          </w:p>
        </w:tc>
        <w:tc>
          <w:tcPr>
            <w:tcW w:type="dxa" w:w="3322"/>
          </w:tcPr>
          <w:p>
            <w:pPr>
              <w:pStyle w:val="null3"/>
            </w:pPr>
            <w:r>
              <w:rPr>
                <w:rFonts w:ascii="仿宋_GB2312" w:hAnsi="仿宋_GB2312" w:cs="仿宋_GB2312" w:eastAsia="仿宋_GB2312"/>
              </w:rPr>
              <w:t>拟派项目负责人须具备国家一级注册造价工程师资格且在本单位注册：供应商须提供项目负责人有效期内的注册证书加盖公章</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不得在“信用中国”网站(www.creditchina.gov.cn）中列入失信被执行人名单，不得在国家企业信用信息公示系统（www.gsxt.gov.cn）中被列入严重违法失信企业名单；不得在中国政府采购网(www.ccgp.gov.cn）中被列入政府采购严重违法失信行为记录名单。</w:t>
            </w:r>
          </w:p>
        </w:tc>
        <w:tc>
          <w:tcPr>
            <w:tcW w:type="dxa" w:w="3322"/>
          </w:tcPr>
          <w:p>
            <w:pPr>
              <w:pStyle w:val="null3"/>
            </w:pPr>
            <w:r>
              <w:rPr>
                <w:rFonts w:ascii="仿宋_GB2312" w:hAnsi="仿宋_GB2312" w:cs="仿宋_GB2312" w:eastAsia="仿宋_GB2312"/>
              </w:rPr>
              <w:t>供应商须提供加盖公章的《汉中市政府采购供应商资格承诺函》</w:t>
            </w:r>
          </w:p>
        </w:tc>
        <w:tc>
          <w:tcPr>
            <w:tcW w:type="dxa" w:w="1661"/>
          </w:tcPr>
          <w:p>
            <w:pPr>
              <w:pStyle w:val="null3"/>
            </w:pPr>
            <w:r>
              <w:rPr>
                <w:rFonts w:ascii="仿宋_GB2312" w:hAnsi="仿宋_GB2312" w:cs="仿宋_GB2312" w:eastAsia="仿宋_GB2312"/>
              </w:rPr>
              <w:t>资格证明文件</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供应商须提供《中小企业声明函》并进行电子签章。</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本项目不接受联合体投标，供应商需提供承诺并进行电子签章。</w:t>
            </w:r>
          </w:p>
        </w:tc>
        <w:tc>
          <w:tcPr>
            <w:tcW w:type="dxa" w:w="1661"/>
          </w:tcPr>
          <w:p>
            <w:pPr>
              <w:pStyle w:val="null3"/>
            </w:pPr>
            <w:r>
              <w:rPr>
                <w:rFonts w:ascii="仿宋_GB2312" w:hAnsi="仿宋_GB2312" w:cs="仿宋_GB2312" w:eastAsia="仿宋_GB2312"/>
              </w:rPr>
              <w:t>资格证明文件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投标有效期(实质性要求)</w:t>
            </w:r>
          </w:p>
        </w:tc>
        <w:tc>
          <w:tcPr>
            <w:tcW w:type="dxa" w:w="3322"/>
          </w:tcPr>
          <w:p>
            <w:pPr>
              <w:pStyle w:val="null3"/>
            </w:pPr>
            <w:r>
              <w:rPr>
                <w:rFonts w:ascii="仿宋_GB2312" w:hAnsi="仿宋_GB2312" w:cs="仿宋_GB2312" w:eastAsia="仿宋_GB2312"/>
              </w:rPr>
              <w:t>提交投标⽂件截⽌之⽇起90⽇历天。</w:t>
            </w:r>
          </w:p>
        </w:tc>
        <w:tc>
          <w:tcPr>
            <w:tcW w:type="dxa" w:w="1661"/>
          </w:tcPr>
          <w:p>
            <w:pPr>
              <w:pStyle w:val="null3"/>
            </w:pPr>
            <w:r>
              <w:rPr>
                <w:rFonts w:ascii="仿宋_GB2312" w:hAnsi="仿宋_GB2312" w:cs="仿宋_GB2312" w:eastAsia="仿宋_GB2312"/>
              </w:rPr>
              <w:t>资格证明文件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投标⽂件签署、盖章</w:t>
            </w:r>
          </w:p>
        </w:tc>
        <w:tc>
          <w:tcPr>
            <w:tcW w:type="dxa" w:w="3322"/>
          </w:tcPr>
          <w:p>
            <w:pPr>
              <w:pStyle w:val="null3"/>
            </w:pPr>
            <w:r>
              <w:rPr>
                <w:rFonts w:ascii="仿宋_GB2312" w:hAnsi="仿宋_GB2312" w:cs="仿宋_GB2312" w:eastAsia="仿宋_GB2312"/>
              </w:rPr>
              <w:t>投标⽂件上指定位置处法定代表⼈或其授权委托⼈的签字盖章⻬全。</w:t>
            </w:r>
          </w:p>
        </w:tc>
        <w:tc>
          <w:tcPr>
            <w:tcW w:type="dxa" w:w="1661"/>
          </w:tcPr>
          <w:p>
            <w:pPr>
              <w:pStyle w:val="null3"/>
            </w:pPr>
            <w:r>
              <w:rPr>
                <w:rFonts w:ascii="仿宋_GB2312" w:hAnsi="仿宋_GB2312" w:cs="仿宋_GB2312" w:eastAsia="仿宋_GB2312"/>
              </w:rPr>
              <w:t>响应文件封面 资格证明文件 中小企业声明函 残疾人福利性单位声明函 服务方案 标的清单 保证金缴纳凭证 报价表 响应函 监狱企业的证明文件 服务要求偏离表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只能有⼀个有效报价，不得提交选择性报价。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投标保证⾦</w:t>
            </w:r>
          </w:p>
        </w:tc>
        <w:tc>
          <w:tcPr>
            <w:tcW w:type="dxa" w:w="3322"/>
          </w:tcPr>
          <w:p>
            <w:pPr>
              <w:pStyle w:val="null3"/>
            </w:pPr>
            <w:r>
              <w:rPr>
                <w:rFonts w:ascii="仿宋_GB2312" w:hAnsi="仿宋_GB2312" w:cs="仿宋_GB2312" w:eastAsia="仿宋_GB2312"/>
              </w:rPr>
              <w:t>供应商应按照招标⽂件要求⾜额缴纳投标保证⾦，并提供相关凭证。</w:t>
            </w:r>
          </w:p>
        </w:tc>
        <w:tc>
          <w:tcPr>
            <w:tcW w:type="dxa" w:w="1661"/>
          </w:tcPr>
          <w:p>
            <w:pPr>
              <w:pStyle w:val="null3"/>
            </w:pPr>
            <w:r>
              <w:rPr>
                <w:rFonts w:ascii="仿宋_GB2312" w:hAnsi="仿宋_GB2312" w:cs="仿宋_GB2312" w:eastAsia="仿宋_GB2312"/>
              </w:rPr>
              <w:t>保证金缴纳凭证</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供应商业绩</w:t>
            </w:r>
          </w:p>
        </w:tc>
        <w:tc>
          <w:tcPr>
            <w:tcW w:type="dxa" w:w="2492"/>
          </w:tcPr>
          <w:p>
            <w:pPr>
              <w:pStyle w:val="null3"/>
            </w:pPr>
            <w:r>
              <w:rPr>
                <w:rFonts w:ascii="仿宋_GB2312" w:hAnsi="仿宋_GB2312" w:cs="仿宋_GB2312" w:eastAsia="仿宋_GB2312"/>
              </w:rPr>
              <w:t>供应商自2021年1月1日至响应文件递交截止之日独立承担过同类业绩。同类业绩：杆管线迁改或企业厂矿拆迁咨询业绩。业绩证明材料：须提供清晰合同复印件并加盖供应商公章。每提供一个业绩得1分,最高得5分。（以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一、评审内容：供应商编写总体服务方案，包括但不限于①项目背景研判与区域环境综合分析；②项目工作思路、工作方法；③项目工作流程及服务内容。 ⼆、评审标准：1、完整性：⽅案必须全⾯，对评审内容中的各项要求有详细阐述。2、针对性：紧扣项⽬实际情况，内容科学合理。3、可实施性：切合本项⽬实际情况，提出步骤清晰合理的⽅案。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项目质量保证方案</w:t>
            </w:r>
          </w:p>
        </w:tc>
        <w:tc>
          <w:tcPr>
            <w:tcW w:type="dxa" w:w="2492"/>
          </w:tcPr>
          <w:p>
            <w:pPr>
              <w:pStyle w:val="null3"/>
            </w:pPr>
            <w:r>
              <w:rPr>
                <w:rFonts w:ascii="仿宋_GB2312" w:hAnsi="仿宋_GB2312" w:cs="仿宋_GB2312" w:eastAsia="仿宋_GB2312"/>
              </w:rPr>
              <w:t>一、评审内容：供应商编写质量保证措施确保工作优质、高效完成，包括但不限于：①结合项目实际情况全过程分层分级质量管控保障措施；②项目专属团队质量管控责任体系；③全周期成果迭代提质与风险防控保障方案。 ⼆、评审标准：1、完整性：⽅案必须全⾯，对评审内容中的各项要求有详细阐述。2、针对性：紧扣项⽬实际情况，内容科学合理。3、可实施性：切合本项⽬实际情况，提出步骤清晰合理的⽅案。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项目进度保障方案</w:t>
            </w:r>
          </w:p>
        </w:tc>
        <w:tc>
          <w:tcPr>
            <w:tcW w:type="dxa" w:w="2492"/>
          </w:tcPr>
          <w:p>
            <w:pPr>
              <w:pStyle w:val="null3"/>
            </w:pPr>
            <w:r>
              <w:rPr>
                <w:rFonts w:ascii="仿宋_GB2312" w:hAnsi="仿宋_GB2312" w:cs="仿宋_GB2312" w:eastAsia="仿宋_GB2312"/>
              </w:rPr>
              <w:t>一、评审内容：供应商编写进度保证措施确保工作按期完成，包括但不限于：①项目前期推进目标分析、保障体系；②产权协调与外部协同的时效性保障措施；③可能影响服务周期的各种因素分析及应对措施。 ⼆、评审标准：1、完整性：⽅案必须全⾯，对评审内容中的各项要求有详细阐述。2、针对性：紧扣项⽬实际情况，内容科学合理。3、可实施性：切合本项⽬实际情况，提出步骤清晰合理的⽅案。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项目重点难点分析</w:t>
            </w:r>
          </w:p>
        </w:tc>
        <w:tc>
          <w:tcPr>
            <w:tcW w:type="dxa" w:w="2492"/>
          </w:tcPr>
          <w:p>
            <w:pPr>
              <w:pStyle w:val="null3"/>
            </w:pPr>
            <w:r>
              <w:rPr>
                <w:rFonts w:ascii="仿宋_GB2312" w:hAnsi="仿宋_GB2312" w:cs="仿宋_GB2312" w:eastAsia="仿宋_GB2312"/>
              </w:rPr>
              <w:t>一、评审内容：供应商针对本项目进行重点难点分析，包括但不限于：①权属核查及合规保障；②迁改方案技术经济比选与全过程造价动态管控；③与杆管线产权单位和主管单位的协调机制、企业厂矿拆迁的资产评估、补偿谈判策略。 二、评审标准：1、完整性：⽅案必须全⾯，对评审内容中的各项要求有详细阐述。2、针对性：紧扣项⽬实际情况，内容科学合理。3、可实施性：切合本项⽬实际情况，提出步骤清晰合理的⽅案。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廉洁从业及保密措施</w:t>
            </w:r>
          </w:p>
        </w:tc>
        <w:tc>
          <w:tcPr>
            <w:tcW w:type="dxa" w:w="2492"/>
          </w:tcPr>
          <w:p>
            <w:pPr>
              <w:pStyle w:val="null3"/>
            </w:pPr>
            <w:r>
              <w:rPr>
                <w:rFonts w:ascii="仿宋_GB2312" w:hAnsi="仿宋_GB2312" w:cs="仿宋_GB2312" w:eastAsia="仿宋_GB2312"/>
              </w:rPr>
              <w:t>一、评审内容：供应商针对本项目的廉洁从业及保密措施，包括但不限于：①针对本项目编制廉洁从业制度；②制定严格的工作保密措施。 ⼆、评审标准：1、完整性、针对性：⽅案必须全⾯，对评审内容中的各项要求有详细阐述。紧扣项⽬实际情况，内容科学合理。2、可实施性：切合本项⽬实际情况，提出步骤清晰合理的⽅案。 三、每项满⾜⼀个评审标准得1分，对该评审标准的响应内容模糊或存在缺陷得0.5分，未提供或完全⽆法满⾜该评审标准得0分。 说明：缺陷是指内容没有结合项⽬实际需求、虽有内容但不完善、内容表述前后不⼀致、套⽤其他项⽬⽅案或与项⽬需求不匹配及其他不利于项⽬实施的等任意⼀种情形。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项目负责人职称</w:t>
            </w:r>
          </w:p>
        </w:tc>
        <w:tc>
          <w:tcPr>
            <w:tcW w:type="dxa" w:w="2492"/>
          </w:tcPr>
          <w:p>
            <w:pPr>
              <w:pStyle w:val="null3"/>
            </w:pPr>
            <w:r>
              <w:rPr>
                <w:rFonts w:ascii="仿宋_GB2312" w:hAnsi="仿宋_GB2312" w:cs="仿宋_GB2312" w:eastAsia="仿宋_GB2312"/>
              </w:rPr>
              <w:t>项目负责人具备高级工程师职称的得3分，具备中级工程师职称的得2分，具备助理工程师职称的得1分。提供人员身份证、职称证复印件加盖公章。</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项目负责人业绩</w:t>
            </w:r>
          </w:p>
        </w:tc>
        <w:tc>
          <w:tcPr>
            <w:tcW w:type="dxa" w:w="2492"/>
          </w:tcPr>
          <w:p>
            <w:pPr>
              <w:pStyle w:val="null3"/>
            </w:pPr>
            <w:r>
              <w:rPr>
                <w:rFonts w:ascii="仿宋_GB2312" w:hAnsi="仿宋_GB2312" w:cs="仿宋_GB2312" w:eastAsia="仿宋_GB2312"/>
              </w:rPr>
              <w:t>项目负责人自2021年1月1日至响应文件递交截止之日独立承担过同类业绩。同类业绩：杆管线迁改或企业厂矿拆迁咨询业绩。业绩证明材料：须提供清晰合同复印件并加盖供应商公章，每提供一个业绩得1分,最高得3分。（以合同签订时间为准）项目负责人提供业绩与企业业绩相同时均予以认可。如合同未体现项目负责人姓名则还需提供能证明项目负责人的成果文件。</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项目团队人员</w:t>
            </w:r>
          </w:p>
        </w:tc>
        <w:tc>
          <w:tcPr>
            <w:tcW w:type="dxa" w:w="2492"/>
          </w:tcPr>
          <w:p>
            <w:pPr>
              <w:pStyle w:val="null3"/>
            </w:pPr>
            <w:r>
              <w:rPr>
                <w:rFonts w:ascii="仿宋_GB2312" w:hAnsi="仿宋_GB2312" w:cs="仿宋_GB2312" w:eastAsia="仿宋_GB2312"/>
              </w:rPr>
              <w:t>一、供应商除项目负责人外提供国家一级注册造价工程师（专业：交通运输工程）的每一个人员得3分，最高可得15分； 二、供应商除项目负责人外提供其他专业的国家一级注册造价工程师每一个人员得2分，最高可得10分。 评审标准：提供人员身份证、有效期内的注册证并加盖公章，未提供证明资料或证明资料不全难以辨别的，本项不得分。同一人提供多个专业的仅计取一次加分。</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一、评审内容：对能够完成本项目工作的服务承诺，包括①无条件修改调整优化咨询方案的承诺；②工作底稿准确规范性与成果文件一致性承诺；③承诺若中标后派驻团队⼈员的稳定性，未经采购⼈许可不随意更换⼈员，或经采购⼈同意后提供详细的⼈员更换及顶岗储备⼈员承诺；④不能按期交付成果文件时愿意接受相关处罚的承诺；⑤建立应急服务机制，如遇突发情况或政策调整，能快速响应、及时处置，积极协助采购人推进项目进展的承诺；⑥供应商须对服务期间的全部安全事项负总责，因服务过程中发生的任何人员伤亡、财产损失或其他安全事故，均由供应商独立承担全部法律责任，采购人不承担任何责任的承诺；⑦在咨询服务的全过程中，坚持依法办事、按章操作、公正履职、廉洁从业，不向甲方人员行贿、不提供不正当利益、不向权属单位索贿的承诺。 二、评审标准：以上提供承诺函加盖供应商公章，每提供一项承诺得2分，最高可得14分。</w:t>
            </w:r>
          </w:p>
        </w:tc>
        <w:tc>
          <w:tcPr>
            <w:tcW w:type="dxa" w:w="831"/>
          </w:tcPr>
          <w:p>
            <w:pPr>
              <w:pStyle w:val="null3"/>
              <w:jc w:val="right"/>
            </w:pPr>
            <w:r>
              <w:rPr>
                <w:rFonts w:ascii="仿宋_GB2312" w:hAnsi="仿宋_GB2312" w:cs="仿宋_GB2312" w:eastAsia="仿宋_GB2312"/>
              </w:rPr>
              <w:t>14.0000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价格分统⼀采⽤低价优先法计算，即满⾜招标⽂件要求且投标价格最低的投标报价为评标 基准价，其价格分为满分10分，其他供应商的价格分统⼀按照下列公式计算：投标报价得分=（评标基准价/投标报价）×10。 政府采购评审中出现下列情形之⼀的，评审委员会应当启动异常低价投标（响应）审查程序：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最⾼限价45%的，即投标（响应）报价&lt;采购项⽬最⾼限价×45%；未设定最⾼限价的采购项⽬，以采购项⽬预算⾦额作为最⾼限价；（4）评审委员会基于专业判断，认为供应商报价过低，有可能影响产品质量或者不能诚信履约的其他情形。评审委员会启动异常低价投标（响应）审查后，属于前述第（1）项⾄第（4）项情形的，应当要求相关供应商在评审现场合理的时间内对投标（响应）价格作出解释，提供项⽬具体成本测算等与报价合理性相关的书⾯说明及必要的证明材料，包括但不限于原材料成本、⼈⼯成本、制造费⽤等。其中，属于第3项情形，供应商已随投标（响应）⽂件⼀并提交相关书⾯说明及必要的证明材料的，在评审现场可不再重复提交。评审委员会依据专业经验，参考同类项⽬中标（成交） 价格、类似产品市场价格⽔平、⾏业⼈⼯费⽤标准、国家有关部⻔指导⾏业协会发布的⾏业平均成本等情况，对报价合理性进⾏判断。投标（响应）供应商不能提供书⾯说明、证明材料，或者提供的书⾯说明、证明材料不能证明其报价合理性的，评审委员会应当将其作为⽆效投标（响应）处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详见附件：保证金缴纳凭证</w:t>
      </w:r>
    </w:p>
    <w:p>
      <w:pPr>
        <w:pStyle w:val="null3"/>
        <w:ind w:firstLine="960"/>
      </w:pPr>
      <w:r>
        <w:rPr>
          <w:rFonts w:ascii="仿宋_GB2312" w:hAnsi="仿宋_GB2312" w:cs="仿宋_GB2312" w:eastAsia="仿宋_GB2312"/>
        </w:rPr>
        <w:t>详见附件：服务要求偏离表</w:t>
      </w:r>
    </w:p>
    <w:p>
      <w:pPr>
        <w:pStyle w:val="null3"/>
        <w:ind w:firstLine="960"/>
      </w:pPr>
      <w:r>
        <w:rPr>
          <w:rFonts w:ascii="仿宋_GB2312" w:hAnsi="仿宋_GB2312" w:cs="仿宋_GB2312" w:eastAsia="仿宋_GB2312"/>
        </w:rPr>
        <w:t>详见附件：资格证明文件</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详见附件：《委托合同（示范文本）》（GF—2025—1001） (1).docx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