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版本号：ZMZB2026GYDX-5120260519001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超导线材涡流探伤系统、低温力学测试系统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ZMZB2026GYDX-51</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超导线材涡流探伤系统、低温力学测试系统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ZMZB2026GYDX-51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超导线材涡流探伤系统、低温力学测试系统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超导线材涡流探伤系统、低温力学测试系统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3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4、社会保障资金缴纳证明：提供2025年3月以来任意一个月的社会保障资金缴存单据或社保机构开具的社会保险参保缴费情况证明。依法不需要缴纳社会保障资金的供应商应提供相关文件证明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8、本项目不接受联合体投标：非接受联合体投标声明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采购项目中标金额的0.69%计取，由中标/成交单位一次性支付给代理机构。供应商将招标代理服务费计入投标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联系电话：029-81875979</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超导线材涡流探伤系统、低温力学测试系统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1,760,000.00</w:t>
      </w:r>
    </w:p>
    <w:p>
      <w:pPr>
        <w:pStyle w:val="null3"/>
      </w:pPr>
      <w:r>
        <w:rPr>
          <w:rFonts w:ascii="仿宋_GB2312" w:hAnsi="仿宋_GB2312" w:cs="仿宋_GB2312" w:eastAsia="仿宋_GB2312"/>
        </w:rPr>
        <w:t>采购包最高限价（元）: 1,760,000.00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超导线材涡流探伤系统低温力学测试系统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标的名称：超导线材涡流探伤系统低温力学测试系统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7"/>
              <w:gridCol w:w="784"/>
              <w:gridCol w:w="269"/>
              <w:gridCol w:w="637"/>
              <w:gridCol w:w="637"/>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设备预算（元）</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超导线材涡流探伤系统</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960000.00</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低温力学测试系统</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800000.00</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超导线材涡流探伤系统：</w:t>
            </w:r>
          </w:p>
          <w:p>
            <w:pPr>
              <w:pStyle w:val="null3"/>
              <w:jc w:val="both"/>
            </w:pPr>
            <w:r>
              <w:rPr>
                <w:rFonts w:ascii="仿宋_GB2312" w:hAnsi="仿宋_GB2312" w:cs="仿宋_GB2312" w:eastAsia="仿宋_GB2312"/>
                <w:sz w:val="21"/>
              </w:rPr>
              <w:t>1.▲检测范围：线径，Φ0.5-3mm</w:t>
            </w:r>
            <w:r>
              <w:br/>
            </w:r>
            <w:r>
              <w:rPr>
                <w:rFonts w:ascii="仿宋_GB2312" w:hAnsi="仿宋_GB2312" w:cs="仿宋_GB2312" w:eastAsia="仿宋_GB2312"/>
                <w:sz w:val="21"/>
              </w:rPr>
              <w:t xml:space="preserve"> 2.检测方式：在线检测</w:t>
            </w:r>
            <w:r>
              <w:br/>
            </w:r>
            <w:r>
              <w:rPr>
                <w:rFonts w:ascii="仿宋_GB2312" w:hAnsi="仿宋_GB2312" w:cs="仿宋_GB2312" w:eastAsia="仿宋_GB2312"/>
                <w:sz w:val="21"/>
              </w:rPr>
              <w:t xml:space="preserve"> 3.▲检测的缺陷当量：≤0.05mm（深）×0.10mm（宽）×5mm（长）的槽伤</w:t>
            </w:r>
          </w:p>
          <w:p>
            <w:pPr>
              <w:pStyle w:val="null3"/>
              <w:jc w:val="both"/>
            </w:pPr>
            <w:r>
              <w:rPr>
                <w:rFonts w:ascii="仿宋_GB2312" w:hAnsi="仿宋_GB2312" w:cs="仿宋_GB2312" w:eastAsia="仿宋_GB2312"/>
                <w:sz w:val="21"/>
              </w:rPr>
              <w:t>4.线性增益：0～70dB连续可调，步长：≤0.1dB</w:t>
            </w:r>
          </w:p>
          <w:p>
            <w:pPr>
              <w:pStyle w:val="null3"/>
              <w:jc w:val="both"/>
            </w:pPr>
            <w:r>
              <w:rPr>
                <w:rFonts w:ascii="仿宋_GB2312" w:hAnsi="仿宋_GB2312" w:cs="仿宋_GB2312" w:eastAsia="仿宋_GB2312"/>
                <w:sz w:val="21"/>
              </w:rPr>
              <w:t>5.▲探伤速度：0.2m/min～7200m/min可调</w:t>
            </w:r>
            <w:r>
              <w:br/>
            </w:r>
            <w:r>
              <w:rPr>
                <w:rFonts w:ascii="仿宋_GB2312" w:hAnsi="仿宋_GB2312" w:cs="仿宋_GB2312" w:eastAsia="仿宋_GB2312"/>
                <w:sz w:val="21"/>
              </w:rPr>
              <w:t xml:space="preserve"> 6.▲人工缺陷大小分辨率：≤0.05mm</w:t>
            </w:r>
            <w:r>
              <w:br/>
            </w:r>
            <w:r>
              <w:rPr>
                <w:rFonts w:ascii="仿宋_GB2312" w:hAnsi="仿宋_GB2312" w:cs="仿宋_GB2312" w:eastAsia="仿宋_GB2312"/>
                <w:sz w:val="21"/>
              </w:rPr>
              <w:t xml:space="preserve"> 7.▲相位旋转：0～360°连续可调，步长：≤1°</w:t>
            </w:r>
            <w:r>
              <w:br/>
            </w:r>
            <w:r>
              <w:rPr>
                <w:rFonts w:ascii="仿宋_GB2312" w:hAnsi="仿宋_GB2312" w:cs="仿宋_GB2312" w:eastAsia="仿宋_GB2312"/>
                <w:sz w:val="21"/>
              </w:rPr>
              <w:t xml:space="preserve"> 8.具有涡流信号的回放扩展功能，可追溯缺陷的幅值、相位、数字值</w:t>
            </w:r>
          </w:p>
          <w:p>
            <w:pPr>
              <w:pStyle w:val="null3"/>
              <w:jc w:val="both"/>
            </w:pPr>
            <w:r>
              <w:rPr>
                <w:rFonts w:ascii="仿宋_GB2312" w:hAnsi="仿宋_GB2312" w:cs="仿宋_GB2312" w:eastAsia="仿宋_GB2312"/>
                <w:sz w:val="21"/>
              </w:rPr>
              <w:t>9.鉴伤平台：设备包含鉴伤平台，平台具备报警自动停线功能、配置在线显微镜用于人工复检</w:t>
            </w:r>
          </w:p>
          <w:p>
            <w:pPr>
              <w:pStyle w:val="null3"/>
              <w:jc w:val="both"/>
            </w:pPr>
            <w:r>
              <w:rPr>
                <w:rFonts w:ascii="仿宋_GB2312" w:hAnsi="仿宋_GB2312" w:cs="仿宋_GB2312" w:eastAsia="仿宋_GB2312"/>
                <w:sz w:val="21"/>
              </w:rPr>
              <w:t>10.显微镜放大倍率≥50X,带灯，可实现在线连续滑移</w:t>
            </w:r>
          </w:p>
          <w:p>
            <w:pPr>
              <w:pStyle w:val="null3"/>
            </w:pPr>
            <w:r>
              <w:rPr>
                <w:rFonts w:ascii="仿宋_GB2312" w:hAnsi="仿宋_GB2312" w:cs="仿宋_GB2312" w:eastAsia="仿宋_GB2312"/>
                <w:sz w:val="21"/>
              </w:rPr>
              <w:t>11.收放线及张力系统：配置自动收放线及张力伺服控制系统；张力1-20N可调；收放线及张力、鉴伤平台与涡流检测进行系统集成。</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低温力学测试系统：</w:t>
            </w:r>
          </w:p>
          <w:p>
            <w:pPr>
              <w:pStyle w:val="null3"/>
              <w:jc w:val="both"/>
            </w:pPr>
            <w:r>
              <w:rPr>
                <w:rFonts w:ascii="仿宋_GB2312" w:hAnsi="仿宋_GB2312" w:cs="仿宋_GB2312" w:eastAsia="仿宋_GB2312"/>
                <w:sz w:val="21"/>
              </w:rPr>
              <w:t>1.▲试验力量程：0.1N～10kN</w:t>
            </w:r>
          </w:p>
          <w:p>
            <w:pPr>
              <w:pStyle w:val="null3"/>
              <w:jc w:val="both"/>
            </w:pPr>
            <w:r>
              <w:rPr>
                <w:rFonts w:ascii="仿宋_GB2312" w:hAnsi="仿宋_GB2312" w:cs="仿宋_GB2312" w:eastAsia="仿宋_GB2312"/>
                <w:sz w:val="21"/>
              </w:rPr>
              <w:t>2.▲试验力精度：≤±0.5%</w:t>
            </w:r>
          </w:p>
          <w:p>
            <w:pPr>
              <w:pStyle w:val="null3"/>
              <w:jc w:val="both"/>
            </w:pPr>
            <w:r>
              <w:rPr>
                <w:rFonts w:ascii="仿宋_GB2312" w:hAnsi="仿宋_GB2312" w:cs="仿宋_GB2312" w:eastAsia="仿宋_GB2312"/>
                <w:sz w:val="21"/>
              </w:rPr>
              <w:t>3.▲试验力分辨率：≤1/1000000FS</w:t>
            </w:r>
            <w:r>
              <w:br/>
            </w:r>
            <w:r>
              <w:rPr>
                <w:rFonts w:ascii="仿宋_GB2312" w:hAnsi="仿宋_GB2312" w:cs="仿宋_GB2312" w:eastAsia="仿宋_GB2312"/>
                <w:sz w:val="21"/>
              </w:rPr>
              <w:t xml:space="preserve"> 4.▲温度范围：-196度-室温，配备适配拉力机的液氮杜瓦装置（杜瓦内径≥430mm，高度≥500mm）</w:t>
            </w:r>
          </w:p>
          <w:p>
            <w:pPr>
              <w:pStyle w:val="null3"/>
              <w:jc w:val="both"/>
            </w:pPr>
            <w:r>
              <w:rPr>
                <w:rFonts w:ascii="仿宋_GB2312" w:hAnsi="仿宋_GB2312" w:cs="仿宋_GB2312" w:eastAsia="仿宋_GB2312"/>
                <w:sz w:val="21"/>
              </w:rPr>
              <w:t>5.▲拉伸速度：0.001 - 500 mm/min可调</w:t>
            </w:r>
          </w:p>
          <w:p>
            <w:pPr>
              <w:pStyle w:val="null3"/>
              <w:jc w:val="both"/>
            </w:pPr>
            <w:r>
              <w:rPr>
                <w:rFonts w:ascii="仿宋_GB2312" w:hAnsi="仿宋_GB2312" w:cs="仿宋_GB2312" w:eastAsia="仿宋_GB2312"/>
                <w:sz w:val="21"/>
              </w:rPr>
              <w:t>6.速度精度：≤±0.1%</w:t>
            </w:r>
          </w:p>
          <w:p>
            <w:pPr>
              <w:pStyle w:val="null3"/>
              <w:jc w:val="both"/>
            </w:pPr>
            <w:r>
              <w:rPr>
                <w:rFonts w:ascii="仿宋_GB2312" w:hAnsi="仿宋_GB2312" w:cs="仿宋_GB2312" w:eastAsia="仿宋_GB2312"/>
                <w:sz w:val="21"/>
              </w:rPr>
              <w:t>7.位移分辨率：≤0.0001mm</w:t>
            </w:r>
          </w:p>
          <w:p>
            <w:pPr>
              <w:pStyle w:val="null3"/>
              <w:jc w:val="both"/>
            </w:pPr>
            <w:r>
              <w:rPr>
                <w:rFonts w:ascii="仿宋_GB2312" w:hAnsi="仿宋_GB2312" w:cs="仿宋_GB2312" w:eastAsia="仿宋_GB2312"/>
                <w:sz w:val="21"/>
              </w:rPr>
              <w:t>8.位移速率控制精度：≤±0.5%</w:t>
            </w:r>
            <w:r>
              <w:br/>
            </w:r>
            <w:r>
              <w:rPr>
                <w:rFonts w:ascii="仿宋_GB2312" w:hAnsi="仿宋_GB2312" w:cs="仿宋_GB2312" w:eastAsia="仿宋_GB2312"/>
                <w:sz w:val="21"/>
              </w:rPr>
              <w:t xml:space="preserve"> 9.▲同轴度： ≤10%</w:t>
            </w:r>
            <w:r>
              <w:br/>
            </w:r>
            <w:r>
              <w:rPr>
                <w:rFonts w:ascii="仿宋_GB2312" w:hAnsi="仿宋_GB2312" w:cs="仿宋_GB2312" w:eastAsia="仿宋_GB2312"/>
                <w:sz w:val="21"/>
              </w:rPr>
              <w:t xml:space="preserve"> 10.样品可适用的低温力学测量方式（3种）：低温引伸计、低温分布式光纤测量和低温应变片</w:t>
            </w:r>
          </w:p>
          <w:p>
            <w:pPr>
              <w:pStyle w:val="null3"/>
              <w:jc w:val="both"/>
            </w:pPr>
            <w:r>
              <w:rPr>
                <w:rFonts w:ascii="仿宋_GB2312" w:hAnsi="仿宋_GB2312" w:cs="仿宋_GB2312" w:eastAsia="仿宋_GB2312"/>
                <w:sz w:val="21"/>
              </w:rPr>
              <w:t>11.可测量样品类型：棒材（线径≤Φ18mm）、带材(尺寸≤2mm（深）×12mm（宽）×200mm（长）)</w:t>
            </w:r>
          </w:p>
          <w:p>
            <w:pPr>
              <w:pStyle w:val="null3"/>
            </w:pPr>
            <w:r>
              <w:rPr>
                <w:rFonts w:ascii="仿宋_GB2312" w:hAnsi="仿宋_GB2312" w:cs="仿宋_GB2312" w:eastAsia="仿宋_GB2312"/>
                <w:sz w:val="21"/>
              </w:rPr>
              <w:t>12.配套夹具：一套低温夹具，一套常温棒材拉伸夹具，二套不同规格夹块。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合同签订之日起70日历日交货安装验收完毕。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其他，设备安装调试经采购人验收合格后 ，达到付款条件起10个工作日内，支付合同总金额的100.0%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设备的验收流程包括:到货验收、安装调试、试运行、最终验收。到货验收:设备到达指定地点后，由采购人技术人员进行初步检查，确认设备的外观、型号等信息是否与合同一致。同时，需要开箱验货，检查设备及配件的外观、数量、包装是否完好无损。如果发现外包装损坏或规格、型号、数量与合同不符等问题，则视为初验不合格，设备应返回给中标人，并记录处理意见。安装调试:在确认设备符合要求后，由中标人进行设备的安装和调试，确保设备能够正常运行。试运行:设备安装调试完成后，通常会进入试运行期。本项目运行期为1周，试运行期间，如果出现质量问题，中标人需负责修复或更换货物。试运行结束后，由采购人组织正式验收。最终验收:在试运行无问题后，由采购人和中标人共同完成最终验收。验收小组对设备的性能、稳定性进行全面测试和评估，根据测试结果决定是否接受该设备，并签署验收报告。最终验收合格后，办理移交手续，并依据合同条款进行付款申报。2.培训要求:到货后一个月内，至少包含一名原厂技术工程师现场指导，培训时长不低于4小时。中标人须负责开展培训服务，明确各阶段详实培训计划，包括但不限于对教师、实验室设备管理人员等进行培训服务。培训内容包括各种设备的初始化及故障诊断、定位和排除技能等。培训次数不限，达到熟练使用的效果。提供相关主要设备的操作流程及使用手册，维修手册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验收合格后5年;质保期满后，中标(成交)供应商仍需提供专业维修服务。质保期内免费提供正常使用的易损件和备件;软件系统提供终身免费升级服务。设备经过双方检验认可后，签署验收报告，产品保修期自验收合格之日起计算，由中标(成交)供应商提供产品保修文件。质保期内所有维修服务均由中标(成交)供应商免费上门取、送、修。安装调试1个月内，如有质量问题，设备整机无条件退换货并提供备件以保证教学正常开展。在保修期内，任何质量问题，中标(成交)供应商负责免费维修。质保期过后需换件时，原则上应提供原装器件，并按成本价收费。服务响应时间:中标(成交)供应商接到维修电话后2小时内给予明确答复，4小时内到达现场维修。维修人员到现场后若问题特殊无法现场修复的，中标(成交)供应商需在24小时内给出合理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在履行本合同过程中，如采购人、供应商双方发生争议，协商解决:如双方达不成协议，向具有管辖权的人民法院提起诉讼。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线下密封提交纸质版投标文件正本壹份、副本贰份。若线上电子投标文件与纸质投标文件不一致的，以线上电子投标文件为准。线下递交文件地点：西安市雁塔区科技路 30号合力紫郡B座21层。 2.投标保证金以电子保函形式递交需在开标前给shanxizhuoming_zb@163.com发一份扫描件。 3.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非接受联合体投标声明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投标报价未超过采购预算(包含单台设备预算）或最高限价(合格)，投标报价超过采购预算(包含单台设备预算）或最高限价(不合格)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交货时间(期)满足招标文件要求 (合格)，交货时间(期)不满足招标文件要求(不合格)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质保期满足招标文件要求(合格)， 质保期不满足招标文件要求(不合格)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支付约定满足招标文件要求(合格)， 支付约定不满足招标文件要求(不合格)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 要求(合格)，投标文件的签署、盖章不满足招标文件要求(不合格)</w:t>
            </w:r>
          </w:p>
        </w:tc>
        <w:tc>
          <w:tcPr>
            <w:tcW w:type="dxa" w:w="1661"/>
          </w:tcPr>
          <w:p>
            <w:pPr>
              <w:pStyle w:val="null3"/>
            </w:pPr>
            <w:r>
              <w:rPr>
                <w:rFonts w:ascii="仿宋_GB2312" w:hAnsi="仿宋_GB2312" w:cs="仿宋_GB2312" w:eastAsia="仿宋_GB2312"/>
              </w:rPr>
              <w:t>开标一览表 分项报价表.docx 供应商资格要求.docx 投标函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 格)，投标文件无投标有效期或有效期不满足招标文件要 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标的数量满足招标文件要求(合 格)，标的数量出现漏项或与招标文件要求不符(不合格)</w:t>
            </w:r>
          </w:p>
        </w:tc>
        <w:tc>
          <w:tcPr>
            <w:tcW w:type="dxa" w:w="1661"/>
          </w:tcPr>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 情形(合格)，存在法律、法规和招标文件规定的其他无 效情形(不合格)</w:t>
            </w:r>
          </w:p>
        </w:tc>
        <w:tc>
          <w:tcPr>
            <w:tcW w:type="dxa" w:w="1661"/>
          </w:tcPr>
          <w:p>
            <w:pPr>
              <w:pStyle w:val="null3"/>
            </w:pPr>
            <w:r>
              <w:rPr>
                <w:rFonts w:ascii="仿宋_GB2312" w:hAnsi="仿宋_GB2312" w:cs="仿宋_GB2312" w:eastAsia="仿宋_GB2312"/>
              </w:rPr>
              <w:t>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基本分（32分）：完全符合、响应招标文件要求，没有负偏离计32分，“▲”参数每负偏离一项扣2分，未带标识参数每负偏离一项扣0.84分，扣完为止。 备注：▲参数必须提供佐证材料（包括但不限于产品彩页、检测报告、功能截图、盖章的说明书等），未提供佐证材料或提供的佐证材料低于招标要求时按负偏离处理。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技术方案；③计划进度安排；④项目团队配备；⑤项目实施过程中质量保证；⑥安装调试方案及项目验收方案；完整提供上述6项内容的得12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完整提供上述4项内容的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培训内容；②培训计划安排、人员安排；完整提供上述2项内容的得7分；每有一项未提供扣3.5分，扣完为止；每有一处有缺陷扣1.75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提供供应商2023年1月1日至今类似项目合同（以合同签订日期为准），每提供1个得1分，最高得2分。备注：响应文件中提供合同复印件。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及售后人员配置安排计划；④故障处理响应时间。完整提供上述4项内容的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供应商投标产品中每有一项为节能产品或环境标志产品经国家认证的得1分。(以经国家通定的认证机构出具的、处于有效期内的节能产品、环境标志产品认证证书为准。）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注：计算分数时四舍五入取小数点后两位。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