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版本号：ZMZB2026WGYDX-253.1B120260810001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多语种智能翻译机器人采购项目(二次)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ZMZB2026WGYDX-253.1B1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多语种智能翻译机器人采购项目(二次)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ZMZB2026WGYDX-253.1B1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多语种智能翻译机器人采购项目(二次)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多语种智能翻译机器人采购项目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采购包1保证金金额：27,600.00元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15%，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多语种智能翻译机器人采购项目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多语种智能翻译机器人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标的名称：多语种智能翻译机器人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2"/>
              <w:gridCol w:w="1298"/>
              <w:gridCol w:w="395"/>
              <w:gridCol w:w="564"/>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单位</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多语种智能翻译机器人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一、机器人</w:t>
            </w:r>
            <w:r>
              <w:rPr>
                <w:rFonts w:ascii="仿宋_GB2312" w:hAnsi="仿宋_GB2312" w:cs="仿宋_GB2312" w:eastAsia="仿宋_GB2312"/>
                <w:sz w:val="20"/>
              </w:rPr>
              <w:t>1（1 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整体由头部感知舱、躯干承载舱、双上肢、双下肢、腰部关节五大结构单元组成，支持全关节折叠收纳，折叠后高度</w:t>
            </w:r>
            <w:r>
              <w:rPr>
                <w:rFonts w:ascii="仿宋_GB2312" w:hAnsi="仿宋_GB2312" w:cs="仿宋_GB2312" w:eastAsia="仿宋_GB2312"/>
                <w:sz w:val="20"/>
              </w:rPr>
              <w:t>≤ 690mm，便于设备运输、仓储与快速部署；</w:t>
            </w:r>
          </w:p>
          <w:p>
            <w:pPr>
              <w:pStyle w:val="null3"/>
              <w:jc w:val="both"/>
            </w:pPr>
            <w:r>
              <w:rPr>
                <w:rFonts w:ascii="仿宋_GB2312" w:hAnsi="仿宋_GB2312" w:cs="仿宋_GB2312" w:eastAsia="仿宋_GB2312"/>
                <w:sz w:val="20"/>
              </w:rPr>
              <w:t>2.行走速度≥2m/s；</w:t>
            </w:r>
          </w:p>
          <w:p>
            <w:pPr>
              <w:pStyle w:val="null3"/>
              <w:jc w:val="both"/>
            </w:pPr>
            <w:r>
              <w:rPr>
                <w:rFonts w:ascii="仿宋_GB2312" w:hAnsi="仿宋_GB2312" w:cs="仿宋_GB2312" w:eastAsia="仿宋_GB2312"/>
                <w:sz w:val="20"/>
              </w:rPr>
              <w:t>3.接口类型：支持XT3OUPB-F、RJ45、Type-C等；</w:t>
            </w:r>
          </w:p>
          <w:p>
            <w:pPr>
              <w:pStyle w:val="null3"/>
              <w:jc w:val="both"/>
            </w:pPr>
            <w:r>
              <w:rPr>
                <w:rFonts w:ascii="仿宋_GB2312" w:hAnsi="仿宋_GB2312" w:cs="仿宋_GB2312" w:eastAsia="仿宋_GB2312"/>
                <w:sz w:val="20"/>
              </w:rPr>
              <w:t>4.支持高精度全身关节运动控制，可精准识别并执行师生语音、文字自定义指令，完成站姿礼仪、肢体展演、手势互动、定点造型等人形动作，适配课堂实训演绎、学术迎宾、外事礼仪展示场景。</w:t>
            </w:r>
          </w:p>
          <w:p>
            <w:pPr>
              <w:pStyle w:val="null3"/>
              <w:jc w:val="both"/>
            </w:pPr>
            <w:r>
              <w:rPr>
                <w:rFonts w:ascii="仿宋_GB2312" w:hAnsi="仿宋_GB2312" w:cs="仿宋_GB2312" w:eastAsia="仿宋_GB2312"/>
                <w:sz w:val="20"/>
              </w:rPr>
              <w:t>5.高宽厚(站立)：≤1320×450×200mm</w:t>
            </w:r>
          </w:p>
          <w:p>
            <w:pPr>
              <w:pStyle w:val="null3"/>
              <w:jc w:val="both"/>
            </w:pPr>
            <w:r>
              <w:rPr>
                <w:rFonts w:ascii="仿宋_GB2312" w:hAnsi="仿宋_GB2312" w:cs="仿宋_GB2312" w:eastAsia="仿宋_GB2312"/>
                <w:sz w:val="20"/>
              </w:rPr>
              <w:t>6.高宽厚(折叠)：≤690×450×300mm</w:t>
            </w:r>
          </w:p>
          <w:p>
            <w:pPr>
              <w:pStyle w:val="null3"/>
              <w:jc w:val="both"/>
            </w:pPr>
            <w:r>
              <w:rPr>
                <w:rFonts w:ascii="仿宋_GB2312" w:hAnsi="仿宋_GB2312" w:cs="仿宋_GB2312" w:eastAsia="仿宋_GB2312"/>
                <w:sz w:val="20"/>
              </w:rPr>
              <w:t>7.带电池重量范围：35kg-55kg，</w:t>
            </w:r>
            <w:r>
              <w:rPr>
                <w:rFonts w:ascii="仿宋_GB2312" w:hAnsi="仿宋_GB2312" w:cs="仿宋_GB2312" w:eastAsia="仿宋_GB2312"/>
                <w:sz w:val="20"/>
              </w:rPr>
              <w:t>电池容量：</w:t>
            </w:r>
            <w:r>
              <w:rPr>
                <w:rFonts w:ascii="仿宋_GB2312" w:hAnsi="仿宋_GB2312" w:cs="仿宋_GB2312" w:eastAsia="仿宋_GB2312"/>
                <w:sz w:val="20"/>
              </w:rPr>
              <w:t>9000mAh，待机时间：≥2小时；充电时间：≤45分钟；备用电池：一块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8.总自由度(关节电机)：≥29；</w:t>
            </w:r>
          </w:p>
          <w:p>
            <w:pPr>
              <w:pStyle w:val="null3"/>
              <w:jc w:val="both"/>
            </w:pPr>
            <w:r>
              <w:rPr>
                <w:rFonts w:ascii="仿宋_GB2312" w:hAnsi="仿宋_GB2312" w:cs="仿宋_GB2312" w:eastAsia="仿宋_GB2312"/>
                <w:sz w:val="20"/>
              </w:rPr>
              <w:t>9.单腿自由度：≥6个；</w:t>
            </w:r>
          </w:p>
          <w:p>
            <w:pPr>
              <w:pStyle w:val="null3"/>
              <w:jc w:val="both"/>
            </w:pPr>
            <w:r>
              <w:rPr>
                <w:rFonts w:ascii="仿宋_GB2312" w:hAnsi="仿宋_GB2312" w:cs="仿宋_GB2312" w:eastAsia="仿宋_GB2312"/>
                <w:sz w:val="20"/>
              </w:rPr>
              <w:t>10.腰部自由度：≥3个；</w:t>
            </w:r>
          </w:p>
          <w:p>
            <w:pPr>
              <w:pStyle w:val="null3"/>
              <w:jc w:val="both"/>
            </w:pPr>
            <w:r>
              <w:rPr>
                <w:rFonts w:ascii="仿宋_GB2312" w:hAnsi="仿宋_GB2312" w:cs="仿宋_GB2312" w:eastAsia="仿宋_GB2312"/>
                <w:sz w:val="20"/>
              </w:rPr>
              <w:t>11.单手臂自由度：≥7个；</w:t>
            </w:r>
          </w:p>
          <w:p>
            <w:pPr>
              <w:pStyle w:val="null3"/>
              <w:jc w:val="both"/>
            </w:pPr>
            <w:r>
              <w:rPr>
                <w:rFonts w:ascii="仿宋_GB2312" w:hAnsi="仿宋_GB2312" w:cs="仿宋_GB2312" w:eastAsia="仿宋_GB2312"/>
                <w:sz w:val="20"/>
              </w:rPr>
              <w:t>12.▲支持智能OTA升级；</w:t>
            </w:r>
          </w:p>
          <w:p>
            <w:pPr>
              <w:pStyle w:val="null3"/>
              <w:jc w:val="both"/>
            </w:pPr>
            <w:r>
              <w:rPr>
                <w:rFonts w:ascii="仿宋_GB2312" w:hAnsi="仿宋_GB2312" w:cs="仿宋_GB2312" w:eastAsia="仿宋_GB2312"/>
                <w:sz w:val="20"/>
              </w:rPr>
              <w:t>13.▲感知传感器:配置深度相机</w:t>
            </w:r>
            <w:r>
              <w:rPr>
                <w:rFonts w:ascii="仿宋_GB2312" w:hAnsi="仿宋_GB2312" w:cs="仿宋_GB2312" w:eastAsia="仿宋_GB2312"/>
                <w:sz w:val="20"/>
              </w:rPr>
              <w:t>分辨率</w:t>
            </w:r>
            <w:r>
              <w:rPr>
                <w:rFonts w:ascii="仿宋_GB2312" w:hAnsi="仿宋_GB2312" w:cs="仿宋_GB2312" w:eastAsia="仿宋_GB2312"/>
                <w:sz w:val="20"/>
              </w:rPr>
              <w:t>≥848*480 @ 90 fps；深度视场角：86° * 57°</w:t>
            </w:r>
            <w:r>
              <w:rPr>
                <w:rFonts w:ascii="仿宋_GB2312" w:hAnsi="仿宋_GB2312" w:cs="仿宋_GB2312" w:eastAsia="仿宋_GB2312"/>
                <w:sz w:val="20"/>
              </w:rPr>
              <w:t>、</w:t>
            </w:r>
            <w:r>
              <w:rPr>
                <w:rFonts w:ascii="仿宋_GB2312" w:hAnsi="仿宋_GB2312" w:cs="仿宋_GB2312" w:eastAsia="仿宋_GB2312"/>
                <w:sz w:val="20"/>
              </w:rPr>
              <w:t>3D激光雷达、≥4麦克风阵列、5W扬声器。</w:t>
            </w:r>
          </w:p>
          <w:p>
            <w:pPr>
              <w:pStyle w:val="null3"/>
              <w:jc w:val="both"/>
            </w:pPr>
            <w:r>
              <w:rPr>
                <w:rFonts w:ascii="仿宋_GB2312" w:hAnsi="仿宋_GB2312" w:cs="仿宋_GB2312" w:eastAsia="仿宋_GB2312"/>
                <w:sz w:val="20"/>
              </w:rPr>
              <w:t>14.▲膝关节最大扭矩：≥120N.m；</w:t>
            </w:r>
          </w:p>
          <w:p>
            <w:pPr>
              <w:pStyle w:val="null3"/>
              <w:jc w:val="both"/>
            </w:pPr>
            <w:r>
              <w:rPr>
                <w:rFonts w:ascii="仿宋_GB2312" w:hAnsi="仿宋_GB2312" w:cs="仿宋_GB2312" w:eastAsia="仿宋_GB2312"/>
                <w:sz w:val="20"/>
              </w:rPr>
              <w:t>15.手臂最大负载：≥3kg；</w:t>
            </w:r>
          </w:p>
          <w:p>
            <w:pPr>
              <w:pStyle w:val="null3"/>
              <w:jc w:val="both"/>
            </w:pPr>
            <w:r>
              <w:rPr>
                <w:rFonts w:ascii="仿宋_GB2312" w:hAnsi="仿宋_GB2312" w:cs="仿宋_GB2312" w:eastAsia="仿宋_GB2312"/>
                <w:sz w:val="20"/>
              </w:rPr>
              <w:t>16.小腿+大腿长度：≥0.6m</w:t>
            </w:r>
          </w:p>
          <w:p>
            <w:pPr>
              <w:pStyle w:val="null3"/>
              <w:jc w:val="both"/>
            </w:pPr>
            <w:r>
              <w:rPr>
                <w:rFonts w:ascii="仿宋_GB2312" w:hAnsi="仿宋_GB2312" w:cs="仿宋_GB2312" w:eastAsia="仿宋_GB2312"/>
                <w:sz w:val="20"/>
              </w:rPr>
              <w:t>17.手臂臂展：≥0.45m</w:t>
            </w:r>
          </w:p>
          <w:p>
            <w:pPr>
              <w:pStyle w:val="null3"/>
              <w:jc w:val="both"/>
            </w:pPr>
            <w:r>
              <w:rPr>
                <w:rFonts w:ascii="仿宋_GB2312" w:hAnsi="仿宋_GB2312" w:cs="仿宋_GB2312" w:eastAsia="仿宋_GB2312"/>
                <w:sz w:val="20"/>
              </w:rPr>
              <w:t>18.关节运动空间</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▲18.1腰部Z轴关节：Z±155°、X±45°、Y±158°或优于；</w:t>
            </w:r>
          </w:p>
          <w:p>
            <w:pPr>
              <w:pStyle w:val="null3"/>
              <w:ind w:firstLine="200"/>
              <w:jc w:val="both"/>
            </w:pPr>
            <w:r>
              <w:rPr>
                <w:rFonts w:ascii="仿宋_GB2312" w:hAnsi="仿宋_GB2312" w:cs="仿宋_GB2312" w:eastAsia="仿宋_GB2312"/>
                <w:sz w:val="20"/>
              </w:rPr>
              <w:t>▲ 18.2膝关节：0~165°或优于；</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▲18.3髋关节：P±154°、R-30~±170°、Y±158°或优于；</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▲18.4手腕关节：二自由度手腕P±92.5°、Y±92.5°或优于；</w:t>
            </w:r>
          </w:p>
          <w:p>
            <w:pPr>
              <w:pStyle w:val="null3"/>
              <w:jc w:val="both"/>
            </w:pPr>
            <w:r>
              <w:rPr>
                <w:rFonts w:ascii="仿宋_GB2312" w:hAnsi="仿宋_GB2312" w:cs="仿宋_GB2312" w:eastAsia="仿宋_GB2312"/>
                <w:sz w:val="20"/>
              </w:rPr>
              <w:t>19.▲具备全关节中空内走线；</w:t>
            </w:r>
          </w:p>
          <w:p>
            <w:pPr>
              <w:pStyle w:val="null3"/>
              <w:jc w:val="both"/>
            </w:pPr>
            <w:r>
              <w:rPr>
                <w:rFonts w:ascii="仿宋_GB2312" w:hAnsi="仿宋_GB2312" w:cs="仿宋_GB2312" w:eastAsia="仿宋_GB2312"/>
                <w:sz w:val="20"/>
              </w:rPr>
              <w:t>20.关节编码器：双编码器或优于；</w:t>
            </w:r>
          </w:p>
          <w:p>
            <w:pPr>
              <w:pStyle w:val="null3"/>
              <w:jc w:val="both"/>
            </w:pPr>
            <w:r>
              <w:rPr>
                <w:rFonts w:ascii="仿宋_GB2312" w:hAnsi="仿宋_GB2312" w:cs="仿宋_GB2312" w:eastAsia="仿宋_GB2312"/>
                <w:sz w:val="20"/>
              </w:rPr>
              <w:t>21.▲散热系统：局部风冷散热；</w:t>
            </w:r>
          </w:p>
          <w:p>
            <w:pPr>
              <w:pStyle w:val="null3"/>
              <w:jc w:val="both"/>
            </w:pPr>
            <w:r>
              <w:rPr>
                <w:rFonts w:ascii="仿宋_GB2312" w:hAnsi="仿宋_GB2312" w:cs="仿宋_GB2312" w:eastAsia="仿宋_GB2312"/>
                <w:sz w:val="20"/>
              </w:rPr>
              <w:t>22.基础算力：8核高性能CPU或优于，</w:t>
            </w:r>
            <w:r>
              <w:rPr>
                <w:rFonts w:ascii="仿宋_GB2312" w:hAnsi="仿宋_GB2312" w:cs="仿宋_GB2312" w:eastAsia="仿宋_GB2312"/>
                <w:sz w:val="20"/>
              </w:rPr>
              <w:t>内核：</w:t>
            </w:r>
            <w:r>
              <w:rPr>
                <w:rFonts w:ascii="仿宋_GB2312" w:hAnsi="仿宋_GB2312" w:cs="仿宋_GB2312" w:eastAsia="仿宋_GB2312"/>
                <w:sz w:val="20"/>
              </w:rPr>
              <w:t>≥8线程；最大睿频≥2GHz;显存≥8G，内存≥8G；存储≥1T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23.具备≥100Tops算力的拓展坞，含AI算法及技术支持；</w:t>
            </w:r>
          </w:p>
          <w:p>
            <w:pPr>
              <w:pStyle w:val="null3"/>
              <w:jc w:val="both"/>
            </w:pPr>
            <w:r>
              <w:rPr>
                <w:rFonts w:ascii="仿宋_GB2312" w:hAnsi="仿宋_GB2312" w:cs="仿宋_GB2312" w:eastAsia="仿宋_GB2312"/>
                <w:sz w:val="20"/>
              </w:rPr>
              <w:t>24.支持高层和底层的二次开发，提供详细的用户使用，软件开发等手册等，提供高层控制（如行走）功能的二次开发文档及例程，提供底层控制（电机的位置、速度和力矩）功能的二次开发文档及例程。通用Ubuntu操作系统，易于使用通用数学库、机器人库，开发程序。</w:t>
            </w:r>
          </w:p>
          <w:p>
            <w:pPr>
              <w:pStyle w:val="null3"/>
              <w:jc w:val="both"/>
            </w:pPr>
            <w:r>
              <w:rPr>
                <w:rFonts w:ascii="仿宋_GB2312" w:hAnsi="仿宋_GB2312" w:cs="仿宋_GB2312" w:eastAsia="仿宋_GB2312"/>
                <w:sz w:val="20"/>
              </w:rPr>
              <w:t>二、机器人</w:t>
            </w:r>
            <w:r>
              <w:rPr>
                <w:rFonts w:ascii="仿宋_GB2312" w:hAnsi="仿宋_GB2312" w:cs="仿宋_GB2312" w:eastAsia="仿宋_GB2312"/>
                <w:sz w:val="20"/>
              </w:rPr>
              <w:t>2（1台）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整体由头部感知舱、躯干承载舱、双上肢、双下肢、腰部关节五大结构单元组成，支持全关节折叠收纳，折叠后高度</w:t>
            </w:r>
            <w:r>
              <w:rPr>
                <w:rFonts w:ascii="仿宋_GB2312" w:hAnsi="仿宋_GB2312" w:cs="仿宋_GB2312" w:eastAsia="仿宋_GB2312"/>
                <w:sz w:val="20"/>
              </w:rPr>
              <w:t>≤ 690mm，便于设备运输、仓储与快速部署；</w:t>
            </w:r>
          </w:p>
          <w:p>
            <w:pPr>
              <w:pStyle w:val="null3"/>
              <w:jc w:val="both"/>
            </w:pPr>
            <w:r>
              <w:rPr>
                <w:rFonts w:ascii="仿宋_GB2312" w:hAnsi="仿宋_GB2312" w:cs="仿宋_GB2312" w:eastAsia="仿宋_GB2312"/>
                <w:sz w:val="20"/>
              </w:rPr>
              <w:t>2.行走速度≥2m/s；</w:t>
            </w:r>
          </w:p>
          <w:p>
            <w:pPr>
              <w:pStyle w:val="null3"/>
              <w:jc w:val="both"/>
            </w:pPr>
            <w:r>
              <w:rPr>
                <w:rFonts w:ascii="仿宋_GB2312" w:hAnsi="仿宋_GB2312" w:cs="仿宋_GB2312" w:eastAsia="仿宋_GB2312"/>
                <w:sz w:val="20"/>
              </w:rPr>
              <w:t>3.接口类型：支持XT3OUPB-F、RJ45、Type-C等；</w:t>
            </w:r>
          </w:p>
          <w:p>
            <w:pPr>
              <w:pStyle w:val="null3"/>
              <w:jc w:val="both"/>
            </w:pPr>
            <w:r>
              <w:rPr>
                <w:rFonts w:ascii="仿宋_GB2312" w:hAnsi="仿宋_GB2312" w:cs="仿宋_GB2312" w:eastAsia="仿宋_GB2312"/>
                <w:sz w:val="20"/>
              </w:rPr>
              <w:t>4.支持高精度全身关节运动控制，可精准识别并执行师生语音、文字自定义指令，完成站姿礼仪、肢体展演、手势互动、定点造型等人形动作，适配课堂实训演绎、学术迎宾、外事礼仪展示场景。</w:t>
            </w:r>
          </w:p>
          <w:p>
            <w:pPr>
              <w:pStyle w:val="null3"/>
              <w:jc w:val="both"/>
            </w:pPr>
            <w:r>
              <w:rPr>
                <w:rFonts w:ascii="仿宋_GB2312" w:hAnsi="仿宋_GB2312" w:cs="仿宋_GB2312" w:eastAsia="仿宋_GB2312"/>
                <w:sz w:val="20"/>
              </w:rPr>
              <w:t>5.高宽厚(站立)：≤1320×450×200mm</w:t>
            </w:r>
          </w:p>
          <w:p>
            <w:pPr>
              <w:pStyle w:val="null3"/>
              <w:jc w:val="both"/>
            </w:pPr>
            <w:r>
              <w:rPr>
                <w:rFonts w:ascii="仿宋_GB2312" w:hAnsi="仿宋_GB2312" w:cs="仿宋_GB2312" w:eastAsia="仿宋_GB2312"/>
                <w:sz w:val="20"/>
              </w:rPr>
              <w:t>6.高宽厚(折叠)：≤690×450×300mm</w:t>
            </w:r>
          </w:p>
          <w:p>
            <w:pPr>
              <w:pStyle w:val="null3"/>
              <w:jc w:val="both"/>
            </w:pPr>
            <w:r>
              <w:rPr>
                <w:rFonts w:ascii="仿宋_GB2312" w:hAnsi="仿宋_GB2312" w:cs="仿宋_GB2312" w:eastAsia="仿宋_GB2312"/>
                <w:sz w:val="20"/>
              </w:rPr>
              <w:t>7.带电池重量：35kg-55kg，</w:t>
            </w:r>
            <w:r>
              <w:rPr>
                <w:rFonts w:ascii="仿宋_GB2312" w:hAnsi="仿宋_GB2312" w:cs="仿宋_GB2312" w:eastAsia="仿宋_GB2312"/>
                <w:sz w:val="20"/>
              </w:rPr>
              <w:t>电池容量：</w:t>
            </w:r>
            <w:r>
              <w:rPr>
                <w:rFonts w:ascii="仿宋_GB2312" w:hAnsi="仿宋_GB2312" w:cs="仿宋_GB2312" w:eastAsia="仿宋_GB2312"/>
                <w:sz w:val="20"/>
              </w:rPr>
              <w:t>9000mAh，待机时间：≥2小时；充电时间：≤45分钟；备用电池：一块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8总自由度(关节电机)：≥41；</w:t>
            </w:r>
          </w:p>
          <w:p>
            <w:pPr>
              <w:pStyle w:val="null3"/>
              <w:jc w:val="both"/>
            </w:pPr>
            <w:r>
              <w:rPr>
                <w:rFonts w:ascii="仿宋_GB2312" w:hAnsi="仿宋_GB2312" w:cs="仿宋_GB2312" w:eastAsia="仿宋_GB2312"/>
                <w:sz w:val="20"/>
              </w:rPr>
              <w:t>9.单腿自由度：≥6个；</w:t>
            </w:r>
          </w:p>
          <w:p>
            <w:pPr>
              <w:pStyle w:val="null3"/>
              <w:jc w:val="both"/>
            </w:pPr>
            <w:r>
              <w:rPr>
                <w:rFonts w:ascii="仿宋_GB2312" w:hAnsi="仿宋_GB2312" w:cs="仿宋_GB2312" w:eastAsia="仿宋_GB2312"/>
                <w:sz w:val="20"/>
              </w:rPr>
              <w:t>10.腰部自由度：≥3个；</w:t>
            </w:r>
          </w:p>
          <w:p>
            <w:pPr>
              <w:pStyle w:val="null3"/>
              <w:jc w:val="both"/>
            </w:pPr>
            <w:r>
              <w:rPr>
                <w:rFonts w:ascii="仿宋_GB2312" w:hAnsi="仿宋_GB2312" w:cs="仿宋_GB2312" w:eastAsia="仿宋_GB2312"/>
                <w:sz w:val="20"/>
              </w:rPr>
              <w:t>11.单手臂自由度：≥7个；</w:t>
            </w:r>
          </w:p>
          <w:p>
            <w:pPr>
              <w:pStyle w:val="null3"/>
              <w:jc w:val="both"/>
            </w:pPr>
            <w:r>
              <w:rPr>
                <w:rFonts w:ascii="仿宋_GB2312" w:hAnsi="仿宋_GB2312" w:cs="仿宋_GB2312" w:eastAsia="仿宋_GB2312"/>
                <w:sz w:val="20"/>
              </w:rPr>
              <w:t>12.单机械手自由度：≥6个；</w:t>
            </w:r>
          </w:p>
          <w:p>
            <w:pPr>
              <w:pStyle w:val="null3"/>
              <w:jc w:val="both"/>
            </w:pPr>
            <w:r>
              <w:rPr>
                <w:rFonts w:ascii="仿宋_GB2312" w:hAnsi="仿宋_GB2312" w:cs="仿宋_GB2312" w:eastAsia="仿宋_GB2312"/>
                <w:sz w:val="20"/>
              </w:rPr>
              <w:t>13.▲配备≥2只五指灵巧手，带触觉，单只手的触觉传感器数量为≥17</w:t>
            </w:r>
          </w:p>
          <w:p>
            <w:pPr>
              <w:pStyle w:val="null3"/>
              <w:jc w:val="both"/>
            </w:pPr>
            <w:r>
              <w:rPr>
                <w:rFonts w:ascii="仿宋_GB2312" w:hAnsi="仿宋_GB2312" w:cs="仿宋_GB2312" w:eastAsia="仿宋_GB2312"/>
                <w:sz w:val="20"/>
              </w:rPr>
              <w:t>14.▲膝关节最大扭矩：≥120N.m；</w:t>
            </w:r>
          </w:p>
          <w:p>
            <w:pPr>
              <w:pStyle w:val="null3"/>
              <w:jc w:val="both"/>
            </w:pPr>
            <w:r>
              <w:rPr>
                <w:rFonts w:ascii="仿宋_GB2312" w:hAnsi="仿宋_GB2312" w:cs="仿宋_GB2312" w:eastAsia="仿宋_GB2312"/>
                <w:sz w:val="20"/>
              </w:rPr>
              <w:t>15.手臂最大负载：≥3kg；</w:t>
            </w:r>
          </w:p>
          <w:p>
            <w:pPr>
              <w:pStyle w:val="null3"/>
              <w:jc w:val="both"/>
            </w:pPr>
            <w:r>
              <w:rPr>
                <w:rFonts w:ascii="仿宋_GB2312" w:hAnsi="仿宋_GB2312" w:cs="仿宋_GB2312" w:eastAsia="仿宋_GB2312"/>
                <w:sz w:val="20"/>
              </w:rPr>
              <w:t>16.小腿+大腿长度：≥0.6m</w:t>
            </w:r>
          </w:p>
          <w:p>
            <w:pPr>
              <w:pStyle w:val="null3"/>
              <w:jc w:val="both"/>
            </w:pPr>
            <w:r>
              <w:rPr>
                <w:rFonts w:ascii="仿宋_GB2312" w:hAnsi="仿宋_GB2312" w:cs="仿宋_GB2312" w:eastAsia="仿宋_GB2312"/>
                <w:sz w:val="20"/>
              </w:rPr>
              <w:t>17.手臂臂展：≥0.45m</w:t>
            </w:r>
          </w:p>
          <w:p>
            <w:pPr>
              <w:pStyle w:val="null3"/>
              <w:jc w:val="both"/>
            </w:pPr>
            <w:r>
              <w:rPr>
                <w:rFonts w:ascii="仿宋_GB2312" w:hAnsi="仿宋_GB2312" w:cs="仿宋_GB2312" w:eastAsia="仿宋_GB2312"/>
                <w:sz w:val="20"/>
              </w:rPr>
              <w:t>18.关节运动空间</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 18.1腰部Z轴关节：Z±155°、X±45°、Y±158°或优于；</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 18.2膝关节：0~165°或优于；</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 18.3髋关节：P±154°、R-30~±170°、Y±158°或优于；</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 18.4手腕关节：二自由度手腕P±92.5°、Y±92.5°或优于；</w:t>
            </w:r>
          </w:p>
          <w:p>
            <w:pPr>
              <w:pStyle w:val="null3"/>
              <w:jc w:val="both"/>
            </w:pPr>
            <w:r>
              <w:rPr>
                <w:rFonts w:ascii="仿宋_GB2312" w:hAnsi="仿宋_GB2312" w:cs="仿宋_GB2312" w:eastAsia="仿宋_GB2312"/>
                <w:sz w:val="20"/>
              </w:rPr>
              <w:t>19.▲具备全关节中空内走线；</w:t>
            </w:r>
          </w:p>
          <w:p>
            <w:pPr>
              <w:pStyle w:val="null3"/>
              <w:jc w:val="both"/>
            </w:pPr>
            <w:r>
              <w:rPr>
                <w:rFonts w:ascii="仿宋_GB2312" w:hAnsi="仿宋_GB2312" w:cs="仿宋_GB2312" w:eastAsia="仿宋_GB2312"/>
                <w:sz w:val="20"/>
              </w:rPr>
              <w:t>20.关节编码器：双编码器或优于；</w:t>
            </w:r>
          </w:p>
          <w:p>
            <w:pPr>
              <w:pStyle w:val="null3"/>
              <w:jc w:val="both"/>
            </w:pPr>
            <w:r>
              <w:rPr>
                <w:rFonts w:ascii="仿宋_GB2312" w:hAnsi="仿宋_GB2312" w:cs="仿宋_GB2312" w:eastAsia="仿宋_GB2312"/>
                <w:sz w:val="20"/>
              </w:rPr>
              <w:t>21.▲散热系统：局部风冷散热；</w:t>
            </w:r>
          </w:p>
          <w:p>
            <w:pPr>
              <w:pStyle w:val="null3"/>
              <w:jc w:val="both"/>
            </w:pPr>
            <w:r>
              <w:rPr>
                <w:rFonts w:ascii="仿宋_GB2312" w:hAnsi="仿宋_GB2312" w:cs="仿宋_GB2312" w:eastAsia="仿宋_GB2312"/>
                <w:sz w:val="20"/>
              </w:rPr>
              <w:t>22.基础算力：8核高性能CPU或优于，</w:t>
            </w:r>
            <w:r>
              <w:rPr>
                <w:rFonts w:ascii="仿宋_GB2312" w:hAnsi="仿宋_GB2312" w:cs="仿宋_GB2312" w:eastAsia="仿宋_GB2312"/>
                <w:sz w:val="20"/>
              </w:rPr>
              <w:t>内核：</w:t>
            </w:r>
            <w:r>
              <w:rPr>
                <w:rFonts w:ascii="仿宋_GB2312" w:hAnsi="仿宋_GB2312" w:cs="仿宋_GB2312" w:eastAsia="仿宋_GB2312"/>
                <w:sz w:val="20"/>
              </w:rPr>
              <w:t>≥8线程；最大睿频≥2GHz;显存≥8G</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≥8G；存储≥1T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23.具备≥100Tops算力的拓展坞，含AI算法及技术支持；</w:t>
            </w:r>
          </w:p>
          <w:p>
            <w:pPr>
              <w:pStyle w:val="null3"/>
              <w:jc w:val="both"/>
            </w:pPr>
            <w:r>
              <w:rPr>
                <w:rFonts w:ascii="仿宋_GB2312" w:hAnsi="仿宋_GB2312" w:cs="仿宋_GB2312" w:eastAsia="仿宋_GB2312"/>
                <w:sz w:val="20"/>
              </w:rPr>
              <w:t>24.▲感知传感器:配置深度相机分辨率≥848*480 @ 90 fps；深度视场角：86° * 57°、3D激光雷达、≥4麦克风阵列、5W扬声器。</w:t>
            </w:r>
          </w:p>
          <w:p>
            <w:pPr>
              <w:pStyle w:val="null3"/>
              <w:jc w:val="both"/>
            </w:pPr>
            <w:r>
              <w:rPr>
                <w:rFonts w:ascii="仿宋_GB2312" w:hAnsi="仿宋_GB2312" w:cs="仿宋_GB2312" w:eastAsia="仿宋_GB2312"/>
                <w:sz w:val="20"/>
              </w:rPr>
              <w:t>25.支持智能OTA升级；</w:t>
            </w:r>
          </w:p>
          <w:p>
            <w:pPr>
              <w:pStyle w:val="null3"/>
              <w:jc w:val="both"/>
            </w:pPr>
            <w:r>
              <w:rPr>
                <w:rFonts w:ascii="仿宋_GB2312" w:hAnsi="仿宋_GB2312" w:cs="仿宋_GB2312" w:eastAsia="仿宋_GB2312"/>
                <w:sz w:val="20"/>
              </w:rPr>
              <w:t>26.支持高层和底层的二次开发，提供详细的用户使用，软件开发等手册等，提供高层控制（如行走）功能的二次开发文档及例程，提供底层控制（电机的位置、速度和力矩）功能的二次开发文档及例程。通用Ubuntu操作系统，易于使用通用数学库、机器人库，开发程序。提供调用运动控制的接口、提供产学研赛合作支持。</w:t>
            </w:r>
          </w:p>
          <w:p>
            <w:pPr>
              <w:pStyle w:val="null3"/>
              <w:jc w:val="both"/>
            </w:pPr>
            <w:r>
              <w:rPr>
                <w:rFonts w:ascii="仿宋_GB2312" w:hAnsi="仿宋_GB2312" w:cs="仿宋_GB2312" w:eastAsia="仿宋_GB2312"/>
                <w:sz w:val="20"/>
              </w:rPr>
              <w:t>三、定制化多语种翻译机器人训练系统</w:t>
            </w:r>
            <w:r>
              <w:br/>
            </w:r>
            <w:r>
              <w:rPr>
                <w:rFonts w:ascii="仿宋_GB2312" w:hAnsi="仿宋_GB2312" w:cs="仿宋_GB2312" w:eastAsia="仿宋_GB2312"/>
                <w:sz w:val="20"/>
              </w:rPr>
              <w:t>1.智能导览规划系统</w:t>
            </w:r>
            <w:r>
              <w:br/>
            </w:r>
            <w:r>
              <w:rPr>
                <w:rFonts w:ascii="仿宋_GB2312" w:hAnsi="仿宋_GB2312" w:cs="仿宋_GB2312" w:eastAsia="仿宋_GB2312"/>
                <w:sz w:val="20"/>
              </w:rPr>
              <w:t xml:space="preserve">    </w:t>
            </w:r>
            <w:r>
              <w:rPr>
                <w:rFonts w:ascii="仿宋_GB2312" w:hAnsi="仿宋_GB2312" w:cs="仿宋_GB2312" w:eastAsia="仿宋_GB2312"/>
                <w:sz w:val="20"/>
              </w:rPr>
              <w:t>1.1支持预设固定路线与临时任务点动态插入，实时避障重规划。</w:t>
            </w:r>
          </w:p>
          <w:p>
            <w:pPr>
              <w:pStyle w:val="null3"/>
              <w:ind w:firstLine="400"/>
              <w:jc w:val="both"/>
            </w:pPr>
            <w:r>
              <w:rPr>
                <w:rFonts w:ascii="仿宋_GB2312" w:hAnsi="仿宋_GB2312" w:cs="仿宋_GB2312" w:eastAsia="仿宋_GB2312"/>
                <w:sz w:val="20"/>
              </w:rPr>
              <w:t>1.2支持手动遥控、自动循环导览、预约导览。</w:t>
            </w:r>
          </w:p>
          <w:p>
            <w:pPr>
              <w:pStyle w:val="null3"/>
              <w:ind w:left="405"/>
              <w:jc w:val="both"/>
            </w:pPr>
            <w:r>
              <w:rPr>
                <w:rFonts w:ascii="仿宋_GB2312" w:hAnsi="仿宋_GB2312" w:cs="仿宋_GB2312" w:eastAsia="仿宋_GB2312"/>
                <w:sz w:val="20"/>
              </w:rPr>
              <w:t>2.多语种人机对话</w:t>
            </w:r>
          </w:p>
          <w:p>
            <w:pPr>
              <w:pStyle w:val="null3"/>
              <w:ind w:firstLine="400"/>
              <w:jc w:val="both"/>
            </w:pPr>
            <w:r>
              <w:rPr>
                <w:rFonts w:ascii="仿宋_GB2312" w:hAnsi="仿宋_GB2312" w:cs="仿宋_GB2312" w:eastAsia="仿宋_GB2312"/>
                <w:sz w:val="20"/>
              </w:rPr>
              <w:t>2.1支持≥60种语种实时互译，包含涵盖英语、法语、德语、俄语、日语、韩语、西班牙语、葡萄牙语、阿拉伯语、意大利语、土耳其语、波斯语、希伯来语、越南语、泰语、缅甸语、马来语、印尼语、老挝语、柬埔寨语、印地语、乌尔都语、尼泊尔语、斯里兰卡语、蒙古语、斯瓦希里语、豪萨语、埃及阿拉伯语、南非荷兰语、希腊语、荷兰语、瑞典语、挪威语、丹麦语、芬兰语、波兰语、捷克语、斯洛伐克语、匈牙利语、罗马尼亚语、保加利亚语、塞尔维亚语、克罗地亚语、乌克兰语、白俄罗斯语、格鲁吉亚语、阿塞拜疆语、哈萨克语、乌兹别克语、吉尔吉斯语、塔吉克语、土库曼语、拉丁语、波斯尼亚语、马其顿语、阿尔巴尼亚语、爱沙尼亚语、拉脱维亚语、立陶宛语、冰岛语等，翻译准确率≥95%，翻译延时（响应时间）≤2秒。</w:t>
            </w:r>
          </w:p>
          <w:p>
            <w:pPr>
              <w:pStyle w:val="null3"/>
              <w:ind w:firstLine="400"/>
              <w:jc w:val="both"/>
            </w:pPr>
            <w:r>
              <w:rPr>
                <w:rFonts w:ascii="仿宋_GB2312" w:hAnsi="仿宋_GB2312" w:cs="仿宋_GB2312" w:eastAsia="仿宋_GB2312"/>
                <w:sz w:val="20"/>
              </w:rPr>
              <w:t>2.2支持角色设定，根据不同角色进行口译训练，角色包括但不限于：主持人、技术专家、业务专家、译员、校对、记录员、监督员、学员等。</w:t>
            </w:r>
          </w:p>
          <w:p>
            <w:pPr>
              <w:pStyle w:val="null3"/>
              <w:ind w:firstLine="400"/>
              <w:jc w:val="both"/>
            </w:pPr>
            <w:r>
              <w:rPr>
                <w:rFonts w:ascii="仿宋_GB2312" w:hAnsi="仿宋_GB2312" w:cs="仿宋_GB2312" w:eastAsia="仿宋_GB2312"/>
                <w:sz w:val="20"/>
              </w:rPr>
              <w:t>2.3支持师生CATTI口译、专业外语考级、校级口译赛事专项模拟训练。</w:t>
            </w:r>
          </w:p>
          <w:p>
            <w:pPr>
              <w:pStyle w:val="null3"/>
              <w:ind w:firstLine="400"/>
              <w:jc w:val="both"/>
            </w:pPr>
            <w:r>
              <w:rPr>
                <w:rFonts w:ascii="仿宋_GB2312" w:hAnsi="仿宋_GB2312" w:cs="仿宋_GB2312" w:eastAsia="仿宋_GB2312"/>
                <w:sz w:val="20"/>
              </w:rPr>
              <w:t>2.4.支持不少于3人同时对话，刻在课堂环境中与多名学生进行多语种交流。</w:t>
            </w:r>
          </w:p>
          <w:p>
            <w:pPr>
              <w:pStyle w:val="null3"/>
              <w:ind w:firstLine="400"/>
              <w:jc w:val="both"/>
            </w:pPr>
            <w:r>
              <w:rPr>
                <w:rFonts w:ascii="仿宋_GB2312" w:hAnsi="仿宋_GB2312" w:cs="仿宋_GB2312" w:eastAsia="仿宋_GB2312"/>
                <w:sz w:val="20"/>
              </w:rPr>
              <w:t>2.5 支持模拟不同场景模拟口译训练，如外事谈判、跨境访谈、国际论坛等场景。</w:t>
            </w:r>
          </w:p>
          <w:p>
            <w:pPr>
              <w:pStyle w:val="null3"/>
              <w:jc w:val="both"/>
            </w:pPr>
            <w:r>
              <w:rPr>
                <w:rFonts w:ascii="仿宋_GB2312" w:hAnsi="仿宋_GB2312" w:cs="仿宋_GB2312" w:eastAsia="仿宋_GB2312"/>
                <w:sz w:val="20"/>
              </w:rPr>
              <w:t>3.专业知识问答系统</w:t>
            </w:r>
            <w:r>
              <w:br/>
            </w:r>
            <w:r>
              <w:rPr>
                <w:rFonts w:ascii="仿宋_GB2312" w:hAnsi="仿宋_GB2312" w:cs="仿宋_GB2312" w:eastAsia="仿宋_GB2312"/>
                <w:sz w:val="20"/>
              </w:rPr>
              <w:t>支持事实型问答、流程型问答、推理型问答，包含但不限于百科常识、行业标准、法规条文、专业术语库等。</w:t>
            </w:r>
          </w:p>
          <w:p>
            <w:pPr>
              <w:pStyle w:val="null3"/>
              <w:ind w:left="405"/>
              <w:jc w:val="both"/>
            </w:pPr>
            <w:r>
              <w:rPr>
                <w:rFonts w:ascii="仿宋_GB2312" w:hAnsi="仿宋_GB2312" w:cs="仿宋_GB2312" w:eastAsia="仿宋_GB2312"/>
                <w:sz w:val="20"/>
              </w:rPr>
              <w:t>4.多语种内容讲解系统</w:t>
            </w:r>
            <w:r>
              <w:br/>
            </w:r>
            <w:r>
              <w:rPr>
                <w:rFonts w:ascii="仿宋_GB2312" w:hAnsi="仿宋_GB2312" w:cs="仿宋_GB2312" w:eastAsia="仿宋_GB2312"/>
                <w:sz w:val="20"/>
              </w:rPr>
              <w:t>4.1支持多语种讲解中华优秀传统文化、陕西地域文化、中外跨文化礼仪等。</w:t>
            </w:r>
          </w:p>
          <w:p>
            <w:pPr>
              <w:pStyle w:val="null3"/>
              <w:ind w:firstLine="400"/>
              <w:jc w:val="both"/>
            </w:pPr>
            <w:r>
              <w:rPr>
                <w:rFonts w:ascii="仿宋_GB2312" w:hAnsi="仿宋_GB2312" w:cs="仿宋_GB2312" w:eastAsia="仿宋_GB2312"/>
                <w:sz w:val="20"/>
              </w:rPr>
              <w:t>4.2支持内置高翻学院专属知识库:涵盖学院历史、师资介绍、课程设置、科研成果、国际交流项目等，多语种校园智慧导览与院史对外宣讲。</w:t>
            </w:r>
            <w:r>
              <w:br/>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4.3内置敏感词过滤机制(政治/宗教/暴力等关键词拦截)，所有对外讲解内容需经学院管理员审核后方可发布。</w:t>
            </w:r>
          </w:p>
          <w:p>
            <w:pPr>
              <w:pStyle w:val="null3"/>
              <w:ind w:left="405"/>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后台管理系统</w:t>
            </w:r>
          </w:p>
          <w:p>
            <w:pPr>
              <w:pStyle w:val="null3"/>
            </w:pPr>
            <w:r>
              <w:rPr>
                <w:rFonts w:ascii="仿宋_GB2312" w:hAnsi="仿宋_GB2312" w:cs="仿宋_GB2312" w:eastAsia="仿宋_GB2312"/>
                <w:sz w:val="21"/>
              </w:rPr>
              <w:t>5.1支持本地服务器私有化部署（适配西外校内网络），兼容Docker容器化部署；需提供离线运行模式，内网上传或物理离线摆渡上传，支持文件格式TXT、CSV、Markdown、DOCX、PDF。</w:t>
            </w:r>
            <w:r>
              <w:br/>
            </w:r>
            <w:r>
              <w:rPr>
                <w:rFonts w:ascii="仿宋_GB2312" w:hAnsi="仿宋_GB2312" w:cs="仿宋_GB2312" w:eastAsia="仿宋_GB2312"/>
              </w:rPr>
              <w:t xml:space="preserve">   </w:t>
            </w:r>
            <w:r>
              <w:rPr>
                <w:rFonts w:ascii="仿宋_GB2312" w:hAnsi="仿宋_GB2312" w:cs="仿宋_GB2312" w:eastAsia="仿宋_GB2312"/>
                <w:sz w:val="21"/>
              </w:rPr>
              <w:t>5.2同时支持二次开发、数据本地化存储与多级权限管理，符合高校数据安全规范。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1"/>
              </w:rPr>
              <w:t>服务要求</w:t>
            </w:r>
          </w:p>
          <w:p>
            <w:pPr>
              <w:pStyle w:val="null3"/>
              <w:ind w:firstLine="422"/>
              <w:jc w:val="both"/>
            </w:pPr>
            <w:r>
              <w:rPr>
                <w:rFonts w:ascii="仿宋_GB2312" w:hAnsi="仿宋_GB2312" w:cs="仿宋_GB2312" w:eastAsia="仿宋_GB2312"/>
                <w:sz w:val="21"/>
                <w:b/>
              </w:rPr>
              <w:t>（一）保险要求</w:t>
            </w:r>
          </w:p>
          <w:p>
            <w:pPr>
              <w:pStyle w:val="null3"/>
              <w:ind w:firstLine="422"/>
              <w:jc w:val="both"/>
            </w:pPr>
            <w:r>
              <w:rPr>
                <w:rFonts w:ascii="仿宋_GB2312" w:hAnsi="仿宋_GB2312" w:cs="仿宋_GB2312" w:eastAsia="仿宋_GB2312"/>
                <w:sz w:val="21"/>
                <w:b/>
              </w:rPr>
              <w:t>1.风险承担</w:t>
            </w:r>
          </w:p>
          <w:p>
            <w:pPr>
              <w:pStyle w:val="null3"/>
              <w:ind w:firstLine="420"/>
              <w:jc w:val="both"/>
            </w:pPr>
            <w:r>
              <w:rPr>
                <w:rFonts w:ascii="仿宋_GB2312" w:hAnsi="仿宋_GB2312" w:cs="仿宋_GB2312" w:eastAsia="仿宋_GB2312"/>
                <w:sz w:val="21"/>
              </w:rPr>
              <w:t>在货物运抵采购人指定地点并经开箱验收合格前，货物毁损、灭失的风险由中标人承担。中标人应采取必要的防护措施，确保货物在运输、装卸及仓储过程中的安全。</w:t>
            </w:r>
          </w:p>
          <w:p>
            <w:pPr>
              <w:pStyle w:val="null3"/>
              <w:ind w:firstLine="422"/>
              <w:jc w:val="both"/>
            </w:pPr>
            <w:r>
              <w:rPr>
                <w:rFonts w:ascii="仿宋_GB2312" w:hAnsi="仿宋_GB2312" w:cs="仿宋_GB2312" w:eastAsia="仿宋_GB2312"/>
                <w:sz w:val="21"/>
                <w:b/>
              </w:rPr>
              <w:t>2.保险责任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1）中标人负责办理货物从发货地至采购人指定交货地点的全程运输保险。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2）投保险种应至少包含货物运输一切险（或同等效力的险种），并根据货物特性附加必要的特殊险（如易碎品破碎险、防锈险等）。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3）保险金额应不低于合同总价款的100%，并以采购人为被保险人或共同受益人。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4）保险期间自货物离开中标人仓库或工厂起，至货物运抵采购人指定交货地点并由双方完成开箱外观检验止。</w:t>
            </w:r>
          </w:p>
          <w:p>
            <w:pPr>
              <w:pStyle w:val="null3"/>
              <w:ind w:firstLine="422"/>
              <w:jc w:val="both"/>
            </w:pPr>
            <w:r>
              <w:rPr>
                <w:rFonts w:ascii="仿宋_GB2312" w:hAnsi="仿宋_GB2312" w:cs="仿宋_GB2312" w:eastAsia="仿宋_GB2312"/>
                <w:sz w:val="21"/>
                <w:b/>
              </w:rPr>
              <w:t>3.索赔与理赔</w:t>
            </w:r>
          </w:p>
          <w:p>
            <w:pPr>
              <w:pStyle w:val="null3"/>
              <w:ind w:firstLine="420"/>
              <w:jc w:val="both"/>
            </w:pPr>
            <w:r>
              <w:rPr>
                <w:rFonts w:ascii="仿宋_GB2312" w:hAnsi="仿宋_GB2312" w:cs="仿宋_GB2312" w:eastAsia="仿宋_GB2312"/>
                <w:sz w:val="21"/>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ind w:firstLine="422"/>
              <w:jc w:val="both"/>
            </w:pPr>
            <w:r>
              <w:rPr>
                <w:rFonts w:ascii="仿宋_GB2312" w:hAnsi="仿宋_GB2312" w:cs="仿宋_GB2312" w:eastAsia="仿宋_GB2312"/>
                <w:sz w:val="21"/>
                <w:b/>
              </w:rPr>
              <w:t>（二）供货安装要求</w:t>
            </w:r>
          </w:p>
          <w:p>
            <w:pPr>
              <w:pStyle w:val="null3"/>
              <w:ind w:firstLine="420"/>
              <w:jc w:val="both"/>
            </w:pPr>
            <w:r>
              <w:rPr>
                <w:rFonts w:ascii="仿宋_GB2312" w:hAnsi="仿宋_GB2312" w:cs="仿宋_GB2312" w:eastAsia="仿宋_GB2312"/>
                <w:sz w:val="21"/>
              </w:rPr>
              <w:t>中标人应按照合同约定、采购文件及投标（响应）文件的承诺，向采购人提供完整的货物、技术资料（包括但不限于产品说明书、合格证、保修卡、安装图纸、操作手册等）、专用工具及备品备件。</w:t>
            </w:r>
          </w:p>
          <w:p>
            <w:pPr>
              <w:pStyle w:val="null3"/>
              <w:ind w:firstLine="422"/>
              <w:jc w:val="both"/>
            </w:pPr>
            <w:r>
              <w:rPr>
                <w:rFonts w:ascii="仿宋_GB2312" w:hAnsi="仿宋_GB2312" w:cs="仿宋_GB2312" w:eastAsia="仿宋_GB2312"/>
                <w:sz w:val="21"/>
                <w:b/>
              </w:rPr>
              <w:t>1.现场条件确认</w:t>
            </w:r>
          </w:p>
          <w:p>
            <w:pPr>
              <w:pStyle w:val="null3"/>
              <w:ind w:firstLine="420"/>
              <w:jc w:val="both"/>
            </w:pPr>
            <w:r>
              <w:rPr>
                <w:rFonts w:ascii="仿宋_GB2312" w:hAnsi="仿宋_GB2312" w:cs="仿宋_GB2312" w:eastAsia="仿宋_GB2312"/>
                <w:sz w:val="21"/>
              </w:rPr>
              <w:t>中标人在安装前，应与采购人共同勘查现场，确认水、电、场地等基础条件满足安装要求。</w:t>
            </w:r>
          </w:p>
          <w:p>
            <w:pPr>
              <w:pStyle w:val="null3"/>
              <w:ind w:firstLine="422"/>
              <w:jc w:val="both"/>
            </w:pPr>
            <w:r>
              <w:rPr>
                <w:rFonts w:ascii="仿宋_GB2312" w:hAnsi="仿宋_GB2312" w:cs="仿宋_GB2312" w:eastAsia="仿宋_GB2312"/>
                <w:sz w:val="21"/>
                <w:b/>
              </w:rPr>
              <w:t>2.安装人员资质</w:t>
            </w:r>
          </w:p>
          <w:p>
            <w:pPr>
              <w:pStyle w:val="null3"/>
              <w:ind w:firstLine="420"/>
              <w:jc w:val="both"/>
            </w:pPr>
            <w:r>
              <w:rPr>
                <w:rFonts w:ascii="仿宋_GB2312" w:hAnsi="仿宋_GB2312" w:cs="仿宋_GB2312" w:eastAsia="仿宋_GB2312"/>
                <w:sz w:val="21"/>
              </w:rPr>
              <w:t>中标人应派具备相应技术能力的人员进行安装。如设备属于国家规定的特种设备，安装人员须持有国家规定从业资格（如特种设备作业、电工、焊工等强制性证书）。</w:t>
            </w:r>
          </w:p>
          <w:p>
            <w:pPr>
              <w:pStyle w:val="null3"/>
              <w:ind w:firstLine="420"/>
              <w:jc w:val="both"/>
            </w:pPr>
            <w:r>
              <w:rPr>
                <w:rFonts w:ascii="仿宋_GB2312" w:hAnsi="仿宋_GB2312" w:cs="仿宋_GB2312" w:eastAsia="仿宋_GB2312"/>
                <w:sz w:val="21"/>
              </w:rPr>
              <w:t>安装人员在施工期间应遵守采购人现场管理规定，佩戴工作证件，做到文明施工、安全施工。</w:t>
            </w:r>
          </w:p>
          <w:p>
            <w:pPr>
              <w:pStyle w:val="null3"/>
              <w:ind w:firstLine="422"/>
              <w:jc w:val="both"/>
            </w:pPr>
            <w:r>
              <w:rPr>
                <w:rFonts w:ascii="仿宋_GB2312" w:hAnsi="仿宋_GB2312" w:cs="仿宋_GB2312" w:eastAsia="仿宋_GB2312"/>
                <w:sz w:val="21"/>
                <w:b/>
              </w:rPr>
              <w:t>3.安装标准</w:t>
            </w:r>
          </w:p>
          <w:p>
            <w:pPr>
              <w:pStyle w:val="null3"/>
              <w:ind w:firstLine="420"/>
              <w:jc w:val="both"/>
            </w:pPr>
            <w:r>
              <w:rPr>
                <w:rFonts w:ascii="仿宋_GB2312" w:hAnsi="仿宋_GB2312" w:cs="仿宋_GB2312" w:eastAsia="仿宋_GB2312"/>
                <w:sz w:val="21"/>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ind w:firstLine="422"/>
              <w:jc w:val="both"/>
            </w:pPr>
            <w:r>
              <w:rPr>
                <w:rFonts w:ascii="仿宋_GB2312" w:hAnsi="仿宋_GB2312" w:cs="仿宋_GB2312" w:eastAsia="仿宋_GB2312"/>
                <w:sz w:val="21"/>
                <w:b/>
              </w:rPr>
              <w:t>4.调试与试运行</w:t>
            </w:r>
          </w:p>
          <w:p>
            <w:pPr>
              <w:pStyle w:val="null3"/>
            </w:pPr>
            <w:r>
              <w:rPr>
                <w:rFonts w:ascii="仿宋_GB2312" w:hAnsi="仿宋_GB2312" w:cs="仿宋_GB2312" w:eastAsia="仿宋_GB2312"/>
                <w:sz w:val="21"/>
              </w:rPr>
              <w:t>安装完成后，中标人应进行系统调试，确保各项功能、性能指标符合合同约定及投标承诺。试运行期间，中标人应派技术人员现场跟班保障，及时处理运行中出现的问题。试运行正常后，方可进入正式验收程序。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4.与使用设备相配套的软件（终身）由中标人负责免费更新升级。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1.核心产品：机器人2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响应的采购需求偏离表及相应的证明材料，经评审专家审定得分。（42分）：完全符合、响应招标文件要求，没有负偏离计42分，▲参数每负偏离一项扣2分，非▲参数每负偏离一项扣0.1分，扣完为止。 备注：▲参数提供佐证材料（不限于产品彩页或检测报告或功能截图或厂家盖章的说明书），未提供佐证材料或提供的佐证材料低于招标要求时按负偏离处理。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针对本项目提供具体的实施方案，方案内容至少包含：①总体实施方案；②项目团队及进度计划安排；③供货组织安排；④安装调试验收方案。 方案内容完整全面，项目执行与项目进度安排、项目验收流程控制明确务实、实践性与可行性强；本项最高得12分，每有一项缺项扣3分，每项每有一处内容存在缺陷，扣1分，扣完为止。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供应商提供所有产品合法来源渠道证明文件（包括但不限于销售协议、代理协议、原厂授权）计3分，未提供或提供不全的不计分。（若为制造商直投，视为具有合法来源渠道证明）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针对本项目有具体的售后服务方案，内容至少包含：①质量保证期限及质量保证的范围承诺；②售后服务保障措施、日常维护保养；③交付用户后出现故障响应时间及措施 。 方案内容完整全面，出现故障响应时间及时，响应措施完善；本项最高得6分，每有一项缺项扣2分，每有一处内容存在缺陷，扣1分，扣完为止。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供应商针对本项目提出具体的培训方案，方案内容至少包含：①培训计划和培训方式②培训内容。 方案内容完整，培训方式多样、培训内容涵盖全面；本项最高得2分，每有一项缺项扣1分，每项每有一处内容存在缺陷，扣0.5分，扣完为止。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提供供应商2023年1月1日至今同类项目业绩。每提供1份得1分，最高得5分。备注：（以合同签订日期为准）， 合同需提供包含合同首页、标的内容及金额所在页、合同签字盖章页等关键页及对应发票，需加盖公章。合同关键处不得遮挡涂黑，日期清晰明确。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详见附件：合法来源渠道.docx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