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版本号：SZT2026-SN-XC-ZC-FW-0730.5B220260824001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媒体推广与传播项目(三次)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SZT2026-SN-XC-ZC-FW-0730.5B2</w:t>
      </w:r>
      <w:r>
        <w:br/>
      </w:r>
      <w:r>
        <w:br/>
      </w:r>
      <w:r>
        <w:br/>
      </w:r>
    </w:p>
    <w:p>
      <w:pPr>
        <w:pStyle w:val="null3"/>
        <w:jc w:val="center"/>
        <w:outlineLvl w:val="5"/>
      </w:pPr>
      <w:r>
        <w:rPr>
          <w:rFonts w:ascii="仿宋_GB2312" w:hAnsi="仿宋_GB2312" w:cs="仿宋_GB2312" w:eastAsia="仿宋_GB2312"/>
          <w:sz w:val="15"/>
          <w:b/>
        </w:rPr>
        <w:t>西安市人民医院（西安市第四医院）</w:t>
      </w:r>
    </w:p>
    <w:p>
      <w:pPr>
        <w:pStyle w:val="null3"/>
        <w:jc w:val="center"/>
        <w:outlineLvl w:val="5"/>
      </w:pPr>
      <w:r>
        <w:rPr>
          <w:rFonts w:ascii="仿宋_GB2312" w:hAnsi="仿宋_GB2312" w:cs="仿宋_GB2312" w:eastAsia="仿宋_GB2312"/>
          <w:sz w:val="15"/>
          <w:b/>
        </w:rPr>
        <w:t>陕西中技招标有限公司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媒体推广与传播项目(三次)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SZT2026-SN-XC-ZC-FW-0730.5B2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媒体推广与传播项目(三次)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人民医院（西安市第四医院）媒体推广与传播项目主要是紧紧围绕医院中心工作，充分发挥传媒传播特点，主题鲜明、重点突出的进行医院宣传与品牌推广和传播，保持优势学科的知名度，加强重点优势学科的影响力，提升弱势学科的宣传力度。该项目深化与26家精选的社会媒体进行合作，旨在通过加强同这些社会媒体合作频率，采用线上线下融合的创新模式，全方位展示我院的最新医疗技术、特色科室、优质服务等核心竞争力，以此强化医院的社会知名度与良好口碑。同时，能够有效传播医疗健康领域的科学知识，营造一个积极正向的公共舆论环境，助力医院进一步实现高质量发展。 该项目预算总数为195万元（壹佰玖拾伍万元整），规划投入194.38万元（壹佰玖拾肆万叁仟捌佰元整），资金自筹。鉴于社会媒体特殊性质，即其服务供应通常由独家或指定的供应商提供，符合市财政局关于单一来源采购政策的规定，因此该项目拟定采用单一来源采购方式，以确保宣传推广活动的高效执行与传播效果的最大化。</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029-61220013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郝娜娜、杨艳、李毓菲、陈先德、马帅、赵倩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应向招标代理机构交纳招标代理服务费。招标代理服务费的收取参见国家计委颁布的《招标代理服务收费管理暂行办法》（计价格[2002]1980号）和（发改办价格[2003]857号）中服务类标准下浮30%收取，在领取成交通知书时向采购代理机构一次性交纳。 开户名称：陕西中技招标有限公司 开户行名称：招商银行西安分行营业部 账 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人民医院（西安市第四医院）媒体推广与传播项目主要是紧紧围绕医院中心工作，充分发挥传媒传播特点，主题鲜明、重点突出的进行医院宣传与品牌推广和传播，保持优势学科的知名度，加强重点优势学科的影响力，提升弱势学科的宣传力度。该项目深化与26家精选的社会媒体进行合作，旨在通过加强同这些社会媒体合作频率，采用线上线下融合的创新模式，全方位展示我院的最新医疗技术、特色科室、优质服务等核心竞争力，以此强化医院的社会知名度与良好口碑。同时，能够有效传播医疗健康领域的科学知识，营造一个积极正向的公共舆论环境，助力医院进一步实现高质量发展。 该项目预算总数为195万元（壹佰玖拾伍万元整），规划投入194.38万元（壹佰玖拾肆万叁仟捌佰元整），资金自筹。鉴于社会媒体特殊性质，即其服务供应通常由独家或指定的供应商提供，符合市财政局关于单一来源采购政策的规定，因此该项目拟定采用单一来源采购方式，以确保宣传推广活动的高效执行与传播效果的最大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w:t>
      </w:r>
    </w:p>
    <w:p>
      <w:pPr>
        <w:pStyle w:val="null3"/>
      </w:pPr>
      <w:r>
        <w:rPr>
          <w:rFonts w:ascii="仿宋_GB2312" w:hAnsi="仿宋_GB2312" w:cs="仿宋_GB2312" w:eastAsia="仿宋_GB2312"/>
        </w:rPr>
        <w:t>采购包最高限价（元）: 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第二十四标段：在二三里资讯上进行医院品牌宣传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标的名称：第二十四标段：在二三里资讯上进行医院品牌宣传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第二十四标段：在二三里资讯上进行医院品牌宣传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1.微博陕西同城热搜上榜≥2次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2.2个爆款热点事件（策划-拍摄-剪辑-制作-全案营销）</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3.话题总曝光≥2000万，同城播放≥500万</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拍摄清晰度为4K60P；成片输出规格要求：1920*1080 30P，并在二三里APP、微博上发布。</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从合同签订之日起一年时间。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格式文本.docx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格式文本.docx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格式文本.docx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