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版本号：LZBC2026-77320260626001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西安文理学院新一代信息技术产教融合实训基地建设项目初步设计项目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LZBC2026-773</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西安文理学院新一代信息技术产教融合实训基地建设项目初步设计项目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LZBC2026-773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西安文理学院新一代信息技术产教融合实训基地建设项目初步设计项目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本项目位于西安文理学院校内，新建1栋产教融合实训基地大楼，总用地面积6103.17㎡，总建筑面积18359.02㎡；建筑地上10层，地上建筑面积14072.15㎡，地下2层，地下建筑面积4286.87㎡。 项目建设内容包含各类信息技术专业实训功能区、配套附属用房、平战结合人防工程、室外道路绿化、综合管网等室外配套工程；项目总投资估算12942万元。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法人需提供合法有效的营业执照，其他组织需提供合法有效的营业执照（或事业单位法人证书）等证明资料，自然人须提供身份证明。供应商需在项目电子化交易系统中按要求上传相应证明文件并进行电子签章。</w:t>
      </w:r>
    </w:p>
    <w:p>
      <w:pPr>
        <w:pStyle w:val="null3"/>
      </w:pPr>
      <w:r>
        <w:rPr>
          <w:rFonts w:ascii="仿宋_GB2312" w:hAnsi="仿宋_GB2312" w:cs="仿宋_GB2312" w:eastAsia="仿宋_GB2312"/>
        </w:rPr>
        <w:t>2、没有重大违法记录的书面声明：参加政府采购活动前3年内，在经营活动中没有 重大违法记录的书面声明；</w:t>
      </w:r>
    </w:p>
    <w:p>
      <w:pPr>
        <w:pStyle w:val="null3"/>
      </w:pPr>
      <w:r>
        <w:rPr>
          <w:rFonts w:ascii="仿宋_GB2312" w:hAnsi="仿宋_GB2312" w:cs="仿宋_GB2312" w:eastAsia="仿宋_GB2312"/>
        </w:rPr>
        <w:t>3、履行合同所必需的设备和专业技术能力书面声明函：供应商应提供履行合同所必需的设备和专业技术能力书面声明函，供应商需在项目电子化交易系统中按要求上传相应证明文件并进行电子签章。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4、供应商资质：供应商须具备工程设计综合甲级资质或工程设计建筑行业设计乙级以上资质【含乙级】或工程设计建筑行业（建筑工程）专业乙级以上资质【含乙级】。供应商需在项目电子化交易系统中按要求上传相应证明文件并进行电子签章。</w:t>
      </w:r>
    </w:p>
    <w:p>
      <w:pPr>
        <w:pStyle w:val="null3"/>
      </w:pPr>
      <w:r>
        <w:rPr>
          <w:rFonts w:ascii="仿宋_GB2312" w:hAnsi="仿宋_GB2312" w:cs="仿宋_GB2312" w:eastAsia="仿宋_GB2312"/>
        </w:rPr>
        <w:t>5、项目负责人：拟派项目设计负责人具备国家一级注册建筑师执业资格，在本单位注册；</w:t>
      </w:r>
    </w:p>
    <w:p>
      <w:pPr>
        <w:pStyle w:val="null3"/>
      </w:pPr>
      <w:r>
        <w:rPr>
          <w:rFonts w:ascii="仿宋_GB2312" w:hAnsi="仿宋_GB2312" w:cs="仿宋_GB2312" w:eastAsia="仿宋_GB2312"/>
        </w:rPr>
        <w:t>6、财务状况报告：供应商2025年经审计的财务报告（事业法人可提供部门决算报告）或基本开户银行出具的资信证明或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7、税收缴纳证明：供应商在本项目磋商响应文件递交截止时间前十二个月内任意一个月的税收缴纳凭证供应商需在项目电子化交易系统中按要求上传相应证明文件</w:t>
      </w:r>
    </w:p>
    <w:p>
      <w:pPr>
        <w:pStyle w:val="null3"/>
      </w:pPr>
      <w:r>
        <w:rPr>
          <w:rFonts w:ascii="仿宋_GB2312" w:hAnsi="仿宋_GB2312" w:cs="仿宋_GB2312" w:eastAsia="仿宋_GB2312"/>
        </w:rPr>
        <w:t>8、社会保障资金缴纳证明：供应商在本项目磋商响应文件递交截止时间前十二个月内任意一个月的社会保险缴纳的凭证。依法不需要缴纳社会保障资金的供应商，应提供相应文件证明其不需要缴纳社会保障资金，供应商需在项目电子化交易系统中按要求上传相应证明文件</w:t>
      </w:r>
    </w:p>
    <w:p>
      <w:pPr>
        <w:pStyle w:val="null3"/>
      </w:pPr>
      <w:r>
        <w:rPr>
          <w:rFonts w:ascii="仿宋_GB2312" w:hAnsi="仿宋_GB2312" w:cs="仿宋_GB2312" w:eastAsia="仿宋_GB2312"/>
        </w:rPr>
        <w:t>9、信誉截图：供应商未被列入《信用中国》失信被执行人、重大税收违法失信主体、政府采购严重违法失信行为记录名单和《中国政府采购网》政府采购严重违法失信行为记录名单。以响应文件递交截止时间后当日内采购人或采购代理机构的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 181 号西部电子社区 A 座 A 区 501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胡敏 、王申午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代理服务费收费标准：参照国家计委关于印发《招标代理服务收费管理暂⾏办法的通知》计价格[2002]1980号⽂件、国家发改委办公厅颁发的《关于采购代理服务收费有关问题的通知》( 发改办价格【2003】857号）⽂件等，由成交（中标）单位在领取成交（中标）通知书前向受托⼈⽀付采购代理服务伍仟元整。招标代理服务费以转账或现⾦形式缴纳⾄以下账⼾： 开⼾名称：⻰寰项⽬管理咨询有限公司 开⼾银⾏：平安银⾏西安⾼新路⽀⾏ 账号：30201278018760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联系人：胡敏、王申午</w:t>
      </w:r>
    </w:p>
    <w:p>
      <w:pPr>
        <w:pStyle w:val="null3"/>
      </w:pPr>
      <w:r>
        <w:rPr>
          <w:rFonts w:ascii="仿宋_GB2312" w:hAnsi="仿宋_GB2312" w:cs="仿宋_GB2312" w:eastAsia="仿宋_GB2312"/>
        </w:rPr>
        <w:t>联系电话：029-88228899-633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本项目位于西安文理学院校内，新建1栋产教融合实训基地大楼，总用地面积6103.17㎡，总建筑面积18359.02㎡；建筑地上10层，地上建筑面积14072.15㎡，地下2层，地下建筑面积4286.87㎡。 项目建设内容包含各类信息技术专业实训功能区、配套附属用房、平战结合人防工程、室外道路绿化、综合管网等室外配套工程；项目总投资估算12942万元。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西安文理学院新一代信息技术产教融合实训基地建设项目初步设计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标的名称：西安文理学院新一代信息技术产教融合实训基地建设项目初步设计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一、项目名称</w:t>
            </w:r>
          </w:p>
          <w:p>
            <w:pPr>
              <w:pStyle w:val="null3"/>
              <w:jc w:val="both"/>
            </w:pPr>
            <w:r>
              <w:rPr>
                <w:rFonts w:ascii="仿宋_GB2312" w:hAnsi="仿宋_GB2312" w:cs="仿宋_GB2312" w:eastAsia="仿宋_GB2312"/>
                <w:sz w:val="21"/>
              </w:rPr>
              <w:t>西安文理学院新一代信息技术产教融合实训基地建设项目初步设计</w:t>
            </w:r>
          </w:p>
          <w:p>
            <w:pPr>
              <w:pStyle w:val="null3"/>
              <w:jc w:val="both"/>
            </w:pPr>
            <w:r>
              <w:rPr>
                <w:rFonts w:ascii="仿宋_GB2312" w:hAnsi="仿宋_GB2312" w:cs="仿宋_GB2312" w:eastAsia="仿宋_GB2312"/>
                <w:sz w:val="21"/>
              </w:rPr>
              <w:t>二、项目规模、投资</w:t>
            </w:r>
          </w:p>
          <w:p>
            <w:pPr>
              <w:pStyle w:val="null3"/>
              <w:jc w:val="both"/>
            </w:pPr>
            <w:r>
              <w:rPr>
                <w:rFonts w:ascii="仿宋_GB2312" w:hAnsi="仿宋_GB2312" w:cs="仿宋_GB2312" w:eastAsia="仿宋_GB2312"/>
                <w:sz w:val="21"/>
              </w:rPr>
              <w:t>本项目位于西安文理学院校内，新建</w:t>
            </w:r>
            <w:r>
              <w:rPr>
                <w:rFonts w:ascii="仿宋_GB2312" w:hAnsi="仿宋_GB2312" w:cs="仿宋_GB2312" w:eastAsia="仿宋_GB2312"/>
                <w:sz w:val="21"/>
              </w:rPr>
              <w:t>1</w:t>
            </w:r>
            <w:r>
              <w:rPr>
                <w:rFonts w:ascii="仿宋_GB2312" w:hAnsi="仿宋_GB2312" w:cs="仿宋_GB2312" w:eastAsia="仿宋_GB2312"/>
                <w:sz w:val="21"/>
              </w:rPr>
              <w:t>栋产教融合实训基地大楼，总用地面积</w:t>
            </w:r>
            <w:r>
              <w:rPr>
                <w:rFonts w:ascii="仿宋_GB2312" w:hAnsi="仿宋_GB2312" w:cs="仿宋_GB2312" w:eastAsia="仿宋_GB2312"/>
                <w:sz w:val="21"/>
              </w:rPr>
              <w:t>6103.17</w:t>
            </w:r>
            <w:r>
              <w:rPr>
                <w:rFonts w:ascii="仿宋_GB2312" w:hAnsi="仿宋_GB2312" w:cs="仿宋_GB2312" w:eastAsia="仿宋_GB2312"/>
                <w:sz w:val="21"/>
              </w:rPr>
              <w:t>㎡，总建筑面积</w:t>
            </w:r>
            <w:r>
              <w:rPr>
                <w:rFonts w:ascii="仿宋_GB2312" w:hAnsi="仿宋_GB2312" w:cs="仿宋_GB2312" w:eastAsia="仿宋_GB2312"/>
                <w:sz w:val="21"/>
              </w:rPr>
              <w:t>18359.02</w:t>
            </w:r>
            <w:r>
              <w:rPr>
                <w:rFonts w:ascii="仿宋_GB2312" w:hAnsi="仿宋_GB2312" w:cs="仿宋_GB2312" w:eastAsia="仿宋_GB2312"/>
                <w:sz w:val="21"/>
              </w:rPr>
              <w:t>㎡；建筑地上</w:t>
            </w:r>
            <w:r>
              <w:rPr>
                <w:rFonts w:ascii="仿宋_GB2312" w:hAnsi="仿宋_GB2312" w:cs="仿宋_GB2312" w:eastAsia="仿宋_GB2312"/>
                <w:sz w:val="21"/>
              </w:rPr>
              <w:t>10</w:t>
            </w:r>
            <w:r>
              <w:rPr>
                <w:rFonts w:ascii="仿宋_GB2312" w:hAnsi="仿宋_GB2312" w:cs="仿宋_GB2312" w:eastAsia="仿宋_GB2312"/>
                <w:sz w:val="21"/>
              </w:rPr>
              <w:t>层，地上建筑面积</w:t>
            </w:r>
            <w:r>
              <w:rPr>
                <w:rFonts w:ascii="仿宋_GB2312" w:hAnsi="仿宋_GB2312" w:cs="仿宋_GB2312" w:eastAsia="仿宋_GB2312"/>
                <w:sz w:val="21"/>
              </w:rPr>
              <w:t>14072.15</w:t>
            </w:r>
            <w:r>
              <w:rPr>
                <w:rFonts w:ascii="仿宋_GB2312" w:hAnsi="仿宋_GB2312" w:cs="仿宋_GB2312" w:eastAsia="仿宋_GB2312"/>
                <w:sz w:val="21"/>
              </w:rPr>
              <w:t>㎡，地下</w:t>
            </w:r>
            <w:r>
              <w:rPr>
                <w:rFonts w:ascii="仿宋_GB2312" w:hAnsi="仿宋_GB2312" w:cs="仿宋_GB2312" w:eastAsia="仿宋_GB2312"/>
                <w:sz w:val="21"/>
              </w:rPr>
              <w:t>2</w:t>
            </w:r>
            <w:r>
              <w:rPr>
                <w:rFonts w:ascii="仿宋_GB2312" w:hAnsi="仿宋_GB2312" w:cs="仿宋_GB2312" w:eastAsia="仿宋_GB2312"/>
                <w:sz w:val="21"/>
              </w:rPr>
              <w:t>层，地下建筑面积</w:t>
            </w:r>
            <w:r>
              <w:rPr>
                <w:rFonts w:ascii="仿宋_GB2312" w:hAnsi="仿宋_GB2312" w:cs="仿宋_GB2312" w:eastAsia="仿宋_GB2312"/>
                <w:sz w:val="21"/>
              </w:rPr>
              <w:t>4286.87</w:t>
            </w:r>
            <w:r>
              <w:rPr>
                <w:rFonts w:ascii="仿宋_GB2312" w:hAnsi="仿宋_GB2312" w:cs="仿宋_GB2312" w:eastAsia="仿宋_GB2312"/>
                <w:sz w:val="21"/>
              </w:rPr>
              <w:t>㎡。 项目建设内容包含各类信息技术专业实训功能区、配套附属用房、平战结合人防工程、室外道路绿化、综合管网等室外配套工程；项目总投资估算</w:t>
            </w:r>
            <w:r>
              <w:rPr>
                <w:rFonts w:ascii="仿宋_GB2312" w:hAnsi="仿宋_GB2312" w:cs="仿宋_GB2312" w:eastAsia="仿宋_GB2312"/>
                <w:sz w:val="21"/>
              </w:rPr>
              <w:t>12942</w:t>
            </w:r>
            <w:r>
              <w:rPr>
                <w:rFonts w:ascii="仿宋_GB2312" w:hAnsi="仿宋_GB2312" w:cs="仿宋_GB2312" w:eastAsia="仿宋_GB2312"/>
                <w:sz w:val="21"/>
              </w:rPr>
              <w:t>万元。</w:t>
            </w:r>
          </w:p>
          <w:p>
            <w:pPr>
              <w:pStyle w:val="null3"/>
              <w:jc w:val="both"/>
            </w:pPr>
            <w:r>
              <w:rPr>
                <w:rFonts w:ascii="仿宋_GB2312" w:hAnsi="仿宋_GB2312" w:cs="仿宋_GB2312" w:eastAsia="仿宋_GB2312"/>
                <w:sz w:val="21"/>
              </w:rPr>
              <w:t>三、服务期及节点工期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自合同签订之日起</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日历天（全程配合直至项目初步设计取得主管部门批复完成）；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细化节点工期要求如下： ①合同签订后</w:t>
            </w:r>
            <w:r>
              <w:rPr>
                <w:rFonts w:ascii="仿宋_GB2312" w:hAnsi="仿宋_GB2312" w:cs="仿宋_GB2312" w:eastAsia="仿宋_GB2312"/>
                <w:sz w:val="21"/>
              </w:rPr>
              <w:t>3</w:t>
            </w:r>
            <w:r>
              <w:rPr>
                <w:rFonts w:ascii="仿宋_GB2312" w:hAnsi="仿宋_GB2312" w:cs="仿宋_GB2312" w:eastAsia="仿宋_GB2312"/>
                <w:sz w:val="21"/>
              </w:rPr>
              <w:t>日内，完成初步设计初期资料及报批前置资料编制； ②方案审核通过后</w:t>
            </w:r>
            <w:r>
              <w:rPr>
                <w:rFonts w:ascii="仿宋_GB2312" w:hAnsi="仿宋_GB2312" w:cs="仿宋_GB2312" w:eastAsia="仿宋_GB2312"/>
                <w:sz w:val="21"/>
              </w:rPr>
              <w:t>15</w:t>
            </w:r>
            <w:r>
              <w:rPr>
                <w:rFonts w:ascii="仿宋_GB2312" w:hAnsi="仿宋_GB2312" w:cs="仿宋_GB2312" w:eastAsia="仿宋_GB2312"/>
                <w:sz w:val="21"/>
              </w:rPr>
              <w:t>日内，完成全套初步设计文件及配套报审资料编制；③初步设计审查完成后</w:t>
            </w:r>
            <w:r>
              <w:rPr>
                <w:rFonts w:ascii="仿宋_GB2312" w:hAnsi="仿宋_GB2312" w:cs="仿宋_GB2312" w:eastAsia="仿宋_GB2312"/>
                <w:sz w:val="21"/>
              </w:rPr>
              <w:t>2</w:t>
            </w:r>
            <w:r>
              <w:rPr>
                <w:rFonts w:ascii="仿宋_GB2312" w:hAnsi="仿宋_GB2312" w:cs="仿宋_GB2312" w:eastAsia="仿宋_GB2312"/>
                <w:sz w:val="21"/>
              </w:rPr>
              <w:t>日内提交全套完整设计成果，收到主管部门或校方修改意见、需求变更后</w:t>
            </w:r>
            <w:r>
              <w:rPr>
                <w:rFonts w:ascii="仿宋_GB2312" w:hAnsi="仿宋_GB2312" w:cs="仿宋_GB2312" w:eastAsia="仿宋_GB2312"/>
                <w:sz w:val="21"/>
              </w:rPr>
              <w:t>2</w:t>
            </w:r>
            <w:r>
              <w:rPr>
                <w:rFonts w:ascii="仿宋_GB2312" w:hAnsi="仿宋_GB2312" w:cs="仿宋_GB2312" w:eastAsia="仿宋_GB2312"/>
                <w:sz w:val="21"/>
              </w:rPr>
              <w:t>日内完成设计调整修改。</w:t>
            </w:r>
          </w:p>
          <w:p>
            <w:pPr>
              <w:pStyle w:val="null3"/>
              <w:jc w:val="both"/>
            </w:pPr>
            <w:r>
              <w:rPr>
                <w:rFonts w:ascii="仿宋_GB2312" w:hAnsi="仿宋_GB2312" w:cs="仿宋_GB2312" w:eastAsia="仿宋_GB2312"/>
                <w:sz w:val="21"/>
              </w:rPr>
              <w:t>四、质量目标</w:t>
            </w:r>
          </w:p>
          <w:p>
            <w:pPr>
              <w:pStyle w:val="null3"/>
              <w:jc w:val="both"/>
            </w:pPr>
            <w:r>
              <w:rPr>
                <w:rFonts w:ascii="仿宋_GB2312" w:hAnsi="仿宋_GB2312" w:cs="仿宋_GB2312" w:eastAsia="仿宋_GB2312"/>
                <w:sz w:val="21"/>
              </w:rPr>
              <w:t>符合国家、陕西省及西安市现行工程设计规范、技术规程、地方建设管理相关规定，严格满足《建筑工程设计文件编制深度规定》，同时遵守政府投资项目、绿色建筑、海绵城市、装配式建筑、人防、消防等强制性建设标准，设计成果完整合规，可直接用于概算评审、施工图深化及项目招标。</w:t>
            </w:r>
          </w:p>
          <w:p>
            <w:pPr>
              <w:pStyle w:val="null3"/>
              <w:jc w:val="both"/>
            </w:pPr>
            <w:r>
              <w:rPr>
                <w:rFonts w:ascii="仿宋_GB2312" w:hAnsi="仿宋_GB2312" w:cs="仿宋_GB2312" w:eastAsia="仿宋_GB2312"/>
                <w:sz w:val="21"/>
              </w:rPr>
              <w:t>五、设计服务内容</w:t>
            </w:r>
          </w:p>
          <w:p>
            <w:pPr>
              <w:pStyle w:val="null3"/>
              <w:jc w:val="both"/>
            </w:pPr>
            <w:r>
              <w:rPr>
                <w:rFonts w:ascii="仿宋_GB2312" w:hAnsi="仿宋_GB2312" w:cs="仿宋_GB2312" w:eastAsia="仿宋_GB2312"/>
                <w:sz w:val="21"/>
              </w:rPr>
              <w:t>本项目范围内全套初步设计（含全专业、各专项工程概算编制），配合项目立项、规划、初步设计审查等全流程报批服务，具体包含：</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建筑、结构、给排水、暖通、电气、人防工程、消防工程、中水、绿色建筑设计、海绵城市、装配式建筑设计、景观设计、专项工艺、弱电智能化设计、室外总体设计等。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全过程报批配套服务：协同校方办理省、市发改立项、规划报建、各主管部门联合审查等前期手续，根据各审批单位审查意见完成方案、初步设计修改完善，直至取得初步设计批复，全程配合审查答疑。</w:t>
            </w:r>
          </w:p>
          <w:p>
            <w:pPr>
              <w:pStyle w:val="null3"/>
              <w:jc w:val="both"/>
            </w:pPr>
            <w:r>
              <w:rPr>
                <w:rFonts w:ascii="仿宋_GB2312" w:hAnsi="仿宋_GB2312" w:cs="仿宋_GB2312" w:eastAsia="仿宋_GB2312"/>
                <w:sz w:val="21"/>
              </w:rPr>
              <w:t>六、技术要求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全套初步设计文件必须严格执行国家、陕西省、西安市现行工程建设规范、强制性条文、地方管理规定，满足《建筑工程设计文件编制深度规定》，贴合新一代信息技术实训教学特色，满足实训、教学、科研、产业融合使用要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全程配合校方完成立项、规划、初步设计审查等所有报批流程，按发改、住建、人防、消防等各行政主管部门审查意见及时优化调整设计文件，最终通过全部审批，设计深度、内容以校方及各审批部门实际要求为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设计图纸规范、完整、精准，标注清晰，设计文件成套齐全，至少包含以下三类资料：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设计说明书：含设计总说明、各专业专项设计说明；针对建筑节能、环境保护、绿色建筑、人防工程、装配式建筑、景观、室外总体、弱电智能化、海绵城市、中水、声学、实训专项工艺等单独编制专项设计说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）有关专业的设计图纸；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）工程概算书（含各专业、各专项分项概算）。</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设计充分结合场地现状，因地制宜规划布局，与校园现有地形、建筑、管网现状协调统一；</w:t>
            </w:r>
          </w:p>
          <w:p>
            <w:pPr>
              <w:pStyle w:val="null3"/>
              <w:jc w:val="both"/>
            </w:pPr>
            <w:r>
              <w:rPr>
                <w:rFonts w:ascii="仿宋_GB2312" w:hAnsi="仿宋_GB2312" w:cs="仿宋_GB2312" w:eastAsia="仿宋_GB2312"/>
                <w:sz w:val="21"/>
              </w:rPr>
              <w:t>整体规划布局分区清晰、功能明确；建筑外观契合现代高校实训基地风格，室内空间满足消防安全、节能低碳、环保降噪、无障碍通行相关规范，实训功能升级改造弹性空间。</w:t>
            </w:r>
          </w:p>
          <w:p>
            <w:pPr>
              <w:pStyle w:val="null3"/>
              <w:jc w:val="both"/>
            </w:pPr>
            <w:r>
              <w:rPr>
                <w:rFonts w:ascii="仿宋_GB2312" w:hAnsi="仿宋_GB2312" w:cs="仿宋_GB2312" w:eastAsia="仿宋_GB2312"/>
                <w:sz w:val="21"/>
              </w:rPr>
              <w:t>七、其他管控要求</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全过程设计工作严格遵守国家、陕西省、西安市工程建设全部强制性标准，不得出现违反强条设计内容；</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设计方案优先兼顾经济性、实用性与前瞻性，适配新一代信息技术专业长期实训使用需求；</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设计单位需安排对应专业负责人全程对接校方及各审批部门，及时响应修改、答疑需求，保障项目报批进度。</w:t>
            </w:r>
          </w:p>
          <w:p>
            <w:pPr>
              <w:pStyle w:val="null3"/>
              <w:jc w:val="both"/>
            </w:pPr>
            <w:r>
              <w:rPr>
                <w:rFonts w:ascii="仿宋_GB2312" w:hAnsi="仿宋_GB2312" w:cs="仿宋_GB2312" w:eastAsia="仿宋_GB2312"/>
                <w:sz w:val="21"/>
              </w:rPr>
              <w:t>七、款项支付约定</w:t>
            </w:r>
          </w:p>
          <w:p>
            <w:pPr>
              <w:pStyle w:val="null3"/>
            </w:pPr>
            <w:r>
              <w:rPr>
                <w:rFonts w:ascii="仿宋_GB2312" w:hAnsi="仿宋_GB2312" w:cs="仿宋_GB2312" w:eastAsia="仿宋_GB2312"/>
                <w:sz w:val="24"/>
                <w:b/>
              </w:rPr>
              <w:t>因</w:t>
            </w:r>
            <w:r>
              <w:rPr>
                <w:rFonts w:ascii="仿宋_GB2312" w:hAnsi="仿宋_GB2312" w:cs="仿宋_GB2312" w:eastAsia="仿宋_GB2312"/>
                <w:sz w:val="24"/>
                <w:b/>
              </w:rPr>
              <w:t>系统设置原因</w:t>
            </w:r>
            <w:r>
              <w:rPr>
                <w:rFonts w:ascii="仿宋_GB2312" w:hAnsi="仿宋_GB2312" w:cs="仿宋_GB2312" w:eastAsia="仿宋_GB2312"/>
                <w:sz w:val="24"/>
                <w:b/>
              </w:rPr>
              <w:t>，</w:t>
            </w:r>
            <w:r>
              <w:rPr>
                <w:rFonts w:ascii="仿宋_GB2312" w:hAnsi="仿宋_GB2312" w:cs="仿宋_GB2312" w:eastAsia="仿宋_GB2312"/>
                <w:sz w:val="24"/>
                <w:b/>
              </w:rPr>
              <w:t>以下</w:t>
            </w:r>
            <w:r>
              <w:rPr>
                <w:rFonts w:ascii="仿宋_GB2312" w:hAnsi="仿宋_GB2312" w:cs="仿宋_GB2312" w:eastAsia="仿宋_GB2312"/>
                <w:sz w:val="24"/>
                <w:b/>
              </w:rPr>
              <w:t>3.3.5支付约定</w:t>
            </w:r>
            <w:r>
              <w:rPr>
                <w:rFonts w:ascii="仿宋_GB2312" w:hAnsi="仿宋_GB2312" w:cs="仿宋_GB2312" w:eastAsia="仿宋_GB2312"/>
                <w:sz w:val="24"/>
                <w:b/>
              </w:rPr>
              <w:t>无法准确表述支付方式，实际支付方式如下</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1"/>
              </w:rPr>
              <w:t>本次初步设计分三次支付：</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第一次支付为签订合同后两天内，承包人提供增值税普通发票，发包人第一次支付最终结算金额的</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第二次支付为承包人在合同约定时间内完成初步设计文件（根据发包人要求组织专家评审会议）及概算文件，并通过专家评审，直至配合发包人取得初步设计批复或备案后，承包人提供增值税普通发票，发包人第二次支付最终结算金额的</w:t>
            </w:r>
            <w:r>
              <w:rPr>
                <w:rFonts w:ascii="仿宋_GB2312" w:hAnsi="仿宋_GB2312" w:cs="仿宋_GB2312" w:eastAsia="仿宋_GB2312"/>
                <w:sz w:val="21"/>
              </w:rPr>
              <w:t>70%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待本项目全部初步设计工作履约完成，合同约定的各项技术服务履行完毕后经甲方确认后，付清剩余款项。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符合项目实际需求，提供与本项目相适应的专业设施和设备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在合同执行过程中需要设计服务单位应执行国家、省、市的相关服务标准和应当履行的相关义务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自合同签订之日起22日历天（全程配合直至项目初步设计取得主管部门批复完成）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预付款，签订合同后，承包人提供增值税普通发票，达到付款条件起2个工作日内，支付合同总金额的20.0%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承包人在合同约定时间内完成初步设计文件（根据发包人要求组织专家评审会议）及概算文件，并通过专家评审，直至配合发包人取得初步设计批复或备案后，承包人提供增值税普通发票，达到付款条件起30个工作日内，支付合同总金额的70.0%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进度款，待本项目全部初步设计工作履约完成，合同约定的各项技术服务履行完毕后经甲方确认后，付清剩余款项，达到付款条件起30个工作日内，支付合同总金额的10.0%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从业人员300人以下的为中小微型企业。其中，从业人员100人及以上的为中型企业;从业人员10人及以上的为小型企业;从业人员10人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法人需提供合法有效的营业执照，其他组织需提供合法有效的营业执照（或事业单位法人证书）等证明资料，自然人须提供身份证明。供应商需在项目电子化交易系统中按要求上传相应证明文件并进行电子签章。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 重大违法记录的书面声明；</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供应商应提供履行合同所必需的设备和专业技术能力书面声明函，供应商需在项目电子化交易系统中按要求上传相应证明文件并进行电子签章。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设计综合甲级资质或工程设计建筑行业设计乙级以上资质【含乙级】或工程设计建筑行业（建筑工程）专业乙级以上资质【含乙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拟派项目设计负责人具备国家一级注册建筑师执业资格，在本单位注册；</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供应商2025年经审计的财务报告（事业法人可提供部门决算报告）或基本开户银行出具的资信证明或专业担保机构出具的投标担保函，供应商需在项目电子化交易系统中按要求上传相应证明文件并进行电子签章；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供应商在本项目磋商响应文件递交截止时间前十二个月内任意一个月的税收缴纳凭证供应商需在项目电子化交易系统中按要求上传相应证明文件</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在本项目磋商响应文件递交截止时间前十二个月内任意一个月的社会保险缴纳的凭证。依法不需要缴纳社会保障资金的供应商，应提供相应文件证明其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未被列入《信用中国》失信被执行人、重大税收违法失信主体、政府采购严重违法失信行为记录名单和《中国政府采购网》政府采购严重违法失信行为记录名单。以响应文件递交截止时间后当日内采购人或采购代理机构的查询结果为准</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磋商响应文件构成是否有缺项，是否按照磋商响应文件要求编写响应文件。</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内容无重大缺漏项，报价唯一且报价未超过限价，没有低于成本价或高于采购预算。</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中小企业声明函 残疾人福利性单位声明函 响应文件格式.docx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 解和认识</w:t>
            </w:r>
          </w:p>
        </w:tc>
        <w:tc>
          <w:tcPr>
            <w:tcW w:type="dxa" w:w="2492"/>
          </w:tcPr>
          <w:p>
            <w:pPr>
              <w:pStyle w:val="null3"/>
            </w:pPr>
            <w:r>
              <w:rPr>
                <w:rFonts w:ascii="仿宋_GB2312" w:hAnsi="仿宋_GB2312" w:cs="仿宋_GB2312" w:eastAsia="仿宋_GB2312"/>
              </w:rPr>
              <w:t>一、评审内容 供应商对本项目的理解和认识，内容包括：① 基本情况分析；②对项目背景的研判等。 二、评审标准 每提供一项得3分，满分6分。内容不全或未提供不得分。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设计依据及 设计工作目 标</w:t>
            </w:r>
          </w:p>
        </w:tc>
        <w:tc>
          <w:tcPr>
            <w:tcW w:type="dxa" w:w="2492"/>
          </w:tcPr>
          <w:p>
            <w:pPr>
              <w:pStyle w:val="null3"/>
            </w:pPr>
            <w:r>
              <w:rPr>
                <w:rFonts w:ascii="仿宋_GB2312" w:hAnsi="仿宋_GB2312" w:cs="仿宋_GB2312" w:eastAsia="仿宋_GB2312"/>
              </w:rPr>
              <w:t>一、评审内容 供应商根据本项目特点提供相关的设计依据及设计工作目标，内容包括： ①设计依据；②功能目 标和安全目标；③经济目标和时效目标等。 二、评审标准 每提供一项得3分，满分9分。内容不全或未提供不得分。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设计思路</w:t>
            </w:r>
          </w:p>
        </w:tc>
        <w:tc>
          <w:tcPr>
            <w:tcW w:type="dxa" w:w="2492"/>
          </w:tcPr>
          <w:p>
            <w:pPr>
              <w:pStyle w:val="null3"/>
            </w:pPr>
            <w:r>
              <w:rPr>
                <w:rFonts w:ascii="仿宋_GB2312" w:hAnsi="仿宋_GB2312" w:cs="仿宋_GB2312" w:eastAsia="仿宋_GB2312"/>
              </w:rPr>
              <w:t>一、评审内容 供应商根据本项目特点提出可行的设计思路方案，内容包括：①整体定位和空间营造思路；②场地统筹和流线组织思路；③功能布局和安全把控等。 二、评审标准 每提供一项得3分，满分9分。内容不全或未提供不得分。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重点难点分 析</w:t>
            </w:r>
          </w:p>
        </w:tc>
        <w:tc>
          <w:tcPr>
            <w:tcW w:type="dxa" w:w="2492"/>
          </w:tcPr>
          <w:p>
            <w:pPr>
              <w:pStyle w:val="null3"/>
            </w:pPr>
            <w:r>
              <w:rPr>
                <w:rFonts w:ascii="仿宋_GB2312" w:hAnsi="仿宋_GB2312" w:cs="仿宋_GB2312" w:eastAsia="仿宋_GB2312"/>
              </w:rPr>
              <w:t>一、评审内容 供应商根据本项目特点提供重点难点分析方 案，内容包括：①用地边界、规划管控指标约束难 点剖析；②建筑功能多元融合、空间协调设计难点 等。 二、评审标准 1.完整性：切合本项目实际情况，方案内容全 面，有详细描述及其他内容的补充； 2.合理性：方案分析符合项目实际特点，合理、恰当； 三、赋分标准（满分 8分） ①用地边界、规划管控指标约束难点剖析：每 完全满足一个评审标准得 2分，满分 4分； ②建筑功能多元融合、空间协调设计难点等： 每完全满足一个评审标准得 2分，满分 4 分； 不提供得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限额设计控制措施</w:t>
            </w:r>
          </w:p>
        </w:tc>
        <w:tc>
          <w:tcPr>
            <w:tcW w:type="dxa" w:w="2492"/>
          </w:tcPr>
          <w:p>
            <w:pPr>
              <w:pStyle w:val="null3"/>
            </w:pPr>
            <w:r>
              <w:rPr>
                <w:rFonts w:ascii="仿宋_GB2312" w:hAnsi="仿宋_GB2312" w:cs="仿宋_GB2312" w:eastAsia="仿宋_GB2312"/>
              </w:rPr>
              <w:t>一、评审内容 供应商根据本项目特点提供限额设计控制措施 方案，内容包括：①分级拆分造价指标，分摊到单 体、分项工程；②多方案比选论证，选用高性价比设计等。 二、评审标准 1.完整性：切合本项目实际情况，方案内容全 面，有详细描述及其他内容的补充； 2.合理性：方案分析符合项目实际特点，合 理、恰当； 三、赋分标准（满分 8分） ①分级拆分造价指标，分摊到单体、分项工 程：每完全满足一个评审标准得 2分，满分 4 分； ②多方案比选论证，选用高性价比设计： 每完全满足一个评审标准得2 分，满分 4分； 不提供得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设计质量措施</w:t>
            </w:r>
          </w:p>
        </w:tc>
        <w:tc>
          <w:tcPr>
            <w:tcW w:type="dxa" w:w="2492"/>
          </w:tcPr>
          <w:p>
            <w:pPr>
              <w:pStyle w:val="null3"/>
            </w:pPr>
            <w:r>
              <w:rPr>
                <w:rFonts w:ascii="仿宋_GB2312" w:hAnsi="仿宋_GB2312" w:cs="仿宋_GB2312" w:eastAsia="仿宋_GB2312"/>
              </w:rPr>
              <w:t>供应商根据本项目提供满足项目的设计质量方 案，内容包括：①设计深度符合规范及项目报审落 地要求；②取值合规，匹配项目实际 工况等。 二、评审标准 1.完整性：切合本项目实际情况，方案内容全 面，有详细描述及其他内容的补充； 2.合理性：方案分析符合项目实际特点，合 理、恰当； 三、赋分标准（满分 8 分） ①设计深度符合规范及项目报审落地要求：每 完全满足一个评审标准得 2分，满分 4分； ②取值合规，匹配项目实际工况：每完全满足一个评审标准得2 分，满分 4 分； 不提供得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设计进度措施</w:t>
            </w:r>
          </w:p>
        </w:tc>
        <w:tc>
          <w:tcPr>
            <w:tcW w:type="dxa" w:w="2492"/>
          </w:tcPr>
          <w:p>
            <w:pPr>
              <w:pStyle w:val="null3"/>
            </w:pPr>
            <w:r>
              <w:rPr>
                <w:rFonts w:ascii="仿宋_GB2312" w:hAnsi="仿宋_GB2312" w:cs="仿宋_GB2312" w:eastAsia="仿宋_GB2312"/>
              </w:rPr>
              <w:t>一、评审内容 供应商根据本项目提供满足项目的设计进度措 施，内容包括：①制定分阶段工作计划，明确各节 点交付时限；②统筹多专业协同作业，避免工序衔 接延误等。 二、评审标准 1.完整性：切合本项目实际情况，方案内容全 面，有详细描述及其他内容的补充； 2.合理性：方案分析符合项目实际特点，合 理、恰当； 三、赋分标准（满分8 分） ①制定分阶段工作计划，明确各节点交付时 限：每完全满足一个评审标准得 2分，满分 4 分； ②统筹多专业协同作业，避免工序衔接延误： 每完全满足一个评审标准得 2 分，满分 4 分； 不提供得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供应商根据本项目情况提出合理化建议，内容 包括：①进度控制方面建议；②质量控制方面建议 等。 二、评审标准 1.完整性：切合本项目实际情况，方案内容全 面，有详细描述及其他内容的补充； 2.合理性：方案分析符合项目实际特点，合 理、恰当； 三、赋分标准（满分8分） ①进度控制方面建议：每完全满足一个评审标 准得 2分，满分 4 分； ②质量控制方面建议：每完全满足一个评审标 准得 2分，满分 4分； 不提供得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供应商根据本项目情况提出服务承诺，内容包 括：①进度和质量保障承诺；②响应时间承诺等。 二、评审标准 每提供一项得3分，满分6分。内容不全或未提供不得分。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拟派设计负责人</w:t>
            </w:r>
          </w:p>
        </w:tc>
        <w:tc>
          <w:tcPr>
            <w:tcW w:type="dxa" w:w="2492"/>
          </w:tcPr>
          <w:p>
            <w:pPr>
              <w:pStyle w:val="null3"/>
            </w:pPr>
            <w:r>
              <w:rPr>
                <w:rFonts w:ascii="仿宋_GB2312" w:hAnsi="仿宋_GB2312" w:cs="仿宋_GB2312" w:eastAsia="仿宋_GB2312"/>
              </w:rPr>
              <w:t>1、拟派设计负责人职称为中级及以上职称得 2 分，初级职称得 1 分，其余不得分。 评审标准：提供拟派设计负责人职称证复印件（或 扫描件）并加盖供应商单位公章。 2、拟派设计负责人学历为大学本科（含）以上得 2分，大学专科得 1 分，其余不得分。 评审标准：提供拟派设计负责人毕业证复印件（或 扫描件）并加盖供应商公章。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设计团队人 员配备</w:t>
            </w:r>
          </w:p>
        </w:tc>
        <w:tc>
          <w:tcPr>
            <w:tcW w:type="dxa" w:w="2492"/>
          </w:tcPr>
          <w:p>
            <w:pPr>
              <w:pStyle w:val="null3"/>
            </w:pPr>
            <w:r>
              <w:rPr>
                <w:rFonts w:ascii="仿宋_GB2312" w:hAnsi="仿宋_GB2312" w:cs="仿宋_GB2312" w:eastAsia="仿宋_GB2312"/>
              </w:rPr>
              <w:t>一、评审内容 供应商提供完善的设计人员团队，内容包括：①组 织架构；②各成员职责； 二、评审标准 每提供一项得3分，满分6分。内容不全或未提供不得分。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 1 月 1 日及以后具有类似项目的业绩，响应文件中附有说明其业绩证明材料（以合同为准），每个业绩计 2 分，最高10 分。 上述业绩的合同复印件加盖单位公章附在响应文件中。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实质性满足磋商文件要求且最后报价最低的报价为 磋商基准价，其价格分为满分 10 分。其它供应商的 价格分统一按照下列公式计算：磋商报价得分=（磋商基准价/最后磋商报价）×价格分值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