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版本号：SXYZ2026ZB-MZT-060220260721001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人口老龄化国情教育专报采购项目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SXYZ2026ZB-MZT-0602</w:t>
      </w:r>
      <w:r>
        <w:br/>
      </w:r>
      <w:r>
        <w:br/>
      </w:r>
      <w:r>
        <w:br/>
      </w:r>
    </w:p>
    <w:p>
      <w:pPr>
        <w:pStyle w:val="null3"/>
        <w:jc w:val="center"/>
        <w:outlineLvl w:val="5"/>
      </w:pPr>
      <w:r>
        <w:rPr>
          <w:rFonts w:ascii="仿宋_GB2312" w:hAnsi="仿宋_GB2312" w:cs="仿宋_GB2312" w:eastAsia="仿宋_GB2312"/>
          <w:sz w:val="15"/>
          <w:b/>
        </w:rPr>
        <w:t>陕西省民政厅机关</w:t>
      </w:r>
    </w:p>
    <w:p>
      <w:pPr>
        <w:pStyle w:val="null3"/>
        <w:jc w:val="center"/>
        <w:outlineLvl w:val="5"/>
      </w:pPr>
      <w:r>
        <w:rPr>
          <w:rFonts w:ascii="仿宋_GB2312" w:hAnsi="仿宋_GB2312" w:cs="仿宋_GB2312" w:eastAsia="仿宋_GB2312"/>
          <w:sz w:val="15"/>
          <w:b/>
        </w:rPr>
        <w:t>陕西宇正招标有限公司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陕西宇正招标有限公司</w:t>
      </w:r>
      <w:r>
        <w:rPr>
          <w:rFonts w:ascii="仿宋_GB2312" w:hAnsi="仿宋_GB2312" w:cs="仿宋_GB2312" w:eastAsia="仿宋_GB2312"/>
        </w:rPr>
        <w:t>（以下简称“代理机构”）受</w:t>
      </w:r>
      <w:r>
        <w:rPr>
          <w:rFonts w:ascii="仿宋_GB2312" w:hAnsi="仿宋_GB2312" w:cs="仿宋_GB2312" w:eastAsia="仿宋_GB2312"/>
        </w:rPr>
        <w:t>陕西省民政厅机关</w:t>
      </w:r>
      <w:r>
        <w:rPr>
          <w:rFonts w:ascii="仿宋_GB2312" w:hAnsi="仿宋_GB2312" w:cs="仿宋_GB2312" w:eastAsia="仿宋_GB2312"/>
        </w:rPr>
        <w:t>委托，拟对</w:t>
      </w:r>
      <w:r>
        <w:rPr>
          <w:rFonts w:ascii="仿宋_GB2312" w:hAnsi="仿宋_GB2312" w:cs="仿宋_GB2312" w:eastAsia="仿宋_GB2312"/>
        </w:rPr>
        <w:t>人口老龄化国情教育专报采购项目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SXYZ2026ZB-MZT-0602</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人口老龄化国情教育专报采购项目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中国老年报》陕西版拟安排在《中国老年报》的三版或四版（如遇重大或特殊报道任务时进行调整），拟设置“老龄政策”“先进经验”“典型人物”“地方动态”等栏目。拟采取"报纸＋新媒体"多元化的模式进行老龄工作宣传。报纸宣传全年预计刊发35期左右，新媒体宣传主要是在报刊对应的微信公众号发布提供的图文、视频、互动类稿件。</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1、授权代表：法定代表⼈参加投标的，须提交法定代表⼈⾝份证明及⾝份证；法定代表⼈授权他⼈参加投标的，须提交法定代表⼈授权委托书及被授权⼈⾝份证；</w:t>
      </w:r>
    </w:p>
    <w:p>
      <w:pPr>
        <w:pStyle w:val="null3"/>
      </w:pPr>
      <w:r>
        <w:rPr>
          <w:rFonts w:ascii="仿宋_GB2312" w:hAnsi="仿宋_GB2312" w:cs="仿宋_GB2312" w:eastAsia="仿宋_GB2312"/>
        </w:rPr>
        <w:t>2、⾮联合体不分包投标声明：本项⽬不接受联合体投标，不允许分包转包，提供《⾮联合体不分包投标声明 》。</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陕西省民政厅机关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西安市新城区东新街403号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陕西省民政厅机关经办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029-63917541</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陕西宇正招标有限公司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西安市新城区长乐西路华东万悦城2号写字楼22楼2207室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常红、魏洁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029-88611613</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开户名称：陕西宇正招标有限公司</w:t>
            </w:r>
          </w:p>
          <w:p>
            <w:pPr>
              <w:pStyle w:val="null3"/>
            </w:pPr>
            <w:r>
              <w:rPr>
                <w:rFonts w:ascii="仿宋_GB2312" w:hAnsi="仿宋_GB2312" w:cs="仿宋_GB2312" w:eastAsia="仿宋_GB2312"/>
              </w:rPr>
              <w:t>开户银行：中国银行股份有限公司西安西关支行</w:t>
            </w:r>
          </w:p>
          <w:p>
            <w:pPr>
              <w:pStyle w:val="null3"/>
            </w:pPr>
            <w:r>
              <w:rPr>
                <w:rFonts w:ascii="仿宋_GB2312" w:hAnsi="仿宋_GB2312" w:cs="仿宋_GB2312" w:eastAsia="仿宋_GB2312"/>
              </w:rPr>
              <w:t>银行账号：102471229441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服务费参考《国家计委关于印发〈招标代理服务费管理暂行办法〉的通知》（计价格【2002】1980号）、《国家发展和改革委员会办公厅关于招标代理服务收费有关问题的通知》（发改办价格〔2003〕857号）规定收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陕西省民政厅机关</w:t>
      </w:r>
      <w:r>
        <w:rPr>
          <w:rFonts w:ascii="仿宋_GB2312" w:hAnsi="仿宋_GB2312" w:cs="仿宋_GB2312" w:eastAsia="仿宋_GB2312"/>
        </w:rPr>
        <w:t>和</w:t>
      </w:r>
      <w:r>
        <w:rPr>
          <w:rFonts w:ascii="仿宋_GB2312" w:hAnsi="仿宋_GB2312" w:cs="仿宋_GB2312" w:eastAsia="仿宋_GB2312"/>
        </w:rPr>
        <w:t>陕西宇正招标有限公司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陕西宇正招标有限公司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陕西省民政厅机关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陕西宇正招标有限公司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按照最终签订的采购合同约定执行</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按采购⽂件、响应⽂件及合同要求。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陕西宇正招标有限公司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陕西宇正招标有限公司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陕西宇正招标有限公司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联系人：常红</w:t>
      </w:r>
    </w:p>
    <w:p>
      <w:pPr>
        <w:pStyle w:val="null3"/>
      </w:pPr>
      <w:r>
        <w:rPr>
          <w:rFonts w:ascii="仿宋_GB2312" w:hAnsi="仿宋_GB2312" w:cs="仿宋_GB2312" w:eastAsia="仿宋_GB2312"/>
        </w:rPr>
        <w:t>联系电话：029-88611613</w:t>
      </w:r>
    </w:p>
    <w:p>
      <w:pPr>
        <w:pStyle w:val="null3"/>
      </w:pPr>
      <w:r>
        <w:rPr>
          <w:rFonts w:ascii="仿宋_GB2312" w:hAnsi="仿宋_GB2312" w:cs="仿宋_GB2312" w:eastAsia="仿宋_GB2312"/>
        </w:rPr>
        <w:t>地址：西安市新城区长乐西路华东万悦城2号写字楼22楼2207室</w:t>
      </w:r>
    </w:p>
    <w:p>
      <w:pPr>
        <w:pStyle w:val="null3"/>
      </w:pPr>
      <w:r>
        <w:rPr>
          <w:rFonts w:ascii="仿宋_GB2312" w:hAnsi="仿宋_GB2312" w:cs="仿宋_GB2312" w:eastAsia="仿宋_GB2312"/>
        </w:rPr>
        <w:t>邮编：710032</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中国老年报》陕西版拟安排在《中国老年报》的三版或四版（如遇重大或特殊报道任务时进行调整），拟设置“老龄政策”“先进经验”“典型人物”“地方动态”等栏目。拟采取"报纸＋新媒体"多元化的模式进行老龄工作宣传。报纸宣传全年预计刊发35期左右，新媒体宣传主要是在报刊对应的微信公众号发布提供的图文、视频、互动类稿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人口老龄化国情教育专报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标的名称：人口老龄化国情教育专报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sz w:val="24"/>
              </w:rPr>
              <w:t>一、项目背景</w:t>
            </w:r>
          </w:p>
          <w:p>
            <w:pPr>
              <w:pStyle w:val="null3"/>
              <w:ind w:firstLine="480"/>
            </w:pPr>
            <w:r>
              <w:rPr>
                <w:rFonts w:ascii="仿宋_GB2312" w:hAnsi="仿宋_GB2312" w:cs="仿宋_GB2312" w:eastAsia="仿宋_GB2312"/>
                <w:sz w:val="24"/>
              </w:rPr>
              <w:t>为贯彻落实积极应对人口老龄化国家战略，加强陕西老龄工作和养老服务领域典型经验宣传，推动老年友好型社会建设营造良好舆论氛围，根据《关于深入开展人口老龄化国情教育的指导意见》（民发〔</w:t>
            </w:r>
            <w:r>
              <w:rPr>
                <w:rFonts w:ascii="仿宋_GB2312" w:hAnsi="仿宋_GB2312" w:cs="仿宋_GB2312" w:eastAsia="仿宋_GB2312"/>
                <w:sz w:val="24"/>
              </w:rPr>
              <w:t>2025〕54号）、陕西省老龄工作委员会办公室关于印发《深入开展人口老龄化国情省情教育任务分工方案》的通知（陕老龄办发〔2025〕6号）要求，丰富我省老年人文体休闲生活和精神文化生活，宣传陕西老龄工作、养老事业和养老产业工作。</w:t>
            </w:r>
          </w:p>
          <w:p>
            <w:pPr>
              <w:pStyle w:val="null3"/>
              <w:ind w:firstLine="480"/>
            </w:pPr>
            <w:r>
              <w:rPr>
                <w:rFonts w:ascii="仿宋_GB2312" w:hAnsi="仿宋_GB2312" w:cs="仿宋_GB2312" w:eastAsia="仿宋_GB2312"/>
                <w:sz w:val="24"/>
              </w:rPr>
              <w:t>二、项目概述</w:t>
            </w:r>
          </w:p>
          <w:p>
            <w:pPr>
              <w:pStyle w:val="null3"/>
              <w:ind w:firstLine="480"/>
            </w:pPr>
            <w:r>
              <w:rPr>
                <w:rFonts w:ascii="仿宋_GB2312" w:hAnsi="仿宋_GB2312" w:cs="仿宋_GB2312" w:eastAsia="仿宋_GB2312"/>
                <w:sz w:val="24"/>
              </w:rPr>
              <w:t>《中国老年报》陕西版拟安排在《中国老年报》的三版或四版（如遇重大或特殊报道任务时进行调整），拟设置</w:t>
            </w:r>
            <w:r>
              <w:rPr>
                <w:rFonts w:ascii="仿宋_GB2312" w:hAnsi="仿宋_GB2312" w:cs="仿宋_GB2312" w:eastAsia="仿宋_GB2312"/>
                <w:sz w:val="24"/>
              </w:rPr>
              <w:t>“老龄政策”“先进经验”“典型人物”“地方动态”等栏目。</w:t>
            </w:r>
            <w:r>
              <w:rPr>
                <w:rFonts w:ascii="仿宋_GB2312" w:hAnsi="仿宋_GB2312" w:cs="仿宋_GB2312" w:eastAsia="仿宋_GB2312"/>
                <w:sz w:val="24"/>
              </w:rPr>
              <w:t>拟采取</w:t>
            </w:r>
            <w:r>
              <w:rPr>
                <w:rFonts w:ascii="仿宋_GB2312" w:hAnsi="仿宋_GB2312" w:cs="仿宋_GB2312" w:eastAsia="仿宋_GB2312"/>
                <w:sz w:val="24"/>
              </w:rPr>
              <w:t>"报纸＋新媒体"多元化的模式进行老龄工作宣传。报纸宣传全年预计刊发35期左右，新媒体宣传主要是在报刊对应的微信公众号发布提供的图文、视频、互动类稿件。该项目为期一年。</w:t>
            </w:r>
          </w:p>
          <w:p>
            <w:pPr>
              <w:pStyle w:val="null3"/>
              <w:ind w:firstLine="480"/>
            </w:pPr>
            <w:r>
              <w:rPr>
                <w:rFonts w:ascii="仿宋_GB2312" w:hAnsi="仿宋_GB2312" w:cs="仿宋_GB2312" w:eastAsia="仿宋_GB2312"/>
                <w:sz w:val="24"/>
              </w:rPr>
              <w:t>三、合作方案</w:t>
            </w:r>
          </w:p>
          <w:p>
            <w:pPr>
              <w:pStyle w:val="null3"/>
              <w:ind w:firstLine="480"/>
            </w:pPr>
            <w:r>
              <w:rPr>
                <w:rFonts w:ascii="仿宋_GB2312" w:hAnsi="仿宋_GB2312" w:cs="仿宋_GB2312" w:eastAsia="仿宋_GB2312"/>
                <w:sz w:val="24"/>
              </w:rPr>
              <w:t>（一）合作方式：</w:t>
            </w:r>
          </w:p>
          <w:p>
            <w:pPr>
              <w:pStyle w:val="null3"/>
              <w:ind w:firstLine="480"/>
            </w:pPr>
            <w:r>
              <w:rPr>
                <w:rFonts w:ascii="仿宋_GB2312" w:hAnsi="仿宋_GB2312" w:cs="仿宋_GB2312" w:eastAsia="仿宋_GB2312"/>
                <w:sz w:val="24"/>
              </w:rPr>
              <w:t>供应商按照采购人老龄新闻宣传工作要求，负责组织采写编辑审校推送全省贯彻落实老龄政策法规、组织开展老龄工作先进经验做法、老龄工作先进个人事迹等内容的新闻报道作品，稿件体裁为新闻消息、通讯、言论、调研报告、深度报道等。</w:t>
            </w:r>
          </w:p>
          <w:p>
            <w:pPr>
              <w:pStyle w:val="null3"/>
              <w:ind w:firstLine="480"/>
            </w:pPr>
            <w:r>
              <w:rPr>
                <w:rFonts w:ascii="仿宋_GB2312" w:hAnsi="仿宋_GB2312" w:cs="仿宋_GB2312" w:eastAsia="仿宋_GB2312"/>
                <w:sz w:val="24"/>
              </w:rPr>
              <w:t>采取</w:t>
            </w:r>
            <w:r>
              <w:rPr>
                <w:rFonts w:ascii="仿宋_GB2312" w:hAnsi="仿宋_GB2312" w:cs="仿宋_GB2312" w:eastAsia="仿宋_GB2312"/>
                <w:sz w:val="24"/>
              </w:rPr>
              <w:t>“版面+新媒体”多元化宣传模式。</w:t>
            </w:r>
          </w:p>
          <w:p>
            <w:pPr>
              <w:pStyle w:val="null3"/>
              <w:ind w:firstLine="480"/>
            </w:pPr>
            <w:r>
              <w:rPr>
                <w:rFonts w:ascii="仿宋_GB2312" w:hAnsi="仿宋_GB2312" w:cs="仿宋_GB2312" w:eastAsia="仿宋_GB2312"/>
                <w:sz w:val="24"/>
              </w:rPr>
              <w:t>版面宣传：专版主要安排在《中国老年报》当期的第三版或第四版，版面所涉及内容及图片由采购人提供，策划编辑由供应商负责；重要稿件经采购人与供应商双方共同协商确认后可移至一版头条刊发，头版头条视为一个专版。零散在报纸刊发的稿件，3-5篇计为一个整版。如采购人有重要报道，当日一个版不能承载的，经采购人与供应商双方共同协商后，酌情刊发。</w:t>
            </w:r>
          </w:p>
          <w:p>
            <w:pPr>
              <w:pStyle w:val="null3"/>
              <w:ind w:firstLine="480"/>
            </w:pPr>
            <w:r>
              <w:rPr>
                <w:rFonts w:ascii="仿宋_GB2312" w:hAnsi="仿宋_GB2312" w:cs="仿宋_GB2312" w:eastAsia="仿宋_GB2312"/>
                <w:sz w:val="24"/>
              </w:rPr>
              <w:t>新媒体宣传：作为对版面宣传的补充，超过专版承载量的稿件，可由供应商主办的微信公众号与视频号发布，以</w:t>
            </w:r>
            <w:r>
              <w:rPr>
                <w:rFonts w:ascii="仿宋_GB2312" w:hAnsi="仿宋_GB2312" w:cs="仿宋_GB2312" w:eastAsia="仿宋_GB2312"/>
                <w:sz w:val="24"/>
              </w:rPr>
              <w:t>5-8篇为1期，计入双方约定的总刊登期数。</w:t>
            </w:r>
          </w:p>
          <w:p>
            <w:pPr>
              <w:pStyle w:val="null3"/>
              <w:ind w:firstLine="480"/>
            </w:pPr>
            <w:r>
              <w:rPr>
                <w:rFonts w:ascii="仿宋_GB2312" w:hAnsi="仿宋_GB2312" w:cs="仿宋_GB2312" w:eastAsia="仿宋_GB2312"/>
                <w:sz w:val="24"/>
              </w:rPr>
              <w:t>（二）采编期数和供稿规格：</w:t>
            </w:r>
          </w:p>
          <w:p>
            <w:pPr>
              <w:pStyle w:val="null3"/>
              <w:ind w:firstLine="480"/>
            </w:pPr>
            <w:r>
              <w:rPr>
                <w:rFonts w:ascii="仿宋_GB2312" w:hAnsi="仿宋_GB2312" w:cs="仿宋_GB2312" w:eastAsia="仿宋_GB2312"/>
                <w:sz w:val="24"/>
              </w:rPr>
              <w:t>采编期数：每年（非自然年）采编期数暂定为</w:t>
            </w:r>
            <w:r>
              <w:rPr>
                <w:rFonts w:ascii="仿宋_GB2312" w:hAnsi="仿宋_GB2312" w:cs="仿宋_GB2312" w:eastAsia="仿宋_GB2312"/>
                <w:sz w:val="24"/>
              </w:rPr>
              <w:t>35期，具体以实际采集期数为准。</w:t>
            </w:r>
          </w:p>
          <w:p>
            <w:pPr>
              <w:pStyle w:val="null3"/>
              <w:ind w:firstLine="480"/>
            </w:pPr>
            <w:r>
              <w:rPr>
                <w:rFonts w:ascii="仿宋_GB2312" w:hAnsi="仿宋_GB2312" w:cs="仿宋_GB2312" w:eastAsia="仿宋_GB2312"/>
                <w:sz w:val="24"/>
              </w:rPr>
              <w:t>供稿规格：每期供稿不少于8篇，字数不少于7000字。</w:t>
            </w:r>
          </w:p>
          <w:p>
            <w:pPr>
              <w:pStyle w:val="null3"/>
              <w:ind w:firstLine="480"/>
            </w:pPr>
            <w:r>
              <w:rPr>
                <w:rFonts w:ascii="仿宋_GB2312" w:hAnsi="仿宋_GB2312" w:cs="仿宋_GB2312" w:eastAsia="仿宋_GB2312"/>
                <w:sz w:val="24"/>
              </w:rPr>
              <w:t>（三）刊登时间。</w:t>
            </w:r>
          </w:p>
          <w:p>
            <w:pPr>
              <w:pStyle w:val="null3"/>
            </w:pPr>
            <w:r>
              <w:rPr>
                <w:rFonts w:ascii="仿宋_GB2312" w:hAnsi="仿宋_GB2312" w:cs="仿宋_GB2312" w:eastAsia="仿宋_GB2312"/>
                <w:sz w:val="24"/>
              </w:rPr>
              <w:t xml:space="preserve">  供应商有权对采购人提供的稿件或图片进行内容审核，并在审核通过后的</w:t>
            </w:r>
            <w:r>
              <w:rPr>
                <w:rFonts w:ascii="仿宋_GB2312" w:hAnsi="仿宋_GB2312" w:cs="仿宋_GB2312" w:eastAsia="仿宋_GB2312"/>
                <w:sz w:val="24"/>
              </w:rPr>
              <w:t>7日内进行排版刊登，具体刊登时间及版面由供应商确定。对于采购人即时性宣传需求，经双方协商后，供应商予以配合。</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按照项目需求配置。</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按照项目需求配置。</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2026年12月至2027年12月。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陕西省⺠政厅机关指定地点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 ，达到付款条件起10个工作日内，支付合同总金额的70.0%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进度款，项目服务期结束并经采购人验收合格后，达到付款条件起10个工作日内，支付合同总金额的30.0%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按采购⽂件、响应⽂件及合同要求。</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根据合同⽂本执⾏。</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承担⺠事责任能⼒的法⼈、其他组织或⾃然⼈，并出具合法有效的营业执照或事业单位法⼈证书等国家规定的相关证明，⾃然⼈参与的提供其⾝份证明（⾝份证原件）；2、税收缴纳证明：提供⾃2026年1⽉1⽇以来⾄少⼀个⽉的纳税证明或完税证明，纳税证明或完税证明上应有代收机构或税务机关的公章或业务专⽤章；其他组织和⾃然⼈提供⾃2026年1⽉1⽇以来的⾄少⼀个⽉的缴纳税收的凭据；依法免税的或者依法不需缴税的供应商应提供相关⽂件证明；其他组织和⾃然⼈也须提供(复印件加盖公章)；3、社会保障资⾦缴纳证明：提供⾃2026年1⽉1⽇以来⾄少⼀个⽉的社会保障资⾦的证明（社会保障资⾦缴存单据或社保机构开具的社会保险参保缴费情况证明等）；依法不需要缴纳社会保障资⾦的供应商应提供相关⽂件证明；其他组织和⾃然⼈也须提供(复印件加盖公章)；4、具有履⾏本合同所必需的专业技术能⼒和制作经验，提供加盖供应商公章的声明函并提供相关证明材料；5、参加本次政府采购活动前三年内在经营活动中没有重⼤违纪，以及未被列⼊失信被执⾏⼈、重大税收违法失信主体名单、政府采购严重违法失信⾏为记录名单的书⾯声明（提供加盖供应商公章的声明函）；6、供应商需在项⽬电⼦化交易系统中按要求填写《投标函》完成承诺并进⾏电⼦签章。</w:t>
            </w:r>
          </w:p>
        </w:tc>
        <w:tc>
          <w:tcPr>
            <w:tcW w:type="dxa" w:w="1661"/>
          </w:tcPr>
          <w:p>
            <w:pPr>
              <w:pStyle w:val="null3"/>
            </w:pPr>
            <w:r>
              <w:rPr>
                <w:rFonts w:ascii="仿宋_GB2312" w:hAnsi="仿宋_GB2312" w:cs="仿宋_GB2312" w:eastAsia="仿宋_GB2312"/>
              </w:rPr>
              <w:t>2.资格证明文件.docx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会计师事务所出具的2025年度财务审计报告（审计报告须包括“四表⼀附注”即资产负债表、利润表、现⾦流量表、所有者权益变动表及其附注。成⽴时间⾄投标截⽌时间不⾜⼀年的可提供成⽴后任意时段的资产负债表。）或投标截⽌时间前6个⽉内基本账⼾银⾏出具的资信证明或信⽤担保机构出具的投标担保函（以上三种形式的资料提供任何⼀种即可）。</w:t>
            </w:r>
          </w:p>
        </w:tc>
        <w:tc>
          <w:tcPr>
            <w:tcW w:type="dxa" w:w="1661"/>
          </w:tcPr>
          <w:p>
            <w:pPr>
              <w:pStyle w:val="null3"/>
            </w:pPr>
            <w:r>
              <w:rPr>
                <w:rFonts w:ascii="仿宋_GB2312" w:hAnsi="仿宋_GB2312" w:cs="仿宋_GB2312" w:eastAsia="仿宋_GB2312"/>
              </w:rPr>
              <w:t>2.资格证明文件.docx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法定代表⼈参加投标的，须提交法定代表⼈⾝份证明及⾝份证；法定代表⼈授权他⼈参加投标的，须提交法定代表⼈授权委托书及被授权⼈⾝份证；</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⾮联合体不分包投标声明</w:t>
            </w:r>
          </w:p>
        </w:tc>
        <w:tc>
          <w:tcPr>
            <w:tcW w:type="dxa" w:w="3322"/>
          </w:tcPr>
          <w:p>
            <w:pPr>
              <w:pStyle w:val="null3"/>
            </w:pPr>
            <w:r>
              <w:rPr>
                <w:rFonts w:ascii="仿宋_GB2312" w:hAnsi="仿宋_GB2312" w:cs="仿宋_GB2312" w:eastAsia="仿宋_GB2312"/>
              </w:rPr>
              <w:t>本项⽬不接受联合体投标，不允许分包转包，提供《⾮联合体不分包投标声明 》。</w:t>
            </w:r>
          </w:p>
        </w:tc>
        <w:tc>
          <w:tcPr>
            <w:tcW w:type="dxa" w:w="1661"/>
          </w:tcPr>
          <w:p>
            <w:pPr>
              <w:pStyle w:val="null3"/>
            </w:pPr>
            <w:r>
              <w:rPr>
                <w:rFonts w:ascii="仿宋_GB2312" w:hAnsi="仿宋_GB2312" w:cs="仿宋_GB2312" w:eastAsia="仿宋_GB2312"/>
              </w:rPr>
              <w:t>2.资格证明文件.docx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是否满足单一来源采购文件第三章中商务要求的全部要求</w:t>
            </w:r>
          </w:p>
        </w:tc>
        <w:tc>
          <w:tcPr>
            <w:tcW w:type="dxa" w:w="1661"/>
          </w:tcPr>
          <w:p>
            <w:pPr>
              <w:pStyle w:val="null3"/>
            </w:pPr>
            <w:r>
              <w:rPr>
                <w:rFonts w:ascii="仿宋_GB2312" w:hAnsi="仿宋_GB2312" w:cs="仿宋_GB2312" w:eastAsia="仿宋_GB2312"/>
              </w:rPr>
              <w:t>4.商务应答表.docx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1.分项报价表.docx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报价是否唯⼀，是否超过单一来源采购文件中规定的采购预算或最⾼限价。</w:t>
            </w:r>
          </w:p>
        </w:tc>
        <w:tc>
          <w:tcPr>
            <w:tcW w:type="dxa" w:w="1661"/>
          </w:tcPr>
          <w:p>
            <w:pPr>
              <w:pStyle w:val="null3"/>
            </w:pPr>
            <w:r>
              <w:rPr>
                <w:rFonts w:ascii="仿宋_GB2312" w:hAnsi="仿宋_GB2312" w:cs="仿宋_GB2312" w:eastAsia="仿宋_GB2312"/>
              </w:rPr>
              <w:t>标的清单 1.分项报价表.docx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是否按照单一来源采购文件要求签字、盖章。</w:t>
            </w:r>
          </w:p>
        </w:tc>
        <w:tc>
          <w:tcPr>
            <w:tcW w:type="dxa" w:w="1661"/>
          </w:tcPr>
          <w:p>
            <w:pPr>
              <w:pStyle w:val="null3"/>
            </w:pPr>
            <w:r>
              <w:rPr>
                <w:rFonts w:ascii="仿宋_GB2312" w:hAnsi="仿宋_GB2312" w:cs="仿宋_GB2312" w:eastAsia="仿宋_GB2312"/>
              </w:rPr>
              <w:t>响应文件封面 5.服务内容及服务要求应答表.docx 4.商务应答表.docx 2.资格证明文件.docx 残疾人福利性单位声明函 中小企业声明函 3.承诺书.docx 标的清单 报价表 1.分项报价表.docx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供应商按照单一来源采购文件要求上传响应文件</w:t>
            </w:r>
          </w:p>
        </w:tc>
        <w:tc>
          <w:tcPr>
            <w:tcW w:type="dxa" w:w="1661"/>
          </w:tcPr>
          <w:p>
            <w:pPr>
              <w:pStyle w:val="null3"/>
            </w:pPr>
            <w:r>
              <w:rPr>
                <w:rFonts w:ascii="仿宋_GB2312" w:hAnsi="仿宋_GB2312" w:cs="仿宋_GB2312" w:eastAsia="仿宋_GB2312"/>
              </w:rPr>
              <w:t>5.服务内容及服务要求应答表.docx 6.服务方案、人员配置及业绩.docx 响应函 8.供应商认为需要提供的其他资料.docx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是否符合单一来源采购文件要求</w:t>
            </w:r>
          </w:p>
        </w:tc>
        <w:tc>
          <w:tcPr>
            <w:tcW w:type="dxa" w:w="1661"/>
          </w:tcPr>
          <w:p>
            <w:pPr>
              <w:pStyle w:val="null3"/>
            </w:pPr>
            <w:r>
              <w:rPr>
                <w:rFonts w:ascii="仿宋_GB2312" w:hAnsi="仿宋_GB2312" w:cs="仿宋_GB2312" w:eastAsia="仿宋_GB2312"/>
              </w:rPr>
              <w:t>7.投标保证金保函.docx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详见附件：2.资格证明文件.docx</w:t>
      </w:r>
    </w:p>
    <w:p>
      <w:pPr>
        <w:pStyle w:val="null3"/>
        <w:ind w:firstLine="960"/>
      </w:pPr>
      <w:r>
        <w:rPr>
          <w:rFonts w:ascii="仿宋_GB2312" w:hAnsi="仿宋_GB2312" w:cs="仿宋_GB2312" w:eastAsia="仿宋_GB2312"/>
        </w:rPr>
        <w:t>详见附件：3.承诺书.docx</w:t>
      </w:r>
    </w:p>
    <w:p>
      <w:pPr>
        <w:pStyle w:val="null3"/>
        <w:ind w:firstLine="960"/>
      </w:pPr>
      <w:r>
        <w:rPr>
          <w:rFonts w:ascii="仿宋_GB2312" w:hAnsi="仿宋_GB2312" w:cs="仿宋_GB2312" w:eastAsia="仿宋_GB2312"/>
        </w:rPr>
        <w:t>详见附件：4.商务应答表.docx</w:t>
      </w:r>
    </w:p>
    <w:p>
      <w:pPr>
        <w:pStyle w:val="null3"/>
        <w:ind w:firstLine="960"/>
      </w:pPr>
      <w:r>
        <w:rPr>
          <w:rFonts w:ascii="仿宋_GB2312" w:hAnsi="仿宋_GB2312" w:cs="仿宋_GB2312" w:eastAsia="仿宋_GB2312"/>
        </w:rPr>
        <w:t>详见附件：5.服务内容及服务要求应答表.docx</w:t>
      </w:r>
    </w:p>
    <w:p>
      <w:pPr>
        <w:pStyle w:val="null3"/>
        <w:ind w:firstLine="960"/>
      </w:pPr>
      <w:r>
        <w:rPr>
          <w:rFonts w:ascii="仿宋_GB2312" w:hAnsi="仿宋_GB2312" w:cs="仿宋_GB2312" w:eastAsia="仿宋_GB2312"/>
        </w:rPr>
        <w:t>详见附件：6.服务方案、人员配置及业绩.docx</w:t>
      </w:r>
    </w:p>
    <w:p>
      <w:pPr>
        <w:pStyle w:val="null3"/>
        <w:ind w:firstLine="960"/>
      </w:pPr>
      <w:r>
        <w:rPr>
          <w:rFonts w:ascii="仿宋_GB2312" w:hAnsi="仿宋_GB2312" w:cs="仿宋_GB2312" w:eastAsia="仿宋_GB2312"/>
        </w:rPr>
        <w:t>详见附件：7.投标保证金保函.docx</w:t>
      </w:r>
    </w:p>
    <w:p>
      <w:pPr>
        <w:pStyle w:val="null3"/>
        <w:ind w:firstLine="960"/>
      </w:pPr>
      <w:r>
        <w:rPr>
          <w:rFonts w:ascii="仿宋_GB2312" w:hAnsi="仿宋_GB2312" w:cs="仿宋_GB2312" w:eastAsia="仿宋_GB2312"/>
        </w:rPr>
        <w:t>详见附件：8.供应商认为需要提供的其他资料.docx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