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版本号：HCLG2026-01320260714001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模拟风力发电实验系统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HCLG2026-013</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模拟风力发电实验系统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HCLG2026-013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模拟风力发电实验系统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该项目是在室内环境下模拟兆瓦级双馈异步和永磁同步风力发电装置，由发电机、调速装置、双向可控变流器及AI智能交互控制系统等组成，可在室内模拟风速曲线变化、发电机并网与脱网、风力机模拟、功率调节和MPPT最大功率点跟踪等功能，满足相关课程的基础实验教学和风力发电控制研究等需求。通过实验操作，学生能深入了解风力发电系统的工作原理和结构组成，在模拟不同风速、负载等运行条件的实验环境中，观察和分析系统在不同工况下的运行特性。系统具备AI智能交互控制功能，搭载语音识别与指令执行模块，学生可以学习风电相关大数据开发逻辑，培养符合时代发展的高端人才</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采购包1（模拟风力发电实验系统）：属于专门面向中小企业采购。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p>
      <w:pPr>
        <w:pStyle w:val="null3"/>
      </w:pPr>
      <w:r>
        <w:rPr>
          <w:rFonts w:ascii="仿宋_GB2312" w:hAnsi="仿宋_GB2312" w:cs="仿宋_GB2312" w:eastAsia="仿宋_GB2312"/>
        </w:rPr>
        <w:t>3、税收缴纳证明：提供投标文件截止时间前一年内任意一个月的证明（时间以税款所属日期为准），凭据应有税务机关或代收机关的公章或业务专用章。依法免税或无须缴纳税收的供应商，应提供相应证明文件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4、社会保障资金缴纳证明：提供投标文件截止时间前一年内任意一个月的社会保障资金缴存单据或社保机构开具的社会保险参保缴费情况证明，依法不需要缴纳社会保障资金的单位应提供相关证明材料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石老师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82312890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陕西省西安市碑林区西安市碑林区南二环西段21号华融国际商务大厦B-1701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王莉 解征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13259773661/02989115858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 平安银行西安分行营业部</w:t>
            </w:r>
          </w:p>
          <w:p>
            <w:pPr>
              <w:pStyle w:val="null3"/>
            </w:pPr>
            <w:r>
              <w:rPr>
                <w:rFonts w:ascii="仿宋_GB2312" w:hAnsi="仿宋_GB2312" w:cs="仿宋_GB2312" w:eastAsia="仿宋_GB2312"/>
              </w:rPr>
              <w:t>银行账号：30208471002813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说明：在签订政府采购合同前，中标投标人向采购人缴纳履约保证金，最终验收合格后采购人无息退还。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理暂行办法》（计价格[2002]1980号）及发改办价格[2003]857号文件的规定标准费的62%收取。2、本项目中标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投标⼈将在采购项⽬实施过程中采⽤⾃有或者第三⽅知识成果的，使⽤该知识成果后，投标⼈需提供开发接⼝和开发⼿册 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联系人：王莉</w:t>
      </w:r>
    </w:p>
    <w:p>
      <w:pPr>
        <w:pStyle w:val="null3"/>
      </w:pPr>
      <w:r>
        <w:rPr>
          <w:rFonts w:ascii="仿宋_GB2312" w:hAnsi="仿宋_GB2312" w:cs="仿宋_GB2312" w:eastAsia="仿宋_GB2312"/>
        </w:rPr>
        <w:t>联系电话：13259773661</w:t>
      </w:r>
    </w:p>
    <w:p>
      <w:pPr>
        <w:pStyle w:val="null3"/>
      </w:pPr>
      <w:r>
        <w:rPr>
          <w:rFonts w:ascii="仿宋_GB2312" w:hAnsi="仿宋_GB2312" w:cs="仿宋_GB2312" w:eastAsia="仿宋_GB2312"/>
        </w:rPr>
        <w:t>地址：陕西省西安市碑林区南二环西段21号华融国际商务大厦B-1701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项目是在室内环境下模拟兆瓦级双馈异步和永磁同步风力发电装置，由发电机、调速装置、双向可控变流器及AI智能交互控制系统等组成，可在室内模拟风速曲线变化、发电机并网与脱网、风力机模拟、功率调节和MPPT最大功率点跟踪等功能，满足相关课程的基础实验教学和风力发电控制研究等需求。通过实验操作，学生能深入了解风力发电系统的工作原理和结构组成，在模拟不同风速、负载等运行条件的实验环境中，观察和分析系统在不同工况下的运行特性。系统具备AI智能交互控制功能，搭载语音识别与指令执行模块，学生可以学习风电相关大数据开发逻辑，培养符合时代发展的高端人才。</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780,000.00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模拟风力发电实验系统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标的名称：模拟风力发电实验系统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采购清单</w:t>
            </w:r>
          </w:p>
          <w:tbl>
            <w:tblPr>
              <w:tblInd w:type="dxa" w:w="135"/>
              <w:tblBorders>
                <w:top w:val="none" w:color="000000" w:sz="4"/>
                <w:left w:val="none" w:color="000000" w:sz="4"/>
                <w:bottom w:val="none" w:color="000000" w:sz="4"/>
                <w:right w:val="none" w:color="000000" w:sz="4"/>
                <w:insideH w:val="none"/>
                <w:insideV w:val="none"/>
              </w:tblBorders>
            </w:tblPr>
            <w:tblGrid>
              <w:gridCol w:w="317"/>
              <w:gridCol w:w="975"/>
              <w:gridCol w:w="544"/>
              <w:gridCol w:w="385"/>
            </w:tblGrid>
            <w:tr>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序号</w:t>
                  </w:r>
                </w:p>
              </w:tc>
              <w:tc>
                <w:tcPr>
                  <w:tcW w:type="dxa" w:w="9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货物名称</w:t>
                  </w:r>
                </w:p>
              </w:tc>
              <w:tc>
                <w:tcPr>
                  <w:tcW w:type="dxa" w:w="5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数量</w:t>
                  </w:r>
                </w:p>
              </w:tc>
              <w:tc>
                <w:tcPr>
                  <w:tcW w:type="dxa" w:w="3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00"/>
                  </w:pPr>
                  <w:r>
                    <w:rPr>
                      <w:rFonts w:ascii="仿宋_GB2312" w:hAnsi="仿宋_GB2312" w:cs="仿宋_GB2312" w:eastAsia="仿宋_GB2312"/>
                      <w:sz w:val="20"/>
                      <w:color w:val="000000"/>
                    </w:rPr>
                    <w:t>核心产品</w:t>
                  </w: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双馈风力发电机组</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双馈风力发电变流控制</w:t>
                  </w:r>
                  <w:r>
                    <w:rPr>
                      <w:rFonts w:ascii="仿宋_GB2312" w:hAnsi="仿宋_GB2312" w:cs="仿宋_GB2312" w:eastAsia="仿宋_GB2312"/>
                      <w:sz w:val="20"/>
                      <w:color w:val="000000"/>
                    </w:rPr>
                    <w:t>系统</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双馈风力发电监测控制</w:t>
                  </w:r>
                  <w:r>
                    <w:rPr>
                      <w:rFonts w:ascii="仿宋_GB2312" w:hAnsi="仿宋_GB2312" w:cs="仿宋_GB2312" w:eastAsia="仿宋_GB2312"/>
                      <w:sz w:val="20"/>
                      <w:color w:val="000000"/>
                    </w:rPr>
                    <w:t>系统</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永磁风力发电机组</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永磁风力发电变流控制</w:t>
                  </w:r>
                  <w:r>
                    <w:rPr>
                      <w:rFonts w:ascii="仿宋_GB2312" w:hAnsi="仿宋_GB2312" w:cs="仿宋_GB2312" w:eastAsia="仿宋_GB2312"/>
                      <w:sz w:val="20"/>
                      <w:color w:val="000000"/>
                    </w:rPr>
                    <w:t>系统</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是</w:t>
                  </w: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6</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永磁风力发电监测控制</w:t>
                  </w:r>
                  <w:r>
                    <w:rPr>
                      <w:rFonts w:ascii="仿宋_GB2312" w:hAnsi="仿宋_GB2312" w:cs="仿宋_GB2312" w:eastAsia="仿宋_GB2312"/>
                      <w:sz w:val="20"/>
                      <w:color w:val="000000"/>
                    </w:rPr>
                    <w:t>系统</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产品</w:t>
                  </w:r>
                </w:p>
                <w:p>
                  <w:pPr>
                    <w:pStyle w:val="null3"/>
                    <w:jc w:val="center"/>
                  </w:pPr>
                  <w:r>
                    <w:rPr>
                      <w:rFonts w:ascii="仿宋_GB2312" w:hAnsi="仿宋_GB2312" w:cs="仿宋_GB2312" w:eastAsia="仿宋_GB2312"/>
                      <w:sz w:val="20"/>
                      <w:color w:val="000000"/>
                    </w:rPr>
                    <w:t>质保</w:t>
                  </w:r>
                </w:p>
              </w:tc>
              <w:tc>
                <w:tcPr>
                  <w:tcW w:type="dxa" w:w="1904"/>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0"/>
                      <w:color w:val="000000"/>
                    </w:rPr>
                    <w:t>所有设备免费质保期不低于</w:t>
                  </w:r>
                  <w:r>
                    <w:rPr>
                      <w:rFonts w:ascii="仿宋_GB2312" w:hAnsi="仿宋_GB2312" w:cs="仿宋_GB2312" w:eastAsia="仿宋_GB2312"/>
                      <w:sz w:val="20"/>
                      <w:color w:val="000000"/>
                    </w:rPr>
                    <w:t>5</w:t>
                  </w:r>
                  <w:r>
                    <w:rPr>
                      <w:rFonts w:ascii="仿宋_GB2312" w:hAnsi="仿宋_GB2312" w:cs="仿宋_GB2312" w:eastAsia="仿宋_GB2312"/>
                      <w:sz w:val="20"/>
                      <w:color w:val="000000"/>
                    </w:rPr>
                    <w:t>年</w:t>
                  </w:r>
                  <w:r>
                    <w:rPr>
                      <w:rFonts w:ascii="仿宋_GB2312" w:hAnsi="仿宋_GB2312" w:cs="仿宋_GB2312" w:eastAsia="仿宋_GB2312"/>
                      <w:sz w:val="20"/>
                      <w:color w:val="000000"/>
                    </w:rPr>
                    <w:t>。质保期自甲方在货物质量验收合格之日起计算。质保期内出现任何非人为故意损坏的质量问题，由乙方包换或包退，并承担调换或退货的全部费用。</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0"/>
              </w:rPr>
              <w:t>一、双馈风力发电机组</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.双馈异步发电机</w:t>
            </w:r>
            <w:r>
              <w:rPr>
                <w:rFonts w:ascii="仿宋_GB2312" w:hAnsi="仿宋_GB2312" w:cs="仿宋_GB2312" w:eastAsia="仿宋_GB2312"/>
                <w:sz w:val="20"/>
                <w:color w:val="000000"/>
              </w:rPr>
              <w:t>1</w:t>
            </w:r>
            <w:r>
              <w:rPr>
                <w:rFonts w:ascii="仿宋_GB2312" w:hAnsi="仿宋_GB2312" w:cs="仿宋_GB2312" w:eastAsia="仿宋_GB2312"/>
                <w:sz w:val="20"/>
                <w:color w:val="000000"/>
              </w:rPr>
              <w:t>台：额定功率</w:t>
            </w:r>
            <w:r>
              <w:rPr>
                <w:rFonts w:ascii="仿宋_GB2312" w:hAnsi="仿宋_GB2312" w:cs="仿宋_GB2312" w:eastAsia="仿宋_GB2312"/>
                <w:sz w:val="20"/>
                <w:color w:val="000000"/>
              </w:rPr>
              <w:t>≥10KW</w:t>
            </w:r>
            <w:r>
              <w:rPr>
                <w:rFonts w:ascii="仿宋_GB2312" w:hAnsi="仿宋_GB2312" w:cs="仿宋_GB2312" w:eastAsia="仿宋_GB2312"/>
                <w:sz w:val="20"/>
                <w:color w:val="000000"/>
              </w:rPr>
              <w:t>，工作电压</w:t>
            </w:r>
            <w:r>
              <w:rPr>
                <w:rFonts w:ascii="仿宋_GB2312" w:hAnsi="仿宋_GB2312" w:cs="仿宋_GB2312" w:eastAsia="仿宋_GB2312"/>
                <w:sz w:val="20"/>
                <w:color w:val="000000"/>
              </w:rPr>
              <w:t>380V</w:t>
            </w:r>
            <w:r>
              <w:rPr>
                <w:rFonts w:ascii="仿宋_GB2312" w:hAnsi="仿宋_GB2312" w:cs="仿宋_GB2312" w:eastAsia="仿宋_GB2312"/>
                <w:sz w:val="20"/>
                <w:color w:val="000000"/>
              </w:rPr>
              <w:t>，转速范围</w:t>
            </w:r>
            <w:r>
              <w:rPr>
                <w:rFonts w:ascii="仿宋_GB2312" w:hAnsi="仿宋_GB2312" w:cs="仿宋_GB2312" w:eastAsia="仿宋_GB2312"/>
                <w:sz w:val="20"/>
                <w:color w:val="000000"/>
              </w:rPr>
              <w:t>1200-2000rpm</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三相异步变频调速电动机</w:t>
            </w:r>
            <w:r>
              <w:rPr>
                <w:rFonts w:ascii="仿宋_GB2312" w:hAnsi="仿宋_GB2312" w:cs="仿宋_GB2312" w:eastAsia="仿宋_GB2312"/>
                <w:sz w:val="20"/>
                <w:color w:val="000000"/>
              </w:rPr>
              <w:t>1</w:t>
            </w:r>
            <w:r>
              <w:rPr>
                <w:rFonts w:ascii="仿宋_GB2312" w:hAnsi="仿宋_GB2312" w:cs="仿宋_GB2312" w:eastAsia="仿宋_GB2312"/>
                <w:sz w:val="20"/>
                <w:color w:val="000000"/>
              </w:rPr>
              <w:t>台：额定功率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13KW，工作电压380V，</w:t>
            </w:r>
            <w:r>
              <w:rPr>
                <w:rFonts w:ascii="仿宋_GB2312" w:hAnsi="仿宋_GB2312" w:cs="仿宋_GB2312" w:eastAsia="仿宋_GB2312"/>
                <w:sz w:val="20"/>
                <w:color w:val="000000"/>
              </w:rPr>
              <w:t>频率</w:t>
            </w:r>
            <w:r>
              <w:rPr>
                <w:rFonts w:ascii="仿宋_GB2312" w:hAnsi="仿宋_GB2312" w:cs="仿宋_GB2312" w:eastAsia="仿宋_GB2312"/>
                <w:sz w:val="20"/>
                <w:color w:val="000000"/>
              </w:rPr>
              <w:t>50HZ，</w:t>
            </w:r>
            <w:r>
              <w:rPr>
                <w:rFonts w:ascii="仿宋_GB2312" w:hAnsi="仿宋_GB2312" w:cs="仿宋_GB2312" w:eastAsia="仿宋_GB2312"/>
                <w:sz w:val="20"/>
                <w:color w:val="000000"/>
              </w:rPr>
              <w:t>转速范围</w:t>
            </w:r>
            <w:r>
              <w:rPr>
                <w:rFonts w:ascii="仿宋_GB2312" w:hAnsi="仿宋_GB2312" w:cs="仿宋_GB2312" w:eastAsia="仿宋_GB2312"/>
                <w:sz w:val="20"/>
                <w:color w:val="000000"/>
              </w:rPr>
              <w:t>1800</w:t>
            </w:r>
            <w:r>
              <w:rPr>
                <w:rFonts w:ascii="仿宋_GB2312" w:hAnsi="仿宋_GB2312" w:cs="仿宋_GB2312" w:eastAsia="仿宋_GB2312"/>
                <w:sz w:val="20"/>
                <w:color w:val="000000"/>
              </w:rPr>
              <w:t>-2000</w:t>
            </w:r>
            <w:r>
              <w:rPr>
                <w:rFonts w:ascii="仿宋_GB2312" w:hAnsi="仿宋_GB2312" w:cs="仿宋_GB2312" w:eastAsia="仿宋_GB2312"/>
                <w:sz w:val="20"/>
                <w:color w:val="000000"/>
              </w:rPr>
              <w:t>rpm。</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配置设备在实验运行时</w:t>
            </w:r>
            <w:r>
              <w:rPr>
                <w:rFonts w:ascii="仿宋_GB2312" w:hAnsi="仿宋_GB2312" w:cs="仿宋_GB2312" w:eastAsia="仿宋_GB2312"/>
                <w:sz w:val="20"/>
              </w:rPr>
              <w:t>防震垫、绝缘垫、吸声材料等措施减少震动、噪音，保障实验安全</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w:t>
            </w:r>
            <w:r>
              <w:rPr>
                <w:rFonts w:ascii="仿宋_GB2312" w:hAnsi="仿宋_GB2312" w:cs="仿宋_GB2312" w:eastAsia="仿宋_GB2312"/>
                <w:sz w:val="20"/>
                <w:color w:val="000000"/>
              </w:rPr>
              <w:t>双馈风力发电变流控制系统</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.双向变流器</w:t>
            </w:r>
            <w:r>
              <w:rPr>
                <w:rFonts w:ascii="仿宋_GB2312" w:hAnsi="仿宋_GB2312" w:cs="仿宋_GB2312" w:eastAsia="仿宋_GB2312"/>
                <w:sz w:val="20"/>
                <w:color w:val="000000"/>
              </w:rPr>
              <w:t>1</w:t>
            </w:r>
            <w:r>
              <w:rPr>
                <w:rFonts w:ascii="仿宋_GB2312" w:hAnsi="仿宋_GB2312" w:cs="仿宋_GB2312" w:eastAsia="仿宋_GB2312"/>
                <w:sz w:val="20"/>
                <w:color w:val="000000"/>
              </w:rPr>
              <w:t>台</w:t>
            </w:r>
            <w:r>
              <w:rPr>
                <w:rFonts w:ascii="仿宋_GB2312" w:hAnsi="仿宋_GB2312" w:cs="仿宋_GB2312" w:eastAsia="仿宋_GB2312"/>
                <w:sz w:val="20"/>
                <w:color w:val="000000"/>
              </w:rPr>
              <w:t>：分为网侧变流器和机侧变流器，均采用</w:t>
            </w:r>
            <w:r>
              <w:rPr>
                <w:rFonts w:ascii="仿宋_GB2312" w:hAnsi="仿宋_GB2312" w:cs="仿宋_GB2312" w:eastAsia="仿宋_GB2312"/>
                <w:sz w:val="20"/>
                <w:color w:val="000000"/>
              </w:rPr>
              <w:t>DSP核心控制板控制，功率管采用IPM集成模块驱动，IPM内部集成温度传感器，方便监测变流器内部温度变化；变流器均集成电压、电流传感器模块；具有电压异常、过载、过热、电机异常等保护功能，带有故障输出指示。变流器冷却方式采用风冷，</w:t>
            </w:r>
            <w:r>
              <w:rPr>
                <w:rFonts w:ascii="仿宋_GB2312" w:hAnsi="仿宋_GB2312" w:cs="仿宋_GB2312" w:eastAsia="仿宋_GB2312"/>
                <w:sz w:val="20"/>
                <w:color w:val="000000"/>
              </w:rPr>
              <w:t>带</w:t>
            </w:r>
            <w:r>
              <w:rPr>
                <w:rFonts w:ascii="仿宋_GB2312" w:hAnsi="仿宋_GB2312" w:cs="仿宋_GB2312" w:eastAsia="仿宋_GB2312"/>
                <w:sz w:val="20"/>
                <w:color w:val="000000"/>
              </w:rPr>
              <w:t>RS485隔离通讯功能。</w:t>
            </w:r>
          </w:p>
          <w:p>
            <w:pPr>
              <w:pStyle w:val="null3"/>
              <w:ind w:firstLine="400"/>
            </w:pPr>
            <w:r>
              <w:rPr>
                <w:rFonts w:ascii="仿宋_GB2312" w:hAnsi="仿宋_GB2312" w:cs="仿宋_GB2312" w:eastAsia="仿宋_GB2312"/>
                <w:sz w:val="20"/>
                <w:color w:val="000000"/>
              </w:rPr>
              <w:t>5.</w:t>
            </w:r>
            <w:r>
              <w:rPr>
                <w:rFonts w:ascii="仿宋_GB2312" w:hAnsi="仿宋_GB2312" w:cs="仿宋_GB2312" w:eastAsia="仿宋_GB2312"/>
                <w:sz w:val="20"/>
                <w:color w:val="000000"/>
              </w:rPr>
              <w:t>三相变频器</w:t>
            </w:r>
            <w:r>
              <w:rPr>
                <w:rFonts w:ascii="仿宋_GB2312" w:hAnsi="仿宋_GB2312" w:cs="仿宋_GB2312" w:eastAsia="仿宋_GB2312"/>
                <w:sz w:val="20"/>
                <w:color w:val="000000"/>
              </w:rPr>
              <w:t>1</w:t>
            </w:r>
            <w:r>
              <w:rPr>
                <w:rFonts w:ascii="仿宋_GB2312" w:hAnsi="仿宋_GB2312" w:cs="仿宋_GB2312" w:eastAsia="仿宋_GB2312"/>
                <w:sz w:val="20"/>
                <w:color w:val="000000"/>
              </w:rPr>
              <w:t>台：额定输出功率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10KW，输入电压AC380-415V，输入频率48—63Hz，输出频率0-300Hz。</w:t>
            </w:r>
          </w:p>
          <w:p>
            <w:pPr>
              <w:pStyle w:val="null3"/>
              <w:ind w:firstLine="400"/>
            </w:pPr>
            <w:r>
              <w:rPr>
                <w:rFonts w:ascii="仿宋_GB2312" w:hAnsi="仿宋_GB2312" w:cs="仿宋_GB2312" w:eastAsia="仿宋_GB2312"/>
                <w:sz w:val="20"/>
                <w:color w:val="000000"/>
              </w:rPr>
              <w:t>6</w:t>
            </w:r>
            <w:r>
              <w:rPr>
                <w:rFonts w:ascii="仿宋_GB2312" w:hAnsi="仿宋_GB2312" w:cs="仿宋_GB2312" w:eastAsia="仿宋_GB2312"/>
                <w:sz w:val="20"/>
                <w:color w:val="000000"/>
              </w:rPr>
              <w:t>.增量编码器2套：分辨率</w:t>
            </w:r>
            <w:r>
              <w:rPr>
                <w:rFonts w:ascii="仿宋_GB2312" w:hAnsi="仿宋_GB2312" w:cs="仿宋_GB2312" w:eastAsia="仿宋_GB2312"/>
                <w:sz w:val="20"/>
                <w:color w:val="000000"/>
              </w:rPr>
              <w:t>≥</w:t>
            </w:r>
            <w:r>
              <w:rPr>
                <w:rFonts w:ascii="仿宋_GB2312" w:hAnsi="仿宋_GB2312" w:cs="仿宋_GB2312" w:eastAsia="仿宋_GB2312"/>
                <w:sz w:val="20"/>
                <w:color w:val="000000"/>
              </w:rPr>
              <w:t>2000，输出为A+A-B+B-Z+Z-相，最大转速6000r/min。</w:t>
            </w:r>
          </w:p>
          <w:p>
            <w:pPr>
              <w:pStyle w:val="null3"/>
              <w:ind w:firstLine="400"/>
            </w:pPr>
            <w:r>
              <w:rPr>
                <w:rFonts w:ascii="仿宋_GB2312" w:hAnsi="仿宋_GB2312" w:cs="仿宋_GB2312" w:eastAsia="仿宋_GB2312"/>
                <w:sz w:val="20"/>
                <w:color w:val="000000"/>
              </w:rPr>
              <w:t>7</w:t>
            </w:r>
            <w:r>
              <w:rPr>
                <w:rFonts w:ascii="仿宋_GB2312" w:hAnsi="仿宋_GB2312" w:cs="仿宋_GB2312" w:eastAsia="仿宋_GB2312"/>
                <w:sz w:val="20"/>
                <w:color w:val="000000"/>
              </w:rPr>
              <w:t>.PLC：数字量输入</w:t>
            </w:r>
            <w:r>
              <w:rPr>
                <w:rFonts w:ascii="仿宋_GB2312" w:hAnsi="仿宋_GB2312" w:cs="仿宋_GB2312" w:eastAsia="仿宋_GB2312"/>
                <w:sz w:val="20"/>
                <w:color w:val="000000"/>
              </w:rPr>
              <w:t>≥</w:t>
            </w:r>
            <w:r>
              <w:rPr>
                <w:rFonts w:ascii="仿宋_GB2312" w:hAnsi="仿宋_GB2312" w:cs="仿宋_GB2312" w:eastAsia="仿宋_GB2312"/>
                <w:sz w:val="20"/>
                <w:color w:val="000000"/>
              </w:rPr>
              <w:t>14点，数字量输出</w:t>
            </w:r>
            <w:r>
              <w:rPr>
                <w:rFonts w:ascii="仿宋_GB2312" w:hAnsi="仿宋_GB2312" w:cs="仿宋_GB2312" w:eastAsia="仿宋_GB2312"/>
                <w:sz w:val="20"/>
                <w:color w:val="000000"/>
              </w:rPr>
              <w:t>≥</w:t>
            </w:r>
            <w:r>
              <w:rPr>
                <w:rFonts w:ascii="仿宋_GB2312" w:hAnsi="仿宋_GB2312" w:cs="仿宋_GB2312" w:eastAsia="仿宋_GB2312"/>
                <w:sz w:val="20"/>
                <w:color w:val="000000"/>
              </w:rPr>
              <w:t>10点，模拟量输入</w:t>
            </w:r>
            <w:r>
              <w:rPr>
                <w:rFonts w:ascii="仿宋_GB2312" w:hAnsi="仿宋_GB2312" w:cs="仿宋_GB2312" w:eastAsia="仿宋_GB2312"/>
                <w:sz w:val="20"/>
                <w:color w:val="000000"/>
              </w:rPr>
              <w:t>≥</w:t>
            </w:r>
            <w:r>
              <w:rPr>
                <w:rFonts w:ascii="仿宋_GB2312" w:hAnsi="仿宋_GB2312" w:cs="仿宋_GB2312" w:eastAsia="仿宋_GB2312"/>
                <w:sz w:val="20"/>
                <w:color w:val="000000"/>
              </w:rPr>
              <w:t>2点，模拟量输出</w:t>
            </w:r>
            <w:r>
              <w:rPr>
                <w:rFonts w:ascii="仿宋_GB2312" w:hAnsi="仿宋_GB2312" w:cs="仿宋_GB2312" w:eastAsia="仿宋_GB2312"/>
                <w:sz w:val="20"/>
                <w:color w:val="000000"/>
              </w:rPr>
              <w:t>≥</w:t>
            </w:r>
            <w:r>
              <w:rPr>
                <w:rFonts w:ascii="仿宋_GB2312" w:hAnsi="仿宋_GB2312" w:cs="仿宋_GB2312" w:eastAsia="仿宋_GB2312"/>
                <w:sz w:val="20"/>
                <w:color w:val="000000"/>
              </w:rPr>
              <w:t>2点；</w:t>
            </w:r>
            <w:r>
              <w:rPr>
                <w:rFonts w:ascii="仿宋_GB2312" w:hAnsi="仿宋_GB2312" w:cs="仿宋_GB2312" w:eastAsia="仿宋_GB2312"/>
                <w:sz w:val="20"/>
                <w:color w:val="000000"/>
              </w:rPr>
              <w:t>PLC</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Profinet</w:t>
            </w:r>
            <w:r>
              <w:rPr>
                <w:rFonts w:ascii="仿宋_GB2312" w:hAnsi="仿宋_GB2312" w:cs="仿宋_GB2312" w:eastAsia="仿宋_GB2312"/>
                <w:sz w:val="20"/>
                <w:color w:val="000000"/>
              </w:rPr>
              <w:t>、</w:t>
            </w:r>
            <w:r>
              <w:rPr>
                <w:rFonts w:ascii="仿宋_GB2312" w:hAnsi="仿宋_GB2312" w:cs="仿宋_GB2312" w:eastAsia="仿宋_GB2312"/>
                <w:sz w:val="20"/>
                <w:color w:val="000000"/>
              </w:rPr>
              <w:t>Profibus-DP</w:t>
            </w:r>
            <w:r>
              <w:rPr>
                <w:rFonts w:ascii="仿宋_GB2312" w:hAnsi="仿宋_GB2312" w:cs="仿宋_GB2312" w:eastAsia="仿宋_GB2312"/>
                <w:sz w:val="20"/>
                <w:color w:val="000000"/>
              </w:rPr>
              <w:t>、</w:t>
            </w:r>
            <w:r>
              <w:rPr>
                <w:rFonts w:ascii="仿宋_GB2312" w:hAnsi="仿宋_GB2312" w:cs="仿宋_GB2312" w:eastAsia="仿宋_GB2312"/>
                <w:sz w:val="20"/>
                <w:color w:val="000000"/>
              </w:rPr>
              <w:t>Modbus</w:t>
            </w:r>
            <w:r>
              <w:rPr>
                <w:rFonts w:ascii="仿宋_GB2312" w:hAnsi="仿宋_GB2312" w:cs="仿宋_GB2312" w:eastAsia="仿宋_GB2312"/>
                <w:sz w:val="20"/>
                <w:color w:val="000000"/>
              </w:rPr>
              <w:t>或</w:t>
            </w:r>
            <w:r>
              <w:rPr>
                <w:rFonts w:ascii="仿宋_GB2312" w:hAnsi="仿宋_GB2312" w:cs="仿宋_GB2312" w:eastAsia="仿宋_GB2312"/>
                <w:sz w:val="20"/>
                <w:color w:val="000000"/>
              </w:rPr>
              <w:t>CANopen</w:t>
            </w:r>
            <w:r>
              <w:rPr>
                <w:rFonts w:ascii="仿宋_GB2312" w:hAnsi="仿宋_GB2312" w:cs="仿宋_GB2312" w:eastAsia="仿宋_GB2312"/>
                <w:sz w:val="20"/>
                <w:color w:val="000000"/>
              </w:rPr>
              <w:t>等通讯协议，具备数字量与模拟量</w:t>
            </w:r>
            <w:r>
              <w:rPr>
                <w:rFonts w:ascii="仿宋_GB2312" w:hAnsi="仿宋_GB2312" w:cs="仿宋_GB2312" w:eastAsia="仿宋_GB2312"/>
                <w:sz w:val="20"/>
                <w:color w:val="000000"/>
              </w:rPr>
              <w:t>I/O</w:t>
            </w:r>
            <w:r>
              <w:rPr>
                <w:rFonts w:ascii="仿宋_GB2312" w:hAnsi="仿宋_GB2312" w:cs="仿宋_GB2312" w:eastAsia="仿宋_GB2312"/>
                <w:sz w:val="20"/>
                <w:color w:val="000000"/>
              </w:rPr>
              <w:t>扩展能力。</w:t>
            </w:r>
          </w:p>
          <w:p>
            <w:pPr>
              <w:pStyle w:val="null3"/>
              <w:ind w:firstLine="400"/>
            </w:pPr>
            <w:r>
              <w:rPr>
                <w:rFonts w:ascii="仿宋_GB2312" w:hAnsi="仿宋_GB2312" w:cs="仿宋_GB2312" w:eastAsia="仿宋_GB2312"/>
                <w:sz w:val="20"/>
                <w:color w:val="000000"/>
              </w:rPr>
              <w:t>8.</w:t>
            </w:r>
            <w:r>
              <w:rPr>
                <w:rFonts w:ascii="仿宋_GB2312" w:hAnsi="仿宋_GB2312" w:cs="仿宋_GB2312" w:eastAsia="仿宋_GB2312"/>
                <w:sz w:val="20"/>
                <w:color w:val="000000"/>
              </w:rPr>
              <w:t>四线电阻式触摸屏：串行接口：</w:t>
            </w:r>
            <w:r>
              <w:rPr>
                <w:rFonts w:ascii="仿宋_GB2312" w:hAnsi="仿宋_GB2312" w:cs="仿宋_GB2312" w:eastAsia="仿宋_GB2312"/>
                <w:sz w:val="20"/>
                <w:color w:val="000000"/>
              </w:rPr>
              <w:t>至少包括</w:t>
            </w:r>
            <w:r>
              <w:rPr>
                <w:rFonts w:ascii="仿宋_GB2312" w:hAnsi="仿宋_GB2312" w:cs="仿宋_GB2312" w:eastAsia="仿宋_GB2312"/>
                <w:sz w:val="20"/>
                <w:color w:val="000000"/>
              </w:rPr>
              <w:t>RS232/RS485；以太网口：10/100M自适应；</w:t>
            </w:r>
            <w:r>
              <w:rPr>
                <w:rFonts w:ascii="仿宋_GB2312" w:hAnsi="仿宋_GB2312" w:cs="仿宋_GB2312" w:eastAsia="仿宋_GB2312"/>
                <w:sz w:val="20"/>
                <w:color w:val="000000"/>
              </w:rPr>
              <w:t>触摸屏尺寸</w:t>
            </w:r>
            <w:r>
              <w:rPr>
                <w:rFonts w:ascii="仿宋_GB2312" w:hAnsi="仿宋_GB2312" w:cs="仿宋_GB2312" w:eastAsia="仿宋_GB2312"/>
                <w:sz w:val="20"/>
                <w:color w:val="000000"/>
              </w:rPr>
              <w:t>≥7寸</w:t>
            </w:r>
            <w:r>
              <w:rPr>
                <w:rFonts w:ascii="仿宋_GB2312" w:hAnsi="仿宋_GB2312" w:cs="仿宋_GB2312" w:eastAsia="仿宋_GB2312"/>
                <w:sz w:val="20"/>
                <w:color w:val="000000"/>
              </w:rPr>
              <w:t>；电磁兼容：工业三极；供电电压：</w:t>
            </w:r>
            <w:r>
              <w:rPr>
                <w:rFonts w:ascii="仿宋_GB2312" w:hAnsi="仿宋_GB2312" w:cs="仿宋_GB2312" w:eastAsia="仿宋_GB2312"/>
                <w:sz w:val="20"/>
                <w:color w:val="000000"/>
              </w:rPr>
              <w:t>24±20%VDC；</w:t>
            </w:r>
            <w:r>
              <w:rPr>
                <w:rFonts w:ascii="仿宋_GB2312" w:hAnsi="仿宋_GB2312" w:cs="仿宋_GB2312" w:eastAsia="仿宋_GB2312"/>
                <w:sz w:val="20"/>
                <w:color w:val="000000"/>
              </w:rPr>
              <w:t>待机功耗</w:t>
            </w:r>
            <w:r>
              <w:rPr>
                <w:rFonts w:ascii="仿宋_GB2312" w:hAnsi="仿宋_GB2312" w:cs="仿宋_GB2312" w:eastAsia="仿宋_GB2312"/>
                <w:sz w:val="20"/>
                <w:color w:val="000000"/>
              </w:rPr>
              <w:t>≤</w:t>
            </w:r>
            <w:r>
              <w:rPr>
                <w:rFonts w:ascii="仿宋_GB2312" w:hAnsi="仿宋_GB2312" w:cs="仿宋_GB2312" w:eastAsia="仿宋_GB2312"/>
                <w:sz w:val="20"/>
                <w:color w:val="000000"/>
              </w:rPr>
              <w:t>5W</w:t>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0～45℃。</w:t>
            </w:r>
          </w:p>
          <w:p>
            <w:pPr>
              <w:pStyle w:val="null3"/>
              <w:ind w:firstLine="400"/>
            </w:pPr>
            <w:r>
              <w:rPr>
                <w:rFonts w:ascii="仿宋_GB2312" w:hAnsi="仿宋_GB2312" w:cs="仿宋_GB2312" w:eastAsia="仿宋_GB2312"/>
                <w:sz w:val="20"/>
                <w:color w:val="000000"/>
              </w:rPr>
              <w:t>9</w:t>
            </w:r>
            <w:r>
              <w:rPr>
                <w:rFonts w:ascii="仿宋_GB2312" w:hAnsi="仿宋_GB2312" w:cs="仿宋_GB2312" w:eastAsia="仿宋_GB2312"/>
                <w:sz w:val="20"/>
                <w:color w:val="000000"/>
              </w:rPr>
              <w:t>.安全保护：带电源指示，急停控制及漏电保护，安全符合国家标准。</w:t>
            </w:r>
          </w:p>
          <w:p>
            <w:pPr>
              <w:pStyle w:val="null3"/>
              <w:ind w:firstLine="400"/>
            </w:pP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屏柜设计要求：前门采用推拉式设计，后门采用双开门设计，两边侧门可拆卸设计，底座前后活动式设计，方便进出线与柜体搬运；柜体尺寸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800×800×2000(mm)</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rPr>
              <w:t>11.</w:t>
            </w:r>
            <w:r>
              <w:rPr>
                <w:rFonts w:ascii="仿宋_GB2312" w:hAnsi="仿宋_GB2312" w:cs="仿宋_GB2312" w:eastAsia="仿宋_GB2312"/>
                <w:sz w:val="20"/>
              </w:rPr>
              <w:t>实验过程的数据具备自动记录功能，能够根据要求绘制相应的数据变化曲线，对各种操作记录具有自动记录功能。提供底层控制源代码用于二次开发实验内容。至少能完成以下实验内容：双馈风力发电机接线实验；双馈风力发电机空载运转实验；并网过程与脱网保护模拟实验；并网连续运行实验；风速与控制策略模拟实验；转矩模拟实验；发电功率模拟实验。</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w:t>
            </w:r>
            <w:r>
              <w:rPr>
                <w:rFonts w:ascii="仿宋_GB2312" w:hAnsi="仿宋_GB2312" w:cs="仿宋_GB2312" w:eastAsia="仿宋_GB2312"/>
                <w:sz w:val="20"/>
                <w:color w:val="000000"/>
              </w:rPr>
              <w:t>双馈风力发电监测控制系统</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12</w:t>
            </w:r>
            <w:r>
              <w:rPr>
                <w:rFonts w:ascii="仿宋_GB2312" w:hAnsi="仿宋_GB2312" w:cs="仿宋_GB2312" w:eastAsia="仿宋_GB2312"/>
                <w:sz w:val="20"/>
                <w:color w:val="000000"/>
              </w:rPr>
              <w:t>.双馈风力发电数据采集与监测控制系统：内置</w:t>
            </w:r>
            <w:r>
              <w:rPr>
                <w:rFonts w:ascii="仿宋_GB2312" w:hAnsi="仿宋_GB2312" w:cs="仿宋_GB2312" w:eastAsia="仿宋_GB2312"/>
                <w:sz w:val="20"/>
                <w:color w:val="000000"/>
              </w:rPr>
              <w:t>SCADA</w:t>
            </w:r>
            <w:r>
              <w:rPr>
                <w:rFonts w:ascii="仿宋_GB2312" w:hAnsi="仿宋_GB2312" w:cs="仿宋_GB2312" w:eastAsia="仿宋_GB2312"/>
                <w:sz w:val="20"/>
                <w:color w:val="000000"/>
              </w:rPr>
              <w:t>电力监控软件，软件具有用户权限管理功能；具有历史数据储存、数据库查询功能；实时监测系统数据、状态数据；实时曲线与历史曲线动态显示；设置和修改系统参数功能；具备快速遥信、遥测、遥控、遥调功能。</w:t>
            </w:r>
            <w:r>
              <w:rPr>
                <w:rFonts w:ascii="仿宋_GB2312" w:hAnsi="仿宋_GB2312" w:cs="仿宋_GB2312" w:eastAsia="仿宋_GB2312"/>
                <w:sz w:val="20"/>
                <w:color w:val="000000"/>
              </w:rPr>
              <w:t>配置主控操作台，操作台尺寸</w:t>
            </w:r>
            <w:r>
              <w:rPr>
                <w:rFonts w:ascii="仿宋_GB2312" w:hAnsi="仿宋_GB2312" w:cs="仿宋_GB2312" w:eastAsia="仿宋_GB2312"/>
                <w:sz w:val="20"/>
                <w:color w:val="000000"/>
              </w:rPr>
              <w:t>≤800</w:t>
            </w:r>
            <w:r>
              <w:rPr>
                <w:rFonts w:ascii="仿宋_GB2312" w:hAnsi="仿宋_GB2312" w:cs="仿宋_GB2312" w:eastAsia="仿宋_GB2312"/>
                <w:sz w:val="20"/>
                <w:color w:val="000000"/>
              </w:rPr>
              <w:t>×</w:t>
            </w:r>
            <w:r>
              <w:rPr>
                <w:rFonts w:ascii="仿宋_GB2312" w:hAnsi="仿宋_GB2312" w:cs="仿宋_GB2312" w:eastAsia="仿宋_GB2312"/>
                <w:sz w:val="20"/>
                <w:color w:val="000000"/>
              </w:rPr>
              <w:t>800</w:t>
            </w:r>
            <w:r>
              <w:rPr>
                <w:rFonts w:ascii="仿宋_GB2312" w:hAnsi="仿宋_GB2312" w:cs="仿宋_GB2312" w:eastAsia="仿宋_GB2312"/>
                <w:sz w:val="20"/>
                <w:color w:val="000000"/>
              </w:rPr>
              <w:t>×</w:t>
            </w:r>
            <w:r>
              <w:rPr>
                <w:rFonts w:ascii="仿宋_GB2312" w:hAnsi="仿宋_GB2312" w:cs="仿宋_GB2312" w:eastAsia="仿宋_GB2312"/>
                <w:sz w:val="20"/>
                <w:color w:val="000000"/>
              </w:rPr>
              <w:t>800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13.</w:t>
            </w:r>
            <w:r>
              <w:rPr>
                <w:rFonts w:ascii="仿宋_GB2312" w:hAnsi="仿宋_GB2312" w:cs="仿宋_GB2312" w:eastAsia="仿宋_GB2312"/>
                <w:sz w:val="20"/>
                <w:color w:val="000000"/>
              </w:rPr>
              <w:t>双馈风力发电大数据分析系统：</w:t>
            </w:r>
          </w:p>
          <w:p>
            <w:pPr>
              <w:pStyle w:val="null3"/>
              <w:ind w:firstLine="400"/>
            </w:pPr>
            <w:r>
              <w:rPr>
                <w:rFonts w:ascii="仿宋_GB2312" w:hAnsi="仿宋_GB2312" w:cs="仿宋_GB2312" w:eastAsia="仿宋_GB2312"/>
                <w:sz w:val="20"/>
                <w:color w:val="000000"/>
              </w:rPr>
              <w:t>内置预测模型，可根据天气数据、负荷数据预测未来一定时间内的发电功率和负荷。可生成历史与预测图表和报告。</w:t>
            </w:r>
          </w:p>
          <w:p>
            <w:pPr>
              <w:pStyle w:val="null3"/>
              <w:ind w:firstLine="400"/>
            </w:pPr>
            <w:r>
              <w:rPr>
                <w:rFonts w:ascii="仿宋_GB2312" w:hAnsi="仿宋_GB2312" w:cs="仿宋_GB2312" w:eastAsia="仿宋_GB2312"/>
                <w:sz w:val="20"/>
                <w:color w:val="000000"/>
              </w:rPr>
              <w:t>数据采集支持云端大数据存储，</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数据管理功能</w:t>
            </w:r>
            <w:r>
              <w:rPr>
                <w:rFonts w:ascii="仿宋_GB2312" w:hAnsi="仿宋_GB2312" w:cs="仿宋_GB2312" w:eastAsia="仿宋_GB2312"/>
                <w:sz w:val="20"/>
                <w:color w:val="000000"/>
              </w:rPr>
              <w:t>切换，</w:t>
            </w:r>
            <w:r>
              <w:rPr>
                <w:rFonts w:ascii="仿宋_GB2312" w:hAnsi="仿宋_GB2312" w:cs="仿宋_GB2312" w:eastAsia="仿宋_GB2312"/>
                <w:sz w:val="20"/>
                <w:color w:val="000000"/>
              </w:rPr>
              <w:t>结合大数据预测结果，为用户提供设备可行性建议，包括历史与预测运营图表报告、清洁能源供应占比饼状图报告、能源利用流式报告图（动态更新）及文本化的设备增减和维护时间分配建议。</w:t>
            </w:r>
          </w:p>
          <w:p>
            <w:pPr>
              <w:pStyle w:val="null3"/>
              <w:ind w:firstLine="400"/>
            </w:pPr>
            <w:r>
              <w:rPr>
                <w:rFonts w:ascii="仿宋_GB2312" w:hAnsi="仿宋_GB2312" w:cs="仿宋_GB2312" w:eastAsia="仿宋_GB2312"/>
                <w:sz w:val="20"/>
                <w:color w:val="000000"/>
              </w:rPr>
              <w:t>系统具有</w:t>
            </w:r>
            <w:r>
              <w:rPr>
                <w:rFonts w:ascii="仿宋_GB2312" w:hAnsi="仿宋_GB2312" w:cs="仿宋_GB2312" w:eastAsia="仿宋_GB2312"/>
                <w:sz w:val="20"/>
                <w:color w:val="000000"/>
              </w:rPr>
              <w:t>AI</w:t>
            </w:r>
            <w:r>
              <w:rPr>
                <w:rFonts w:ascii="仿宋_GB2312" w:hAnsi="仿宋_GB2312" w:cs="仿宋_GB2312" w:eastAsia="仿宋_GB2312"/>
                <w:sz w:val="20"/>
                <w:color w:val="000000"/>
              </w:rPr>
              <w:t>接口，接入</w:t>
            </w:r>
            <w:r>
              <w:rPr>
                <w:rFonts w:ascii="仿宋_GB2312" w:hAnsi="仿宋_GB2312" w:cs="仿宋_GB2312" w:eastAsia="仿宋_GB2312"/>
                <w:sz w:val="20"/>
                <w:color w:val="000000"/>
              </w:rPr>
              <w:t>DeepSeek</w:t>
            </w:r>
            <w:r>
              <w:rPr>
                <w:rFonts w:ascii="仿宋_GB2312" w:hAnsi="仿宋_GB2312" w:cs="仿宋_GB2312" w:eastAsia="仿宋_GB2312"/>
                <w:sz w:val="20"/>
                <w:color w:val="000000"/>
              </w:rPr>
              <w:t>、豆包、百度文心或阿里通义千问等</w:t>
            </w:r>
            <w:r>
              <w:rPr>
                <w:rFonts w:ascii="仿宋_GB2312" w:hAnsi="仿宋_GB2312" w:cs="仿宋_GB2312" w:eastAsia="仿宋_GB2312"/>
                <w:sz w:val="20"/>
                <w:color w:val="000000"/>
              </w:rPr>
              <w:t>A</w:t>
            </w:r>
            <w:r>
              <w:rPr>
                <w:rFonts w:ascii="仿宋_GB2312" w:hAnsi="仿宋_GB2312" w:cs="仿宋_GB2312" w:eastAsia="仿宋_GB2312"/>
                <w:sz w:val="20"/>
                <w:color w:val="000000"/>
              </w:rPr>
              <w:t>I</w:t>
            </w:r>
            <w:r>
              <w:rPr>
                <w:rFonts w:ascii="仿宋_GB2312" w:hAnsi="仿宋_GB2312" w:cs="仿宋_GB2312" w:eastAsia="仿宋_GB2312"/>
                <w:sz w:val="20"/>
                <w:color w:val="000000"/>
              </w:rPr>
              <w:t>大模型的答疑模块，能够为用户提供实时的在线答疑服务。</w:t>
            </w:r>
          </w:p>
          <w:p>
            <w:pPr>
              <w:pStyle w:val="null3"/>
              <w:ind w:firstLine="400"/>
            </w:pPr>
            <w:r>
              <w:rPr>
                <w:rFonts w:ascii="仿宋_GB2312" w:hAnsi="仿宋_GB2312" w:cs="仿宋_GB2312" w:eastAsia="仿宋_GB2312"/>
                <w:sz w:val="20"/>
                <w:b/>
                <w:color w:val="000000"/>
              </w:rPr>
              <w:t>投标现场视频演示项</w:t>
            </w:r>
            <w:r>
              <w:rPr>
                <w:rFonts w:ascii="仿宋_GB2312" w:hAnsi="仿宋_GB2312" w:cs="仿宋_GB2312" w:eastAsia="仿宋_GB2312"/>
                <w:sz w:val="20"/>
                <w:b/>
                <w:color w:val="000000"/>
              </w:rPr>
              <w:t>1</w:t>
            </w:r>
            <w:r>
              <w:rPr>
                <w:rFonts w:ascii="仿宋_GB2312" w:hAnsi="仿宋_GB2312" w:cs="仿宋_GB2312" w:eastAsia="仿宋_GB2312"/>
                <w:sz w:val="20"/>
                <w:b/>
                <w:color w:val="000000"/>
              </w:rPr>
              <w:t>：投标时需提供详细功能演示。</w:t>
            </w:r>
          </w:p>
          <w:p>
            <w:pPr>
              <w:pStyle w:val="null3"/>
              <w:ind w:firstLine="400"/>
            </w:pPr>
            <w:r>
              <w:rPr>
                <w:rFonts w:ascii="仿宋_GB2312" w:hAnsi="仿宋_GB2312" w:cs="仿宋_GB2312" w:eastAsia="仿宋_GB2312"/>
                <w:sz w:val="20"/>
                <w:color w:val="000000"/>
              </w:rPr>
              <w:t>14</w:t>
            </w:r>
            <w:r>
              <w:rPr>
                <w:rFonts w:ascii="仿宋_GB2312" w:hAnsi="仿宋_GB2312" w:cs="仿宋_GB2312" w:eastAsia="仿宋_GB2312"/>
                <w:sz w:val="20"/>
                <w:color w:val="000000"/>
              </w:rPr>
              <w:t>.配套风力发电教学仿真软件：</w:t>
            </w:r>
          </w:p>
          <w:p>
            <w:pPr>
              <w:pStyle w:val="null3"/>
              <w:ind w:firstLine="400"/>
            </w:pPr>
            <w:r>
              <w:rPr>
                <w:rFonts w:ascii="仿宋_GB2312" w:hAnsi="仿宋_GB2312" w:cs="仿宋_GB2312" w:eastAsia="仿宋_GB2312"/>
                <w:sz w:val="20"/>
                <w:color w:val="000000"/>
              </w:rPr>
              <w:t>提供风力发电虚拟仿真软件。包含但不限于以下</w:t>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模块：风电机组构造仿真实训功能模块、风电机组工作原理仿真实训功能模块、风电机组虚拟装配功能模块、风电机组运输卸载仿真实训功能模块、风电机组吊装仿真实训功能模块、风电机组检修维护仿真实训功能模块、风电机组电气操作仿真实训功能模块、风电机组故障处理仿真实训功能模块。</w:t>
            </w:r>
          </w:p>
          <w:p>
            <w:pPr>
              <w:pStyle w:val="null3"/>
            </w:pPr>
            <w:r>
              <w:rPr>
                <w:rFonts w:ascii="仿宋_GB2312" w:hAnsi="仿宋_GB2312" w:cs="仿宋_GB2312" w:eastAsia="仿宋_GB2312"/>
                <w:sz w:val="20"/>
                <w:color w:val="000000"/>
              </w:rPr>
              <w:t xml:space="preserve">  </w:t>
            </w:r>
            <w:r>
              <w:rPr>
                <w:rFonts w:ascii="仿宋_GB2312" w:hAnsi="仿宋_GB2312" w:cs="仿宋_GB2312" w:eastAsia="仿宋_GB2312"/>
                <w:sz w:val="20"/>
                <w:b/>
                <w:color w:val="000000"/>
              </w:rPr>
              <w:t>投标现场视频演示项</w:t>
            </w:r>
            <w:r>
              <w:rPr>
                <w:rFonts w:ascii="仿宋_GB2312" w:hAnsi="仿宋_GB2312" w:cs="仿宋_GB2312" w:eastAsia="仿宋_GB2312"/>
                <w:sz w:val="20"/>
                <w:b/>
                <w:color w:val="000000"/>
              </w:rPr>
              <w:t>2</w:t>
            </w:r>
            <w:r>
              <w:rPr>
                <w:rFonts w:ascii="仿宋_GB2312" w:hAnsi="仿宋_GB2312" w:cs="仿宋_GB2312" w:eastAsia="仿宋_GB2312"/>
                <w:sz w:val="20"/>
                <w:b/>
                <w:color w:val="000000"/>
              </w:rPr>
              <w:t>：投标时需提供详细功能演示。</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w:t>
            </w:r>
            <w:r>
              <w:rPr>
                <w:rFonts w:ascii="仿宋_GB2312" w:hAnsi="仿宋_GB2312" w:cs="仿宋_GB2312" w:eastAsia="仿宋_GB2312"/>
                <w:sz w:val="20"/>
                <w:color w:val="000000"/>
              </w:rPr>
              <w:t>永磁风力</w:t>
            </w:r>
            <w:r>
              <w:rPr>
                <w:rFonts w:ascii="仿宋_GB2312" w:hAnsi="仿宋_GB2312" w:cs="仿宋_GB2312" w:eastAsia="仿宋_GB2312"/>
                <w:sz w:val="20"/>
                <w:color w:val="000000"/>
              </w:rPr>
              <w:t>发电机组</w:t>
            </w:r>
          </w:p>
          <w:p>
            <w:pPr>
              <w:pStyle w:val="null3"/>
              <w:ind w:firstLine="400"/>
            </w:pPr>
            <w:r>
              <w:rPr>
                <w:rFonts w:ascii="仿宋_GB2312" w:hAnsi="仿宋_GB2312" w:cs="仿宋_GB2312" w:eastAsia="仿宋_GB2312"/>
                <w:sz w:val="20"/>
                <w:color w:val="000000"/>
              </w:rPr>
              <w:t>15</w:t>
            </w:r>
            <w:r>
              <w:rPr>
                <w:rFonts w:ascii="仿宋_GB2312" w:hAnsi="仿宋_GB2312" w:cs="仿宋_GB2312" w:eastAsia="仿宋_GB2312"/>
                <w:sz w:val="20"/>
                <w:color w:val="000000"/>
              </w:rPr>
              <w:t>.永磁发电机</w:t>
            </w:r>
            <w:r>
              <w:rPr>
                <w:rFonts w:ascii="仿宋_GB2312" w:hAnsi="仿宋_GB2312" w:cs="仿宋_GB2312" w:eastAsia="仿宋_GB2312"/>
                <w:sz w:val="20"/>
                <w:color w:val="000000"/>
              </w:rPr>
              <w:t>1</w:t>
            </w:r>
            <w:r>
              <w:rPr>
                <w:rFonts w:ascii="仿宋_GB2312" w:hAnsi="仿宋_GB2312" w:cs="仿宋_GB2312" w:eastAsia="仿宋_GB2312"/>
                <w:sz w:val="20"/>
                <w:color w:val="000000"/>
              </w:rPr>
              <w:t>台：结构类型为水平轴；发电机功率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10KW</w:t>
            </w:r>
            <w:r>
              <w:rPr>
                <w:rFonts w:ascii="仿宋_GB2312" w:hAnsi="仿宋_GB2312" w:cs="仿宋_GB2312" w:eastAsia="仿宋_GB2312"/>
                <w:sz w:val="20"/>
                <w:color w:val="000000"/>
              </w:rPr>
              <w:t>；模拟方式：模拟变频拖动；测速方式：编码器测速；转速范围500-1200rpm。</w:t>
            </w:r>
          </w:p>
          <w:p>
            <w:pPr>
              <w:pStyle w:val="null3"/>
              <w:ind w:firstLine="400"/>
            </w:pPr>
            <w:r>
              <w:rPr>
                <w:rFonts w:ascii="仿宋_GB2312" w:hAnsi="仿宋_GB2312" w:cs="仿宋_GB2312" w:eastAsia="仿宋_GB2312"/>
                <w:sz w:val="20"/>
              </w:rPr>
              <w:t>16</w:t>
            </w:r>
            <w:r>
              <w:rPr>
                <w:rFonts w:ascii="仿宋_GB2312" w:hAnsi="仿宋_GB2312" w:cs="仿宋_GB2312" w:eastAsia="仿宋_GB2312"/>
                <w:sz w:val="20"/>
              </w:rPr>
              <w:t>.异步变频拖动电机</w:t>
            </w:r>
            <w:r>
              <w:rPr>
                <w:rFonts w:ascii="仿宋_GB2312" w:hAnsi="仿宋_GB2312" w:cs="仿宋_GB2312" w:eastAsia="仿宋_GB2312"/>
                <w:sz w:val="20"/>
              </w:rPr>
              <w:t>1</w:t>
            </w:r>
            <w:r>
              <w:rPr>
                <w:rFonts w:ascii="仿宋_GB2312" w:hAnsi="仿宋_GB2312" w:cs="仿宋_GB2312" w:eastAsia="仿宋_GB2312"/>
                <w:sz w:val="20"/>
              </w:rPr>
              <w:t>台：</w:t>
            </w:r>
            <w:r>
              <w:rPr>
                <w:rFonts w:ascii="仿宋_GB2312" w:hAnsi="仿宋_GB2312" w:cs="仿宋_GB2312" w:eastAsia="仿宋_GB2312"/>
                <w:sz w:val="20"/>
              </w:rPr>
              <w:t>电机极数：</w:t>
            </w:r>
            <w:r>
              <w:rPr>
                <w:rFonts w:ascii="仿宋_GB2312" w:hAnsi="仿宋_GB2312" w:cs="仿宋_GB2312" w:eastAsia="仿宋_GB2312"/>
                <w:sz w:val="20"/>
              </w:rPr>
              <w:t>4P、6P</w:t>
            </w:r>
            <w:r>
              <w:rPr>
                <w:rFonts w:ascii="仿宋_GB2312" w:hAnsi="仿宋_GB2312" w:cs="仿宋_GB2312" w:eastAsia="仿宋_GB2312"/>
                <w:sz w:val="20"/>
              </w:rPr>
              <w:t>、</w:t>
            </w:r>
            <w:r>
              <w:rPr>
                <w:rFonts w:ascii="仿宋_GB2312" w:hAnsi="仿宋_GB2312" w:cs="仿宋_GB2312" w:eastAsia="仿宋_GB2312"/>
                <w:sz w:val="20"/>
              </w:rPr>
              <w:t>8P</w:t>
            </w:r>
            <w:r>
              <w:rPr>
                <w:rFonts w:ascii="仿宋_GB2312" w:hAnsi="仿宋_GB2312" w:cs="仿宋_GB2312" w:eastAsia="仿宋_GB2312"/>
                <w:sz w:val="20"/>
              </w:rPr>
              <w:t>均可</w:t>
            </w:r>
            <w:r>
              <w:rPr>
                <w:rFonts w:ascii="仿宋_GB2312" w:hAnsi="仿宋_GB2312" w:cs="仿宋_GB2312" w:eastAsia="仿宋_GB2312"/>
                <w:sz w:val="20"/>
              </w:rPr>
              <w:t>；</w:t>
            </w:r>
            <w:r>
              <w:rPr>
                <w:rFonts w:ascii="仿宋_GB2312" w:hAnsi="仿宋_GB2312" w:cs="仿宋_GB2312" w:eastAsia="仿宋_GB2312"/>
                <w:sz w:val="20"/>
              </w:rPr>
              <w:t>工作电压</w:t>
            </w:r>
            <w:r>
              <w:rPr>
                <w:rFonts w:ascii="仿宋_GB2312" w:hAnsi="仿宋_GB2312" w:cs="仿宋_GB2312" w:eastAsia="仿宋_GB2312"/>
                <w:sz w:val="20"/>
              </w:rPr>
              <w:t>380V</w:t>
            </w:r>
            <w:r>
              <w:rPr>
                <w:rFonts w:ascii="仿宋_GB2312" w:hAnsi="仿宋_GB2312" w:cs="仿宋_GB2312" w:eastAsia="仿宋_GB2312"/>
                <w:sz w:val="20"/>
              </w:rPr>
              <w:t>，频率</w:t>
            </w:r>
            <w:r>
              <w:rPr>
                <w:rFonts w:ascii="仿宋_GB2312" w:hAnsi="仿宋_GB2312" w:cs="仿宋_GB2312" w:eastAsia="仿宋_GB2312"/>
                <w:sz w:val="20"/>
              </w:rPr>
              <w:t>50HZ</w:t>
            </w:r>
            <w:r>
              <w:rPr>
                <w:rFonts w:ascii="仿宋_GB2312" w:hAnsi="仿宋_GB2312" w:cs="仿宋_GB2312" w:eastAsia="仿宋_GB2312"/>
                <w:sz w:val="20"/>
              </w:rPr>
              <w:t>；调速方式：变频调速；额定功率</w:t>
            </w:r>
            <w:r>
              <w:rPr>
                <w:rFonts w:ascii="仿宋_GB2312" w:hAnsi="仿宋_GB2312" w:cs="仿宋_GB2312" w:eastAsia="仿宋_GB2312"/>
                <w:sz w:val="20"/>
              </w:rPr>
              <w:t>≥</w:t>
            </w:r>
            <w:r>
              <w:rPr>
                <w:rFonts w:ascii="仿宋_GB2312" w:hAnsi="仿宋_GB2312" w:cs="仿宋_GB2312" w:eastAsia="仿宋_GB2312"/>
                <w:sz w:val="20"/>
              </w:rPr>
              <w:t>13KW</w:t>
            </w:r>
            <w:r>
              <w:rPr>
                <w:rFonts w:ascii="仿宋_GB2312" w:hAnsi="仿宋_GB2312" w:cs="仿宋_GB2312" w:eastAsia="仿宋_GB2312"/>
                <w:sz w:val="20"/>
                <w:color w:val="000000"/>
              </w:rPr>
              <w:t>；转速范围500-1200rpm</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color w:val="000000"/>
              </w:rPr>
              <w:t>五、</w:t>
            </w:r>
            <w:r>
              <w:rPr>
                <w:rFonts w:ascii="仿宋_GB2312" w:hAnsi="仿宋_GB2312" w:cs="仿宋_GB2312" w:eastAsia="仿宋_GB2312"/>
                <w:sz w:val="20"/>
                <w:color w:val="000000"/>
              </w:rPr>
              <w:t>永磁风力发电变流控制系统</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7</w:t>
            </w:r>
            <w:r>
              <w:rPr>
                <w:rFonts w:ascii="仿宋_GB2312" w:hAnsi="仿宋_GB2312" w:cs="仿宋_GB2312" w:eastAsia="仿宋_GB2312"/>
                <w:sz w:val="20"/>
                <w:color w:val="000000"/>
              </w:rPr>
              <w:t>.并网逆变器</w:t>
            </w:r>
            <w:r>
              <w:rPr>
                <w:rFonts w:ascii="仿宋_GB2312" w:hAnsi="仿宋_GB2312" w:cs="仿宋_GB2312" w:eastAsia="仿宋_GB2312"/>
                <w:sz w:val="20"/>
                <w:color w:val="000000"/>
              </w:rPr>
              <w:t>1</w:t>
            </w:r>
            <w:r>
              <w:rPr>
                <w:rFonts w:ascii="仿宋_GB2312" w:hAnsi="仿宋_GB2312" w:cs="仿宋_GB2312" w:eastAsia="仿宋_GB2312"/>
                <w:sz w:val="20"/>
                <w:color w:val="000000"/>
              </w:rPr>
              <w:t>台：额定功率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10kW；工作方式：MPPT追踪；</w:t>
            </w:r>
            <w:r>
              <w:rPr>
                <w:rFonts w:ascii="仿宋_GB2312" w:hAnsi="仿宋_GB2312" w:cs="仿宋_GB2312" w:eastAsia="仿宋_GB2312"/>
                <w:sz w:val="20"/>
                <w:color w:val="000000"/>
              </w:rPr>
              <w:t>额定电网频率</w:t>
            </w:r>
            <w:r>
              <w:rPr>
                <w:rFonts w:ascii="仿宋_GB2312" w:hAnsi="仿宋_GB2312" w:cs="仿宋_GB2312" w:eastAsia="仿宋_GB2312"/>
                <w:sz w:val="20"/>
                <w:color w:val="000000"/>
              </w:rPr>
              <w:t>50Hz，电网频率范围±5Hz；功率</w:t>
            </w:r>
            <w:r>
              <w:rPr>
                <w:rFonts w:ascii="仿宋_GB2312" w:hAnsi="仿宋_GB2312" w:cs="仿宋_GB2312" w:eastAsia="仿宋_GB2312"/>
                <w:sz w:val="20"/>
                <w:color w:val="000000"/>
              </w:rPr>
              <w:t>因数</w:t>
            </w:r>
            <w:r>
              <w:rPr>
                <w:rFonts w:ascii="仿宋_GB2312" w:hAnsi="仿宋_GB2312" w:cs="仿宋_GB2312" w:eastAsia="仿宋_GB2312"/>
                <w:sz w:val="20"/>
                <w:color w:val="000000"/>
              </w:rPr>
              <w:t>≥0.98；THDI</w:t>
            </w:r>
            <w:r>
              <w:rPr>
                <w:rFonts w:ascii="仿宋_GB2312" w:hAnsi="仿宋_GB2312" w:cs="仿宋_GB2312" w:eastAsia="仿宋_GB2312"/>
                <w:sz w:val="20"/>
                <w:color w:val="000000"/>
              </w:rPr>
              <w:t>＜</w:t>
            </w:r>
            <w:r>
              <w:rPr>
                <w:rFonts w:ascii="仿宋_GB2312" w:hAnsi="仿宋_GB2312" w:cs="仿宋_GB2312" w:eastAsia="仿宋_GB2312"/>
                <w:sz w:val="20"/>
                <w:color w:val="000000"/>
              </w:rPr>
              <w:t>3%；交流连接类型：三相；</w:t>
            </w:r>
            <w:r>
              <w:rPr>
                <w:rFonts w:ascii="仿宋_GB2312" w:hAnsi="仿宋_GB2312" w:cs="仿宋_GB2312" w:eastAsia="仿宋_GB2312"/>
                <w:sz w:val="20"/>
                <w:color w:val="000000"/>
              </w:rPr>
              <w:t>最大转换效率＞</w:t>
            </w:r>
            <w:r>
              <w:rPr>
                <w:rFonts w:ascii="仿宋_GB2312" w:hAnsi="仿宋_GB2312" w:cs="仿宋_GB2312" w:eastAsia="仿宋_GB2312"/>
                <w:sz w:val="20"/>
                <w:color w:val="000000"/>
              </w:rPr>
              <w:t>97%；MPPT效率＞99%；设备保护：直流极性反接保护，直流输入开关保护，交流输出过流保护，交流输出过压保护，接地故障监测，电网孤岛监测，残余电流检测；通讯接口：隔离RS485。</w:t>
            </w:r>
          </w:p>
          <w:p>
            <w:pPr>
              <w:pStyle w:val="null3"/>
              <w:ind w:firstLine="400"/>
            </w:pPr>
            <w:r>
              <w:rPr>
                <w:rFonts w:ascii="仿宋_GB2312" w:hAnsi="仿宋_GB2312" w:cs="仿宋_GB2312" w:eastAsia="仿宋_GB2312"/>
                <w:sz w:val="20"/>
                <w:color w:val="000000"/>
              </w:rPr>
              <w:t>18</w:t>
            </w:r>
            <w:r>
              <w:rPr>
                <w:rFonts w:ascii="仿宋_GB2312" w:hAnsi="仿宋_GB2312" w:cs="仿宋_GB2312" w:eastAsia="仿宋_GB2312"/>
                <w:sz w:val="20"/>
                <w:color w:val="000000"/>
              </w:rPr>
              <w:t>.变频器</w:t>
            </w:r>
            <w:r>
              <w:rPr>
                <w:rFonts w:ascii="仿宋_GB2312" w:hAnsi="仿宋_GB2312" w:cs="仿宋_GB2312" w:eastAsia="仿宋_GB2312"/>
                <w:sz w:val="20"/>
                <w:color w:val="000000"/>
              </w:rPr>
              <w:t>1</w:t>
            </w:r>
            <w:r>
              <w:rPr>
                <w:rFonts w:ascii="仿宋_GB2312" w:hAnsi="仿宋_GB2312" w:cs="仿宋_GB2312" w:eastAsia="仿宋_GB2312"/>
                <w:sz w:val="20"/>
                <w:color w:val="000000"/>
              </w:rPr>
              <w:t>台：额定输出功率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10KW，输入电压AC380-415V，输入频率48—63Hz，输出频率0-300Hz。</w:t>
            </w:r>
          </w:p>
          <w:p>
            <w:pPr>
              <w:pStyle w:val="null3"/>
              <w:ind w:firstLine="400"/>
            </w:pPr>
            <w:r>
              <w:rPr>
                <w:rFonts w:ascii="仿宋_GB2312" w:hAnsi="仿宋_GB2312" w:cs="仿宋_GB2312" w:eastAsia="仿宋_GB2312"/>
                <w:sz w:val="20"/>
                <w:color w:val="000000"/>
              </w:rPr>
              <w:t>19</w:t>
            </w:r>
            <w:r>
              <w:rPr>
                <w:rFonts w:ascii="仿宋_GB2312" w:hAnsi="仿宋_GB2312" w:cs="仿宋_GB2312" w:eastAsia="仿宋_GB2312"/>
                <w:sz w:val="20"/>
                <w:color w:val="000000"/>
              </w:rPr>
              <w:t>.增量编码器2套：分辨率</w:t>
            </w:r>
            <w:r>
              <w:rPr>
                <w:rFonts w:ascii="仿宋_GB2312" w:hAnsi="仿宋_GB2312" w:cs="仿宋_GB2312" w:eastAsia="仿宋_GB2312"/>
                <w:sz w:val="20"/>
                <w:color w:val="000000"/>
              </w:rPr>
              <w:t>≥</w:t>
            </w:r>
            <w:r>
              <w:rPr>
                <w:rFonts w:ascii="仿宋_GB2312" w:hAnsi="仿宋_GB2312" w:cs="仿宋_GB2312" w:eastAsia="仿宋_GB2312"/>
                <w:sz w:val="20"/>
                <w:color w:val="000000"/>
              </w:rPr>
              <w:t>2000，输出为A+A-B+B-Z+Z-相，最大转速6000r/min。</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20</w:t>
            </w:r>
            <w:r>
              <w:rPr>
                <w:rFonts w:ascii="仿宋_GB2312" w:hAnsi="仿宋_GB2312" w:cs="仿宋_GB2312" w:eastAsia="仿宋_GB2312"/>
                <w:sz w:val="20"/>
                <w:color w:val="000000"/>
              </w:rPr>
              <w:t>.</w:t>
            </w:r>
            <w:r>
              <w:rPr>
                <w:rFonts w:ascii="仿宋_GB2312" w:hAnsi="仿宋_GB2312" w:cs="仿宋_GB2312" w:eastAsia="仿宋_GB2312"/>
                <w:sz w:val="20"/>
                <w:color w:val="000000"/>
              </w:rPr>
              <w:t>ModbusTCP</w:t>
            </w:r>
            <w:r>
              <w:rPr>
                <w:rFonts w:ascii="仿宋_GB2312" w:hAnsi="仿宋_GB2312" w:cs="仿宋_GB2312" w:eastAsia="仿宋_GB2312"/>
                <w:sz w:val="20"/>
                <w:color w:val="000000"/>
              </w:rPr>
              <w:t>网关：集成服务器网关，</w:t>
            </w:r>
            <w:r>
              <w:rPr>
                <w:rFonts w:ascii="仿宋_GB2312" w:hAnsi="仿宋_GB2312" w:cs="仿宋_GB2312" w:eastAsia="仿宋_GB2312"/>
                <w:sz w:val="20"/>
                <w:color w:val="000000"/>
              </w:rPr>
              <w:t>RS485</w:t>
            </w:r>
            <w:r>
              <w:rPr>
                <w:rFonts w:ascii="仿宋_GB2312" w:hAnsi="仿宋_GB2312" w:cs="仿宋_GB2312" w:eastAsia="仿宋_GB2312"/>
                <w:sz w:val="20"/>
                <w:color w:val="000000"/>
              </w:rPr>
              <w:t>转</w:t>
            </w:r>
            <w:r>
              <w:rPr>
                <w:rFonts w:ascii="仿宋_GB2312" w:hAnsi="仿宋_GB2312" w:cs="仿宋_GB2312" w:eastAsia="仿宋_GB2312"/>
                <w:sz w:val="20"/>
                <w:color w:val="000000"/>
              </w:rPr>
              <w:t>TCP</w:t>
            </w:r>
            <w:r>
              <w:rPr>
                <w:rFonts w:ascii="仿宋_GB2312" w:hAnsi="仿宋_GB2312" w:cs="仿宋_GB2312" w:eastAsia="仿宋_GB2312"/>
                <w:sz w:val="20"/>
                <w:color w:val="000000"/>
              </w:rPr>
              <w:t>，网关关口</w:t>
            </w:r>
            <w:r>
              <w:rPr>
                <w:rFonts w:ascii="仿宋_GB2312" w:hAnsi="仿宋_GB2312" w:cs="仿宋_GB2312" w:eastAsia="仿宋_GB2312"/>
                <w:sz w:val="20"/>
                <w:color w:val="000000"/>
              </w:rPr>
              <w:t>10M/100M</w:t>
            </w:r>
            <w:r>
              <w:rPr>
                <w:rFonts w:ascii="仿宋_GB2312" w:hAnsi="仿宋_GB2312" w:cs="仿宋_GB2312" w:eastAsia="仿宋_GB2312"/>
                <w:sz w:val="20"/>
                <w:color w:val="000000"/>
              </w:rPr>
              <w:t>自适应，寄存器映射功能，可在线配置映射寄存器，支持并发访问，可支持不少于</w:t>
            </w:r>
            <w:r>
              <w:rPr>
                <w:rFonts w:ascii="仿宋_GB2312" w:hAnsi="仿宋_GB2312" w:cs="仿宋_GB2312" w:eastAsia="仿宋_GB2312"/>
                <w:sz w:val="20"/>
                <w:color w:val="000000"/>
              </w:rPr>
              <w:t>16</w:t>
            </w:r>
            <w:r>
              <w:rPr>
                <w:rFonts w:ascii="仿宋_GB2312" w:hAnsi="仿宋_GB2312" w:cs="仿宋_GB2312" w:eastAsia="仿宋_GB2312"/>
                <w:sz w:val="20"/>
                <w:color w:val="000000"/>
              </w:rPr>
              <w:t>个终端同时访问。</w:t>
            </w:r>
          </w:p>
          <w:p>
            <w:pPr>
              <w:pStyle w:val="null3"/>
              <w:ind w:firstLine="400"/>
            </w:pPr>
            <w:r>
              <w:rPr>
                <w:rFonts w:ascii="仿宋_GB2312" w:hAnsi="仿宋_GB2312" w:cs="仿宋_GB2312" w:eastAsia="仿宋_GB2312"/>
                <w:sz w:val="20"/>
                <w:color w:val="000000"/>
              </w:rPr>
              <w:t>21</w:t>
            </w:r>
            <w:r>
              <w:rPr>
                <w:rFonts w:ascii="仿宋_GB2312" w:hAnsi="仿宋_GB2312" w:cs="仿宋_GB2312" w:eastAsia="仿宋_GB2312"/>
                <w:sz w:val="20"/>
                <w:color w:val="000000"/>
              </w:rPr>
              <w:t>.PLC：数字量输入≥14点，数字量输出≥10点，模拟量输入≥2点，模拟量输出≥2点；</w:t>
            </w:r>
            <w:r>
              <w:rPr>
                <w:rFonts w:ascii="仿宋_GB2312" w:hAnsi="仿宋_GB2312" w:cs="仿宋_GB2312" w:eastAsia="仿宋_GB2312"/>
                <w:sz w:val="20"/>
                <w:color w:val="000000"/>
              </w:rPr>
              <w:t>PLC</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Profinet</w:t>
            </w:r>
            <w:r>
              <w:rPr>
                <w:rFonts w:ascii="仿宋_GB2312" w:hAnsi="仿宋_GB2312" w:cs="仿宋_GB2312" w:eastAsia="仿宋_GB2312"/>
                <w:sz w:val="20"/>
                <w:color w:val="000000"/>
              </w:rPr>
              <w:t>、</w:t>
            </w:r>
            <w:r>
              <w:rPr>
                <w:rFonts w:ascii="仿宋_GB2312" w:hAnsi="仿宋_GB2312" w:cs="仿宋_GB2312" w:eastAsia="仿宋_GB2312"/>
                <w:sz w:val="20"/>
                <w:color w:val="000000"/>
              </w:rPr>
              <w:t>Profibus-DP</w:t>
            </w:r>
            <w:r>
              <w:rPr>
                <w:rFonts w:ascii="仿宋_GB2312" w:hAnsi="仿宋_GB2312" w:cs="仿宋_GB2312" w:eastAsia="仿宋_GB2312"/>
                <w:sz w:val="20"/>
                <w:color w:val="000000"/>
              </w:rPr>
              <w:t>、</w:t>
            </w:r>
            <w:r>
              <w:rPr>
                <w:rFonts w:ascii="仿宋_GB2312" w:hAnsi="仿宋_GB2312" w:cs="仿宋_GB2312" w:eastAsia="仿宋_GB2312"/>
                <w:sz w:val="20"/>
                <w:color w:val="000000"/>
              </w:rPr>
              <w:t>Modbus</w:t>
            </w:r>
            <w:r>
              <w:rPr>
                <w:rFonts w:ascii="仿宋_GB2312" w:hAnsi="仿宋_GB2312" w:cs="仿宋_GB2312" w:eastAsia="仿宋_GB2312"/>
                <w:sz w:val="20"/>
                <w:color w:val="000000"/>
              </w:rPr>
              <w:t>或</w:t>
            </w:r>
            <w:r>
              <w:rPr>
                <w:rFonts w:ascii="仿宋_GB2312" w:hAnsi="仿宋_GB2312" w:cs="仿宋_GB2312" w:eastAsia="仿宋_GB2312"/>
                <w:sz w:val="20"/>
                <w:color w:val="000000"/>
              </w:rPr>
              <w:t>CANopen</w:t>
            </w:r>
            <w:r>
              <w:rPr>
                <w:rFonts w:ascii="仿宋_GB2312" w:hAnsi="仿宋_GB2312" w:cs="仿宋_GB2312" w:eastAsia="仿宋_GB2312"/>
                <w:sz w:val="20"/>
                <w:color w:val="000000"/>
              </w:rPr>
              <w:t>等通讯协议，具备数字量与模拟量</w:t>
            </w:r>
            <w:r>
              <w:rPr>
                <w:rFonts w:ascii="仿宋_GB2312" w:hAnsi="仿宋_GB2312" w:cs="仿宋_GB2312" w:eastAsia="仿宋_GB2312"/>
                <w:sz w:val="20"/>
                <w:color w:val="000000"/>
              </w:rPr>
              <w:t>I/O</w:t>
            </w:r>
            <w:r>
              <w:rPr>
                <w:rFonts w:ascii="仿宋_GB2312" w:hAnsi="仿宋_GB2312" w:cs="仿宋_GB2312" w:eastAsia="仿宋_GB2312"/>
                <w:sz w:val="20"/>
                <w:color w:val="000000"/>
              </w:rPr>
              <w:t>扩展能力。</w:t>
            </w:r>
          </w:p>
          <w:p>
            <w:pPr>
              <w:pStyle w:val="null3"/>
              <w:ind w:firstLine="400"/>
            </w:pPr>
            <w:r>
              <w:rPr>
                <w:rFonts w:ascii="仿宋_GB2312" w:hAnsi="仿宋_GB2312" w:cs="仿宋_GB2312" w:eastAsia="仿宋_GB2312"/>
                <w:sz w:val="20"/>
                <w:color w:val="000000"/>
              </w:rPr>
              <w:t>22.</w:t>
            </w:r>
            <w:r>
              <w:rPr>
                <w:rFonts w:ascii="仿宋_GB2312" w:hAnsi="仿宋_GB2312" w:cs="仿宋_GB2312" w:eastAsia="仿宋_GB2312"/>
                <w:sz w:val="20"/>
                <w:color w:val="000000"/>
              </w:rPr>
              <w:t>四线电阻式触摸屏：串行接口：至少包括</w:t>
            </w:r>
            <w:r>
              <w:rPr>
                <w:rFonts w:ascii="仿宋_GB2312" w:hAnsi="仿宋_GB2312" w:cs="仿宋_GB2312" w:eastAsia="仿宋_GB2312"/>
                <w:sz w:val="20"/>
                <w:color w:val="000000"/>
              </w:rPr>
              <w:t>RS232/RS485；以太网口：10/100M自适应；触摸屏尺寸≥7寸；电磁兼容：工业三极；供电电压：24±20%VDC；待机功耗≤</w:t>
            </w:r>
            <w:r>
              <w:rPr>
                <w:rFonts w:ascii="仿宋_GB2312" w:hAnsi="仿宋_GB2312" w:cs="仿宋_GB2312" w:eastAsia="仿宋_GB2312"/>
                <w:sz w:val="20"/>
                <w:color w:val="000000"/>
              </w:rPr>
              <w:t>5W</w:t>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0～45℃。</w:t>
            </w:r>
          </w:p>
          <w:p>
            <w:pPr>
              <w:pStyle w:val="null3"/>
              <w:ind w:firstLine="400"/>
            </w:pPr>
            <w:r>
              <w:rPr>
                <w:rFonts w:ascii="仿宋_GB2312" w:hAnsi="仿宋_GB2312" w:cs="仿宋_GB2312" w:eastAsia="仿宋_GB2312"/>
                <w:sz w:val="20"/>
                <w:color w:val="000000"/>
              </w:rPr>
              <w:t>23</w:t>
            </w:r>
            <w:r>
              <w:rPr>
                <w:rFonts w:ascii="仿宋_GB2312" w:hAnsi="仿宋_GB2312" w:cs="仿宋_GB2312" w:eastAsia="仿宋_GB2312"/>
                <w:sz w:val="20"/>
                <w:color w:val="000000"/>
              </w:rPr>
              <w:t>.安全保护：带电源指示，急停控制及漏电保护，安全符合国家标准。</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4</w:t>
            </w:r>
            <w:r>
              <w:rPr>
                <w:rFonts w:ascii="仿宋_GB2312" w:hAnsi="仿宋_GB2312" w:cs="仿宋_GB2312" w:eastAsia="仿宋_GB2312"/>
                <w:sz w:val="20"/>
                <w:color w:val="000000"/>
              </w:rPr>
              <w:t>.屏柜设计要求：前门采用推拉式设计，后门采用双开门设计，两边侧门可拆卸设计，底座前后活动式设计，方便进出线与柜体搬运；柜体尺寸≤</w:t>
            </w:r>
            <w:r>
              <w:rPr>
                <w:rFonts w:ascii="仿宋_GB2312" w:hAnsi="仿宋_GB2312" w:cs="仿宋_GB2312" w:eastAsia="仿宋_GB2312"/>
                <w:sz w:val="20"/>
                <w:color w:val="000000"/>
              </w:rPr>
              <w:t>800×800×2000(mm)</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 xml:space="preserve">  25.</w:t>
            </w:r>
            <w:r>
              <w:rPr>
                <w:rFonts w:ascii="仿宋_GB2312" w:hAnsi="仿宋_GB2312" w:cs="仿宋_GB2312" w:eastAsia="仿宋_GB2312"/>
                <w:sz w:val="20"/>
                <w:color w:val="000000"/>
              </w:rPr>
              <w:t>实验过程的数据具备自动记录功能，并能够根据要求绘制相应的数据变化曲线，对各种操作记录具有自动记录功能。提供底层控制源代码用于二次开发实验内容。至少能完成以下实验内容：永磁同步风力发电系统接线实验、永磁同步风力发电机并网过程实验、永磁同步风力发电机自由并网实验、永磁同步风力发电机输出电性能测试实验、触摸屏组态通讯与编程实验、上位机</w:t>
            </w:r>
            <w:r>
              <w:rPr>
                <w:rFonts w:ascii="仿宋_GB2312" w:hAnsi="仿宋_GB2312" w:cs="仿宋_GB2312" w:eastAsia="仿宋_GB2312"/>
                <w:sz w:val="20"/>
                <w:color w:val="000000"/>
              </w:rPr>
              <w:t>SCADA</w:t>
            </w:r>
            <w:r>
              <w:rPr>
                <w:rFonts w:ascii="仿宋_GB2312" w:hAnsi="仿宋_GB2312" w:cs="仿宋_GB2312" w:eastAsia="仿宋_GB2312"/>
                <w:sz w:val="20"/>
                <w:color w:val="000000"/>
              </w:rPr>
              <w:t>通讯及监测编程实验。</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color w:val="000000"/>
              </w:rPr>
              <w:t>六、</w:t>
            </w:r>
            <w:r>
              <w:rPr>
                <w:rFonts w:ascii="仿宋_GB2312" w:hAnsi="仿宋_GB2312" w:cs="仿宋_GB2312" w:eastAsia="仿宋_GB2312"/>
                <w:sz w:val="20"/>
                <w:color w:val="000000"/>
              </w:rPr>
              <w:t>永磁风力发电监测控制系统</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6</w:t>
            </w:r>
            <w:r>
              <w:rPr>
                <w:rFonts w:ascii="仿宋_GB2312" w:hAnsi="仿宋_GB2312" w:cs="仿宋_GB2312" w:eastAsia="仿宋_GB2312"/>
                <w:sz w:val="20"/>
                <w:color w:val="000000"/>
              </w:rPr>
              <w:t>.永磁监控主机及操作台：内置永磁</w:t>
            </w:r>
            <w:r>
              <w:rPr>
                <w:rFonts w:ascii="仿宋_GB2312" w:hAnsi="仿宋_GB2312" w:cs="仿宋_GB2312" w:eastAsia="仿宋_GB2312"/>
                <w:sz w:val="20"/>
                <w:color w:val="000000"/>
              </w:rPr>
              <w:t>SCADA</w:t>
            </w:r>
            <w:r>
              <w:rPr>
                <w:rFonts w:ascii="仿宋_GB2312" w:hAnsi="仿宋_GB2312" w:cs="仿宋_GB2312" w:eastAsia="仿宋_GB2312"/>
                <w:sz w:val="20"/>
                <w:color w:val="000000"/>
              </w:rPr>
              <w:t>电力监控软件，软件具有用户权限管理功能；支持远程数据传输；具有历史数据储存、数据库查询、数据上传功能；实时监测系统数据、状态数据；实时曲线与历史曲线动态显示；设置和修改系统参数功能；具备快速遥信、遥测、遥控、遥调功能。配置主控操作台，操作台尺寸</w:t>
            </w:r>
            <w:r>
              <w:rPr>
                <w:rFonts w:ascii="仿宋_GB2312" w:hAnsi="仿宋_GB2312" w:cs="仿宋_GB2312" w:eastAsia="仿宋_GB2312"/>
                <w:sz w:val="20"/>
                <w:color w:val="000000"/>
              </w:rPr>
              <w:t>≤800</w:t>
            </w:r>
            <w:r>
              <w:rPr>
                <w:rFonts w:ascii="仿宋_GB2312" w:hAnsi="仿宋_GB2312" w:cs="仿宋_GB2312" w:eastAsia="仿宋_GB2312"/>
                <w:sz w:val="20"/>
                <w:color w:val="000000"/>
              </w:rPr>
              <w:t>×</w:t>
            </w:r>
            <w:r>
              <w:rPr>
                <w:rFonts w:ascii="仿宋_GB2312" w:hAnsi="仿宋_GB2312" w:cs="仿宋_GB2312" w:eastAsia="仿宋_GB2312"/>
                <w:sz w:val="20"/>
                <w:color w:val="000000"/>
              </w:rPr>
              <w:t>800</w:t>
            </w:r>
            <w:r>
              <w:rPr>
                <w:rFonts w:ascii="仿宋_GB2312" w:hAnsi="仿宋_GB2312" w:cs="仿宋_GB2312" w:eastAsia="仿宋_GB2312"/>
                <w:sz w:val="20"/>
                <w:color w:val="000000"/>
              </w:rPr>
              <w:t>×</w:t>
            </w:r>
            <w:r>
              <w:rPr>
                <w:rFonts w:ascii="仿宋_GB2312" w:hAnsi="仿宋_GB2312" w:cs="仿宋_GB2312" w:eastAsia="仿宋_GB2312"/>
                <w:sz w:val="20"/>
                <w:color w:val="000000"/>
              </w:rPr>
              <w:t>800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27</w:t>
            </w:r>
            <w:r>
              <w:rPr>
                <w:rFonts w:ascii="仿宋_GB2312" w:hAnsi="仿宋_GB2312" w:cs="仿宋_GB2312" w:eastAsia="仿宋_GB2312"/>
                <w:sz w:val="20"/>
                <w:color w:val="000000"/>
              </w:rPr>
              <w:t>.永磁风力发电大数据分析系统：</w:t>
            </w:r>
          </w:p>
          <w:p>
            <w:pPr>
              <w:pStyle w:val="null3"/>
              <w:ind w:firstLine="400"/>
            </w:pPr>
            <w:r>
              <w:rPr>
                <w:rFonts w:ascii="仿宋_GB2312" w:hAnsi="仿宋_GB2312" w:cs="仿宋_GB2312" w:eastAsia="仿宋_GB2312"/>
                <w:sz w:val="20"/>
                <w:color w:val="000000"/>
              </w:rPr>
              <w:t>内置预测模型，可预测未来一定时间内包括负载用电情况、天气作用下风力发电系统功率随时间变化情况等多种数据。</w:t>
            </w:r>
          </w:p>
          <w:p>
            <w:pPr>
              <w:pStyle w:val="null3"/>
              <w:ind w:firstLine="400"/>
            </w:pPr>
            <w:r>
              <w:rPr>
                <w:rFonts w:ascii="仿宋_GB2312" w:hAnsi="仿宋_GB2312" w:cs="仿宋_GB2312" w:eastAsia="仿宋_GB2312"/>
                <w:sz w:val="20"/>
                <w:color w:val="000000"/>
              </w:rPr>
              <w:t>基于历史数据库和设备传感器情况，结合大数据预测结果，为用户提供设备可行性建议，包括历史与预测运营图表报告、清洁能源供应占比饼状图报告、能源利用流式报告图（动态更新）及文本化的设备增减和维护时间分配建议。</w:t>
            </w:r>
          </w:p>
          <w:p>
            <w:pPr>
              <w:pStyle w:val="null3"/>
              <w:ind w:firstLine="402"/>
            </w:pPr>
            <w:r>
              <w:rPr>
                <w:rFonts w:ascii="仿宋_GB2312" w:hAnsi="仿宋_GB2312" w:cs="仿宋_GB2312" w:eastAsia="仿宋_GB2312"/>
                <w:sz w:val="20"/>
                <w:b/>
                <w:color w:val="000000"/>
              </w:rPr>
              <w:t>投标现场视频演示项</w:t>
            </w:r>
            <w:r>
              <w:rPr>
                <w:rFonts w:ascii="仿宋_GB2312" w:hAnsi="仿宋_GB2312" w:cs="仿宋_GB2312" w:eastAsia="仿宋_GB2312"/>
                <w:sz w:val="20"/>
                <w:b/>
                <w:color w:val="000000"/>
              </w:rPr>
              <w:t>3</w:t>
            </w:r>
            <w:r>
              <w:rPr>
                <w:rFonts w:ascii="仿宋_GB2312" w:hAnsi="仿宋_GB2312" w:cs="仿宋_GB2312" w:eastAsia="仿宋_GB2312"/>
                <w:sz w:val="20"/>
                <w:b/>
                <w:color w:val="000000"/>
              </w:rPr>
              <w:t>：投标时需提供详细功能演示。</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8.AI</w:t>
            </w:r>
            <w:r>
              <w:rPr>
                <w:rFonts w:ascii="仿宋_GB2312" w:hAnsi="仿宋_GB2312" w:cs="仿宋_GB2312" w:eastAsia="仿宋_GB2312"/>
                <w:sz w:val="20"/>
                <w:color w:val="000000"/>
              </w:rPr>
              <w:t>智能交互控制系统：</w:t>
            </w:r>
          </w:p>
          <w:p>
            <w:pPr>
              <w:pStyle w:val="null3"/>
              <w:ind w:firstLine="400"/>
            </w:pPr>
            <w:r>
              <w:rPr>
                <w:rFonts w:ascii="仿宋_GB2312" w:hAnsi="仿宋_GB2312" w:cs="仿宋_GB2312" w:eastAsia="仿宋_GB2312"/>
                <w:sz w:val="20"/>
                <w:color w:val="000000"/>
              </w:rPr>
              <w:t>具有语音识别和指令执行模块，能够实时或分时侦听和处理管理员的语音命令，并具有数据链路层上的设备保护功能。支持</w:t>
            </w:r>
            <w:r>
              <w:rPr>
                <w:rFonts w:ascii="仿宋_GB2312" w:hAnsi="仿宋_GB2312" w:cs="仿宋_GB2312" w:eastAsia="仿宋_GB2312"/>
                <w:sz w:val="20"/>
                <w:color w:val="000000"/>
              </w:rPr>
              <w:t>AI</w:t>
            </w:r>
            <w:r>
              <w:rPr>
                <w:rFonts w:ascii="仿宋_GB2312" w:hAnsi="仿宋_GB2312" w:cs="仿宋_GB2312" w:eastAsia="仿宋_GB2312"/>
                <w:sz w:val="20"/>
                <w:color w:val="000000"/>
              </w:rPr>
              <w:t>训练，提供底层源代码用于二次开发。基于自训练模型和开源软件，融入专业方向识别优化，采用唤醒词命令也能保持接近文本对话的响应率。</w:t>
            </w:r>
          </w:p>
          <w:p>
            <w:pPr>
              <w:pStyle w:val="null3"/>
            </w:pP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投标现场视频演示项</w:t>
            </w:r>
            <w:r>
              <w:rPr>
                <w:rFonts w:ascii="仿宋_GB2312" w:hAnsi="仿宋_GB2312" w:cs="仿宋_GB2312" w:eastAsia="仿宋_GB2312"/>
                <w:sz w:val="20"/>
                <w:b/>
                <w:color w:val="000000"/>
              </w:rPr>
              <w:t>4</w:t>
            </w:r>
            <w:r>
              <w:rPr>
                <w:rFonts w:ascii="仿宋_GB2312" w:hAnsi="仿宋_GB2312" w:cs="仿宋_GB2312" w:eastAsia="仿宋_GB2312"/>
                <w:sz w:val="20"/>
                <w:b/>
                <w:color w:val="000000"/>
              </w:rPr>
              <w:t>：投标时需提供详细功能演示。</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安装示意图</w:t>
            </w:r>
            <w:r>
              <w:drawing>
                <wp:inline distT="0" distR="0" distB="0" distL="0">
                  <wp:extent cx="1621155" cy="805837"/>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805837"/>
                          </a:xfrm>
                          <a:prstGeom prst="rect">
                            <a:avLst/>
                          </a:prstGeom>
                        </pic:spPr>
                      </pic:pic>
                    </a:graphicData>
                  </a:graphic>
                </wp:inline>
              </w:drawing>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西安理工大学金花校区学科1号楼107室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进度款，合同签订后5个工作日内，甲方向乙方支付合同总价的40%，达到付款条件起5个工作日内，支付合同总金额的40.0%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进度款，设备运抵甲方指定地点并经甲方初步查验无误后7个工作日内，甲方向乙方预付合同总价的30%，达到付款条件起7个工作日内，支付合同总金额的30.0%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甲方验收合格并签署《验收合格报告》后，乙方开具全额合法有效的增值税专用发票，甲方7个工作日内向乙方支付合同总价的30%，达到付款条件起7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50231-2009《机械设备安装工程施工及验收通用规范》、GB/T 20319-2023 《风力发电机组验收规范》、GB 50150-2016 《电气装置安装工程 电气设备交接试验标准》、GB 50171-2012 《电气装置安装工程 盘、柜及二次回路接线施工及验收规范》、GB 50254-2014 《电气装置安装工程 低压电器施工及验收规范》、GB/T 19963-2021 《风电场接入电力系统技术规定》 调试记录完整。 ③性能测试验收（关键指标实测） 连续运行48小时无故障； 关键参数与投标文件承诺值对比（允许±3%偏差）。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1、需执行的国家相关标准、行业标准、地方标准或者其他标准、规范。 （1）双馈发电机组及永磁发电机组的检测依据须符合GB/T 23479.1-2018《风力发电机组 双馈异步发电机 第1部分：技术条件》、GB/T 25389.1-2018《风力发电机组 永磁同步发电机 第1部分：技术条件》、GB/T 19071.1-2018《风力发电机组 异步发电机 第1部分：技术条件》、NB/T 31046-2021《双馈风力发电机组变流器技术规范》、NB/T 31047-2021《永磁风力发电机组变流器技术规范》标准要求。 （2）变频调速电动机及变频器的检测依据须符合GB/T 12668.4-2023《调速电气传动系统 第4部分：一般要求 交流电压1000 V以上但不超过35 kV的交流调速电气传动系统额定值的规定》、GB/T 22670-2023《变频器供电三相笼型感应电动机试验方法》标准要求。 （3）编码器的检测依据须符合GB/T 20961-2019《增量式光电编码器》、JB/T 10080-2017《光电编码器》标准要求。 （4）双向变流控制单元的检测依据须符合GB/T 34133-2017《储能变流器检测技术规程》标准要求。 （5）并网逆变器的检测依据须符合GB/T 19963-2021《风电场接入电力系统技术规定》、GB/T 36995-2018《风力发电机组 并网运行控制性能测试方法》标准要求。 （6）GB/T 38633-2020《信息技术 大数据 系统通用规范》、GB/T 35274-2017《信息安全技术 大数据服务安全能力要求》标准要求。 （7）虚拟仿真平台的检测依据须符合GB/T 41864-2022《信息技术 计算机图形与图像处理 虚拟现实内容表达》、GB/T 42077-2022《虚拟实验系统功能要求》。 （8）电气安全与电磁兼容性检测依据须符合GB 28526-2012《机械电气安全 安全相关电气、电子和可编程电子控制系统的功能安全》标准要求。 2、采购标的的专用工具、备品备件、安装调试及配套工程、质量保证、售后服务等要求. （1）专用工具及备件 专用工具：提供专用维修工具包； 备品备件：免费提供相关的易损件。 （2）安装调试要求 安装标准：供货方需负责各设备和系统的连接（包括连接材料）、安装和调试，并提供相应的软硬件资料，以便于根据实验需求调整相应功能；执行GB 50231-2009《机械设备安装工程施工及验收通用规范》； 调试周期：连续72小时无故障运行测试； 人员培训：提供相关操作人员培训资料。 （3）配套工程 基础施工：包含安装设备所需叉车及各种工具（需提前2日做好准备）。 （4）质量保证 延长质保：核心部件质保期延长至6年； 质量追溯：提供质量检验报告； 货物要求：以采购人的要求为准，为采购人提供全新的货物（包括零部件）。 （5）售后服务 响应时限：城区2小时/郊区4小时现场响应； 定期维护：每季度提供预防性维护服务。 3、产品保修期（三包期）内，修理、更换、退货要求。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（4）质保服务：保修期内由中标人免费质保，采购人报修后三日内供应商必须响应，否则将依据有关法律、法规进行追偿；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投标文件。同时，中标人在领取中标通知书时需提交纸质版投标文件正本壹份、副本叁份。质版文件内容应与电子版文件内容保持一致。纸质版投标文件的正本和副本应采用粘贴方式左侧装订，不得采用活页夹的可随时拆换的方式装订，不得有零散页。应按档案要求必须编制目录，无少页、缺页的现象，并连续页码。 2、因系统录入问题，本项目付款支付约定说明如下，以本说明为准：分期付款。合同签订后5个工作日内，甲方向乙方支付合同总价的40%，设备运抵甲方指定地点并经甲方初步查验无误后7个工作日内，甲方向乙方预付合同总价的30%；设备安装调试完成，经甲方验收合格并签署《验收合格报告》后，乙方开具全额合法有效的增值税专用发票，甲方7个工作日内向乙方支付合同总价的30%。 3、《国务院办公厅关于在政府采购中实施本国产品标准及相关政策的通知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本项目不允许进口产品进行投标，全部为国产产品，所以不进行价格折扣。 4、本项目落实的政府采购政策： （1）《政府采购促进中小企业发展管理办法》（财库〔2020〕46号）；（2）《财政部 司法部关于政府采购支持监狱企业发展有关问题的通知》（财库〔2014〕68号）；（3）《国务院办公厅关于建立政府强制采购节能产品制度的通知》（国发办〔2007〕51号）；（4）《关于印发节能产品政府采购品目清单的通知》（财库〔2019〕19号）；（5）《关于印发环境标志产品政府采购品目清单的通知》（财库〔2019〕18号）；（6）《三部门联合发布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财政部 农业农村部 国家乡村振兴局关于运用政府采购政策支持乡村产业振兴的通知》（财库〔2021〕19 号）；（10）《财政部 农业农村部 国家乡村振兴局 中华全国供销合作总社关于印发&lt;关于深入开展政府采购脱贫地区农副产品工作推进乡村产业振兴的实施意见&gt;的通知》（财库〔2021〕20 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国务院办公厅关于在政府采购中实施本国产品标准及相关政策的通知》（国办发〔2025〕34号）；（15）《关于推动解决政府采购异常低价问题的通知》（财库〔2026〕2号）（16）其他需要落实的政府采购政策，详见采购文件。如有最新颁布的政府采购政策，按最新的文件执行。 5、以保函形式交纳投标保证金的，供应商应在投标截止时间前将保函扫描成清晰的PDF文件，发送至邮箱373791152@qq.com（邮件命名：项目编号+采购包号+项目名称），并将保函原件单独递交至代理机构财务；供应商应在投标文件中附保函复印件或扫描件。保函必须由具有开具投标保函资格的单位开具；若供应商违约，开具保函单位承担连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投标人认为有必要说明的问题.pdf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投标人资格条件证明文件.pdf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tc>
        <w:tc>
          <w:tcPr>
            <w:tcW w:type="dxa" w:w="1661"/>
          </w:tcPr>
          <w:p>
            <w:pPr>
              <w:pStyle w:val="null3"/>
            </w:pPr>
            <w:r>
              <w:rPr>
                <w:rFonts w:ascii="仿宋_GB2312" w:hAnsi="仿宋_GB2312" w:cs="仿宋_GB2312" w:eastAsia="仿宋_GB2312"/>
              </w:rPr>
              <w:t>投标人资格条件证明文件.pdf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提供投标文件截止时间前一年内任意一个月的证明（时间以税款所属日期为准），凭据应有税务机关或代收机关的公章或业务专用章。依法免税或无须缴纳税收的供应商，应提供相应证明文件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投标人资格条件证明文件.pdf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投标人资格条件证明文件.pdf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关于符合本国产品标准的声明函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 没有弄虚作假、恶意串通或妨碍其他供应商的竞争行为， 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投标人资格条件证明文件.pdf 开标一览表 标的清单 商务应答表.docx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2.供应商的投标报价高于采购预算（最高限价）的， 响应文件按无效处理。</w:t>
            </w:r>
          </w:p>
        </w:tc>
        <w:tc>
          <w:tcPr>
            <w:tcW w:type="dxa" w:w="1661"/>
          </w:tcPr>
          <w:p>
            <w:pPr>
              <w:pStyle w:val="null3"/>
            </w:pPr>
            <w:r>
              <w:rPr>
                <w:rFonts w:ascii="仿宋_GB2312" w:hAnsi="仿宋_GB2312" w:cs="仿宋_GB2312" w:eastAsia="仿宋_GB2312"/>
              </w:rPr>
              <w:t>开标一览表 标的清单 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 (合格），任意一条不满足（不合格）</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重要技术参数</w:t>
            </w:r>
          </w:p>
        </w:tc>
        <w:tc>
          <w:tcPr>
            <w:tcW w:type="dxa" w:w="2492"/>
          </w:tcPr>
          <w:p>
            <w:pPr>
              <w:pStyle w:val="null3"/>
            </w:pPr>
            <w:r>
              <w:rPr>
                <w:rFonts w:ascii="仿宋_GB2312" w:hAnsi="仿宋_GB2312" w:cs="仿宋_GB2312" w:eastAsia="仿宋_GB2312"/>
              </w:rPr>
              <w:t>所投产品技术参数清楚、明确，并能逐条响应招标文件第四章“技术参数表”得34分。其中“▲”项参数要求，负偏离每项扣3分,扣完为止。其中一般参数要求，负偏离每项扣1分,扣完为止。 备注：提供▲项技术指标、参数的相应的证明材料（包括但不限于检测报告、实物照片、厂家技术规格书、产品彩页等），经评审专家审定得分。不提供或缺漏项不得分。</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技术指标偏差表.pdf</w:t>
            </w:r>
          </w:p>
          <w:p>
            <w:pPr>
              <w:pStyle w:val="null3"/>
            </w:pPr>
            <w:r>
              <w:rPr>
                <w:rFonts w:ascii="仿宋_GB2312" w:hAnsi="仿宋_GB2312" w:cs="仿宋_GB2312" w:eastAsia="仿宋_GB2312"/>
              </w:rPr>
              <w:t>技术参数..docx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标注“投标现场视频演示项”(4项)参数要求，能清晰展示相应功能。供应商每完整演示3.3技术参数与性能指标中描述的“投标现场视频演示项”要求的所有功能，该演示项得1.5分，不能完整演示该项要求的所有功能或未进行演示的不得分。最多得6分。 产品演示要求： 1.各供应商需自行准备、调试演示设备，若因供应商设备、网络等原因造成功能演示失败的，后果由供应商自行承担。 2.各供应商的功能演示总时间不超过15分钟，超过规定时间，评审委员会可终止演示。 3.演示过程中，供应商只针对要求演示的内容进行陈述，如出现与演示内容不相关的陈述，评审委员会可提前终止演示或按照相关法律法规处理。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投标人认为有必要说明的问题.pdf</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一、评审内容 根据项目需求提供设计方案。内容包含①设计图及各组成部件细节介绍②功能、结构设计方案：包含实用性及安全性。 二、评审标准 1、完整性：方案须全面，对评审内容中的各项要求有详细描述； 2、针对性和可实施性：切合本项目实际情况，方案清晰、合理； 三、赋分依据（满分6分） ①设计图及各组成部件细节介绍：每完全满足一个评审标准得1.5分，满分3分； ②功能、结构设计方案：每完全满足一个评审标准得1.5分，满分3分。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设计方案.pdf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根据项目实际需求，提供完整详细的项目实施方案。内容包含①供货、运输、安装、验收方案②安装调试期间安全保护方案、人员配备（附人员证书及社保证明）。 二、评审标准 1、完整性：方案须全面，对评审内容中的各项要求有详细描述； 2、可实施性：切合本项目实际情况，实施步骤清晰、合理； 三、赋分依据（满分4分） ①供货、运输、安装、验收方案：每完全满足一个评审标准得1分，满分2分； ②安装调试期间安全保护方案、人员配备（附人员证书及社保证明）:每完全满足一个评审标准得1分，满分2分。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根据项目实际需求提供售后服务方案。内容包含①售后服务内容及保障措施②培训计划。 二、评审标准 1、完整性：方案须全面，对评审内容中的各项要求描述详细； 2、可实施性：切合本项目实际情况，实施步骤清晰、合理； 三、赋分依据（满分4分） ①售后服务内容及保障措施：每完全满足一个评审标准得1分，满分2分； ②培训计划：每完全满足一个评审标准得1分，满分2分。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提供2023年7月1日以来类似项目业绩（以合同签订日期为准），每份合格业绩合同计1.5分，满分3分。 备注：需提供业绩完整合同及对应货款发票复印件（任意一张），并加盖供应商公章，以上两种证明材料同时提供方可得分，否则不得分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承诺：质保期高于招标文件要求（5年）的，每增加一年得1.5分（产品验收合格后开始计算），最高得3分。无承诺不得分。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价格分统一采用低价优先法计算，即满足招标文件要求且投标价格最低的投标报价为评标基准价，其价格分为满分。其他供应商的价格分统一按照下列公式计算：投标报价得分=(评标基准价／投标报价)×价格权值 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详见附件：技术指标偏差表.pdf</w:t>
      </w:r>
    </w:p>
    <w:p>
      <w:pPr>
        <w:pStyle w:val="null3"/>
        <w:ind w:firstLine="960"/>
      </w:pPr>
      <w:r>
        <w:rPr>
          <w:rFonts w:ascii="仿宋_GB2312" w:hAnsi="仿宋_GB2312" w:cs="仿宋_GB2312" w:eastAsia="仿宋_GB2312"/>
        </w:rPr>
        <w:t>详见附件：设计方案.pdf</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详见附件：质保期.docx</w:t>
      </w:r>
    </w:p>
    <w:p>
      <w:pPr>
        <w:pStyle w:val="null3"/>
        <w:ind w:firstLine="960"/>
      </w:pPr>
      <w:r>
        <w:rPr>
          <w:rFonts w:ascii="仿宋_GB2312" w:hAnsi="仿宋_GB2312" w:cs="仿宋_GB2312" w:eastAsia="仿宋_GB2312"/>
        </w:rPr>
        <w:t>详见附件：投标人资格条件证明文件.pdf</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详见附件：履约保证金承诺函.docx</w:t>
      </w:r>
    </w:p>
    <w:p>
      <w:pPr>
        <w:pStyle w:val="null3"/>
        <w:ind w:firstLine="960"/>
      </w:pPr>
      <w:r>
        <w:rPr>
          <w:rFonts w:ascii="仿宋_GB2312" w:hAnsi="仿宋_GB2312" w:cs="仿宋_GB2312" w:eastAsia="仿宋_GB2312"/>
        </w:rPr>
        <w:t>详见附件：投标人认为有必要说明的问题.pdf</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详见附件：西安理工大学重大设备更新项目设备采购合同.docx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