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media/image2.svg" ContentType="image/svg+xml"/>
  <Override PartName="/word/media/image4.svg" ContentType="image/svg+xml"/>
  <Override PartName="/word/media/image6.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B184659">
      <w:pPr>
        <w:ind w:firstLine="281" w:firstLineChars="100"/>
        <w:jc w:val="left"/>
        <w:rPr>
          <w:rFonts w:ascii="宋体" w:hAnsi="宋体" w:cs="宋体"/>
          <w:b/>
          <w:bCs/>
          <w:color w:val="auto"/>
          <w:sz w:val="24"/>
          <w:szCs w:val="24"/>
          <w:highlight w:val="none"/>
        </w:rPr>
      </w:pPr>
      <w:bookmarkStart w:id="42" w:name="_GoBack"/>
      <w:bookmarkEnd w:id="42"/>
      <w:r>
        <w:rPr>
          <w:rFonts w:hint="eastAsia" w:ascii="宋体" w:hAnsi="宋体" w:cs="宋体"/>
          <w:b/>
          <w:bCs/>
          <w:color w:val="auto"/>
          <w:sz w:val="28"/>
          <w:szCs w:val="28"/>
          <w:highlight w:val="none"/>
          <w:lang w:val="zh-CN"/>
        </w:rPr>
        <w:t>项目编号：SXZY-AK2026028</w:t>
      </w:r>
    </w:p>
    <w:p w14:paraId="63038260">
      <w:pPr>
        <w:rPr>
          <w:rFonts w:ascii="宋体" w:hAnsi="宋体" w:cs="宋体"/>
          <w:b/>
          <w:bCs/>
          <w:color w:val="auto"/>
          <w:sz w:val="24"/>
          <w:szCs w:val="24"/>
          <w:highlight w:val="none"/>
        </w:rPr>
      </w:pPr>
    </w:p>
    <w:p w14:paraId="3E9DFDF6">
      <w:pPr>
        <w:pStyle w:val="34"/>
        <w:ind w:firstLine="0" w:firstLineChars="0"/>
        <w:rPr>
          <w:color w:val="auto"/>
          <w:highlight w:val="none"/>
        </w:rPr>
      </w:pPr>
    </w:p>
    <w:p w14:paraId="30DBD0B8">
      <w:pPr>
        <w:pStyle w:val="34"/>
        <w:ind w:firstLine="0" w:firstLineChars="0"/>
        <w:rPr>
          <w:color w:val="auto"/>
          <w:highlight w:val="none"/>
        </w:rPr>
      </w:pPr>
    </w:p>
    <w:p w14:paraId="372AE85E">
      <w:pPr>
        <w:pStyle w:val="34"/>
        <w:rPr>
          <w:color w:val="auto"/>
          <w:highlight w:val="none"/>
        </w:rPr>
      </w:pPr>
    </w:p>
    <w:p w14:paraId="30959B77">
      <w:pPr>
        <w:jc w:val="center"/>
        <w:rPr>
          <w:rFonts w:hint="eastAsia" w:ascii="宋体" w:hAnsi="宋体" w:eastAsia="宋体" w:cs="宋体"/>
          <w:b/>
          <w:color w:val="auto"/>
          <w:sz w:val="48"/>
          <w:szCs w:val="48"/>
          <w:highlight w:val="none"/>
          <w:lang w:eastAsia="zh-CN"/>
        </w:rPr>
      </w:pPr>
      <w:r>
        <w:rPr>
          <w:rFonts w:hint="eastAsia" w:ascii="宋体" w:hAnsi="宋体" w:cs="宋体"/>
          <w:b/>
          <w:color w:val="auto"/>
          <w:sz w:val="48"/>
          <w:szCs w:val="48"/>
          <w:highlight w:val="none"/>
          <w:lang w:eastAsia="zh-CN"/>
        </w:rPr>
        <w:t>2026年度安康中心城区公园广场及公共绿地时令花卉采购项目（二期）</w:t>
      </w:r>
    </w:p>
    <w:p w14:paraId="5D06B7A0">
      <w:pPr>
        <w:jc w:val="center"/>
        <w:rPr>
          <w:rFonts w:ascii="宋体" w:hAnsi="宋体" w:cs="宋体"/>
          <w:b/>
          <w:color w:val="auto"/>
          <w:sz w:val="48"/>
          <w:szCs w:val="48"/>
          <w:highlight w:val="none"/>
        </w:rPr>
      </w:pPr>
    </w:p>
    <w:p w14:paraId="77223F0A">
      <w:pPr>
        <w:jc w:val="both"/>
        <w:rPr>
          <w:rFonts w:ascii="宋体" w:hAnsi="宋体" w:cs="宋体"/>
          <w:b/>
          <w:color w:val="auto"/>
          <w:sz w:val="48"/>
          <w:szCs w:val="48"/>
          <w:highlight w:val="none"/>
        </w:rPr>
      </w:pPr>
    </w:p>
    <w:p w14:paraId="2346E48F">
      <w:pPr>
        <w:jc w:val="center"/>
        <w:rPr>
          <w:rFonts w:ascii="宋体" w:hAnsi="宋体" w:cs="宋体"/>
          <w:b/>
          <w:color w:val="auto"/>
          <w:sz w:val="52"/>
          <w:szCs w:val="52"/>
          <w:highlight w:val="none"/>
        </w:rPr>
      </w:pPr>
      <w:r>
        <w:rPr>
          <w:color w:val="auto"/>
          <w:highlight w:val="none"/>
        </w:rPr>
        <w:drawing>
          <wp:inline distT="0" distB="0" distL="114300" distR="114300">
            <wp:extent cx="2288540" cy="2288540"/>
            <wp:effectExtent l="0" t="0" r="1651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2288540" cy="2288540"/>
                    </a:xfrm>
                    <a:prstGeom prst="rect">
                      <a:avLst/>
                    </a:prstGeom>
                    <a:noFill/>
                    <a:ln>
                      <a:noFill/>
                    </a:ln>
                  </pic:spPr>
                </pic:pic>
              </a:graphicData>
            </a:graphic>
          </wp:inline>
        </w:drawing>
      </w:r>
    </w:p>
    <w:p w14:paraId="35742DF2">
      <w:pPr>
        <w:jc w:val="center"/>
        <w:rPr>
          <w:rFonts w:ascii="宋体" w:hAnsi="宋体" w:cs="宋体"/>
          <w:b/>
          <w:bCs/>
          <w:color w:val="auto"/>
          <w:sz w:val="32"/>
          <w:szCs w:val="32"/>
          <w:highlight w:val="none"/>
        </w:rPr>
      </w:pPr>
      <w:r>
        <w:rPr>
          <w:rFonts w:hint="eastAsia" w:ascii="宋体" w:hAnsi="宋体" w:cs="宋体"/>
          <w:b/>
          <w:color w:val="auto"/>
          <w:sz w:val="52"/>
          <w:szCs w:val="52"/>
          <w:highlight w:val="none"/>
        </w:rPr>
        <w:t>招 标 文 件</w:t>
      </w:r>
    </w:p>
    <w:p w14:paraId="5C0CA7AB">
      <w:pPr>
        <w:spacing w:line="600" w:lineRule="exact"/>
        <w:ind w:firstLine="964" w:firstLineChars="300"/>
        <w:rPr>
          <w:rFonts w:ascii="宋体" w:hAnsi="宋体" w:cs="宋体"/>
          <w:b/>
          <w:bCs/>
          <w:color w:val="auto"/>
          <w:sz w:val="32"/>
          <w:szCs w:val="32"/>
          <w:highlight w:val="none"/>
        </w:rPr>
      </w:pPr>
    </w:p>
    <w:p w14:paraId="50F1A969">
      <w:pPr>
        <w:spacing w:line="600" w:lineRule="exact"/>
        <w:ind w:firstLine="964" w:firstLineChars="300"/>
        <w:rPr>
          <w:rFonts w:hint="eastAsia" w:ascii="宋体" w:hAnsi="宋体" w:cs="宋体"/>
          <w:b/>
          <w:bCs/>
          <w:color w:val="auto"/>
          <w:sz w:val="32"/>
          <w:szCs w:val="32"/>
          <w:highlight w:val="none"/>
        </w:rPr>
      </w:pPr>
    </w:p>
    <w:p w14:paraId="76F42D1A">
      <w:pPr>
        <w:spacing w:line="600" w:lineRule="exact"/>
        <w:ind w:firstLine="964" w:firstLineChars="300"/>
        <w:rPr>
          <w:rFonts w:ascii="宋体" w:hAnsi="宋体" w:cs="宋体"/>
          <w:b/>
          <w:bCs/>
          <w:color w:val="auto"/>
          <w:sz w:val="32"/>
          <w:szCs w:val="32"/>
          <w:highlight w:val="none"/>
        </w:rPr>
      </w:pPr>
      <w:r>
        <w:rPr>
          <w:rFonts w:hint="eastAsia" w:ascii="宋体" w:hAnsi="宋体" w:cs="宋体"/>
          <w:b/>
          <w:bCs/>
          <w:color w:val="auto"/>
          <w:sz w:val="32"/>
          <w:szCs w:val="32"/>
          <w:highlight w:val="none"/>
        </w:rPr>
        <w:t>采购单位：安康市市政园林处</w:t>
      </w:r>
    </w:p>
    <w:p w14:paraId="2A859E45">
      <w:pPr>
        <w:pStyle w:val="36"/>
        <w:ind w:firstLine="180"/>
        <w:rPr>
          <w:color w:val="auto"/>
          <w:highlight w:val="none"/>
        </w:rPr>
      </w:pPr>
    </w:p>
    <w:p w14:paraId="04F300A2">
      <w:pPr>
        <w:spacing w:line="600" w:lineRule="exact"/>
        <w:ind w:firstLine="964" w:firstLineChars="3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代理机构：</w:t>
      </w:r>
      <w:r>
        <w:rPr>
          <w:rFonts w:hint="eastAsia" w:ascii="宋体" w:hAnsi="宋体" w:cs="宋体"/>
          <w:b/>
          <w:bCs/>
          <w:color w:val="auto"/>
          <w:sz w:val="32"/>
          <w:szCs w:val="32"/>
          <w:highlight w:val="none"/>
          <w:lang w:eastAsia="zh-CN"/>
        </w:rPr>
        <w:t>陕西中源项目管理有限公司</w:t>
      </w:r>
    </w:p>
    <w:p w14:paraId="3E918E86">
      <w:pPr>
        <w:pStyle w:val="25"/>
        <w:ind w:firstLine="0" w:firstLineChars="0"/>
        <w:rPr>
          <w:rFonts w:ascii="宋体" w:hAnsi="宋体" w:cs="宋体"/>
          <w:color w:val="auto"/>
          <w:sz w:val="24"/>
          <w:szCs w:val="24"/>
          <w:highlight w:val="none"/>
        </w:rPr>
      </w:pPr>
    </w:p>
    <w:p w14:paraId="433011D9">
      <w:pPr>
        <w:spacing w:line="600" w:lineRule="exact"/>
        <w:jc w:val="center"/>
        <w:rPr>
          <w:rFonts w:hint="eastAsia" w:ascii="宋体" w:hAnsi="宋体" w:eastAsia="宋体" w:cs="宋体"/>
          <w:b/>
          <w:bCs/>
          <w:color w:val="auto"/>
          <w:sz w:val="32"/>
          <w:szCs w:val="32"/>
          <w:highlight w:val="none"/>
          <w:lang w:eastAsia="zh-CN"/>
        </w:rPr>
        <w:sectPr>
          <w:headerReference r:id="rId4" w:type="first"/>
          <w:footerReference r:id="rId6" w:type="first"/>
          <w:headerReference r:id="rId3" w:type="even"/>
          <w:footerReference r:id="rId5" w:type="even"/>
          <w:pgSz w:w="11906" w:h="16838"/>
          <w:pgMar w:top="1440" w:right="1293" w:bottom="1440" w:left="1293" w:header="851" w:footer="992" w:gutter="0"/>
          <w:cols w:space="720" w:num="1"/>
          <w:titlePg/>
          <w:docGrid w:type="lines" w:linePitch="312" w:charSpace="0"/>
        </w:sectPr>
      </w:pPr>
      <w:r>
        <w:rPr>
          <w:rFonts w:hint="eastAsia" w:ascii="宋体" w:hAnsi="宋体" w:cs="宋体"/>
          <w:b/>
          <w:bCs/>
          <w:color w:val="auto"/>
          <w:sz w:val="32"/>
          <w:szCs w:val="32"/>
          <w:highlight w:val="none"/>
          <w:lang w:eastAsia="zh-CN"/>
        </w:rPr>
        <w:t>二〇二</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lang w:eastAsia="zh-CN"/>
        </w:rPr>
        <w:t>年</w:t>
      </w:r>
      <w:r>
        <w:rPr>
          <w:rFonts w:hint="eastAsia" w:ascii="宋体" w:hAnsi="宋体" w:cs="宋体"/>
          <w:b/>
          <w:bCs/>
          <w:color w:val="auto"/>
          <w:sz w:val="32"/>
          <w:szCs w:val="32"/>
          <w:highlight w:val="none"/>
          <w:lang w:val="en-US" w:eastAsia="zh-CN"/>
        </w:rPr>
        <w:t>五</w:t>
      </w:r>
      <w:r>
        <w:rPr>
          <w:rFonts w:hint="eastAsia" w:ascii="宋体" w:hAnsi="宋体" w:cs="宋体"/>
          <w:b/>
          <w:bCs/>
          <w:color w:val="auto"/>
          <w:sz w:val="32"/>
          <w:szCs w:val="32"/>
          <w:highlight w:val="none"/>
          <w:lang w:eastAsia="zh-CN"/>
        </w:rPr>
        <w:t>月</w:t>
      </w:r>
    </w:p>
    <w:p w14:paraId="52CD2040">
      <w:pPr>
        <w:rPr>
          <w:rFonts w:ascii="宋体" w:hAnsi="宋体" w:cs="宋体"/>
          <w:b/>
          <w:bCs/>
          <w:color w:val="auto"/>
          <w:sz w:val="32"/>
          <w:szCs w:val="32"/>
          <w:highlight w:val="none"/>
        </w:rPr>
        <w:sectPr>
          <w:headerReference r:id="rId8" w:type="first"/>
          <w:footerReference r:id="rId10" w:type="first"/>
          <w:headerReference r:id="rId7" w:type="default"/>
          <w:footerReference r:id="rId9" w:type="default"/>
          <w:pgSz w:w="11906" w:h="16838"/>
          <w:pgMar w:top="1440" w:right="1293" w:bottom="1440" w:left="1293" w:header="851" w:footer="992" w:gutter="0"/>
          <w:pgNumType w:start="1"/>
          <w:cols w:space="720" w:num="1"/>
          <w:titlePg/>
          <w:docGrid w:type="lines" w:linePitch="312" w:charSpace="0"/>
        </w:sectPr>
      </w:pPr>
    </w:p>
    <w:p w14:paraId="2D1F909C">
      <w:pPr>
        <w:rPr>
          <w:rFonts w:ascii="宋体" w:hAnsi="宋体" w:cs="宋体"/>
          <w:b/>
          <w:bCs/>
          <w:color w:val="auto"/>
          <w:sz w:val="32"/>
          <w:szCs w:val="32"/>
          <w:highlight w:val="none"/>
        </w:rPr>
      </w:pPr>
    </w:p>
    <w:p w14:paraId="6CACA8F2">
      <w:pPr>
        <w:ind w:firstLine="3213" w:firstLineChars="800"/>
        <w:rPr>
          <w:rFonts w:ascii="宋体" w:hAnsi="宋体" w:cs="宋体"/>
          <w:b/>
          <w:bCs/>
          <w:color w:val="auto"/>
          <w:sz w:val="40"/>
          <w:szCs w:val="40"/>
          <w:highlight w:val="none"/>
        </w:rPr>
      </w:pPr>
    </w:p>
    <w:p w14:paraId="687C9CFC">
      <w:pPr>
        <w:ind w:firstLine="3213" w:firstLineChars="800"/>
        <w:rPr>
          <w:rFonts w:ascii="宋体" w:hAnsi="宋体" w:cs="宋体"/>
          <w:b/>
          <w:bCs/>
          <w:color w:val="auto"/>
          <w:sz w:val="40"/>
          <w:szCs w:val="40"/>
          <w:highlight w:val="none"/>
        </w:rPr>
      </w:pPr>
      <w:r>
        <w:rPr>
          <w:rFonts w:hint="eastAsia" w:ascii="宋体" w:hAnsi="宋体" w:cs="宋体"/>
          <w:b/>
          <w:bCs/>
          <w:color w:val="auto"/>
          <w:sz w:val="40"/>
          <w:szCs w:val="40"/>
          <w:highlight w:val="none"/>
        </w:rPr>
        <w:t>目录</w:t>
      </w:r>
    </w:p>
    <w:p w14:paraId="122CAE12">
      <w:pPr>
        <w:tabs>
          <w:tab w:val="left" w:pos="5880"/>
        </w:tabs>
        <w:rPr>
          <w:rFonts w:ascii="宋体" w:hAnsi="宋体" w:cs="宋体"/>
          <w:b/>
          <w:bCs/>
          <w:color w:val="auto"/>
          <w:sz w:val="32"/>
          <w:szCs w:val="32"/>
          <w:highlight w:val="none"/>
        </w:rPr>
      </w:pPr>
    </w:p>
    <w:p w14:paraId="5EE73281">
      <w:pPr>
        <w:adjustRightInd w:val="0"/>
        <w:snapToGrid w:val="0"/>
        <w:spacing w:line="360" w:lineRule="auto"/>
        <w:ind w:firstLine="1606"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第一部分</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招标公告</w:t>
      </w:r>
    </w:p>
    <w:p w14:paraId="7CACC81A">
      <w:pPr>
        <w:adjustRightInd w:val="0"/>
        <w:snapToGrid w:val="0"/>
        <w:spacing w:line="360" w:lineRule="auto"/>
        <w:ind w:left="420" w:leftChars="200" w:firstLine="1606" w:firstLineChars="500"/>
        <w:jc w:val="center"/>
        <w:rPr>
          <w:rFonts w:ascii="宋体" w:hAnsi="宋体" w:cs="宋体"/>
          <w:b/>
          <w:color w:val="auto"/>
          <w:sz w:val="32"/>
          <w:szCs w:val="32"/>
          <w:highlight w:val="none"/>
        </w:rPr>
      </w:pPr>
    </w:p>
    <w:p w14:paraId="49335E77">
      <w:pPr>
        <w:adjustRightInd w:val="0"/>
        <w:snapToGrid w:val="0"/>
        <w:spacing w:line="360" w:lineRule="auto"/>
        <w:ind w:firstLine="1606"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第二部分</w:t>
      </w:r>
      <w:r>
        <w:rPr>
          <w:rFonts w:hint="eastAsia" w:ascii="宋体" w:hAnsi="宋体" w:cs="宋体"/>
          <w:b/>
          <w:color w:val="auto"/>
          <w:sz w:val="32"/>
          <w:szCs w:val="32"/>
          <w:highlight w:val="none"/>
          <w:lang w:val="en-US" w:eastAsia="zh-CN"/>
        </w:rPr>
        <w:t>、</w:t>
      </w:r>
      <w:r>
        <w:rPr>
          <w:rFonts w:hint="eastAsia" w:ascii="宋体" w:hAnsi="宋体" w:cs="宋体"/>
          <w:b/>
          <w:color w:val="auto"/>
          <w:sz w:val="32"/>
          <w:szCs w:val="32"/>
          <w:highlight w:val="none"/>
        </w:rPr>
        <w:t>投标须知</w:t>
      </w:r>
    </w:p>
    <w:p w14:paraId="0B1BDC44">
      <w:pPr>
        <w:adjustRightInd w:val="0"/>
        <w:snapToGrid w:val="0"/>
        <w:spacing w:line="360" w:lineRule="auto"/>
        <w:ind w:firstLine="1606" w:firstLineChars="500"/>
        <w:rPr>
          <w:rFonts w:ascii="宋体" w:hAnsi="宋体" w:cs="宋体"/>
          <w:b/>
          <w:color w:val="auto"/>
          <w:sz w:val="32"/>
          <w:szCs w:val="32"/>
          <w:highlight w:val="none"/>
        </w:rPr>
      </w:pPr>
    </w:p>
    <w:p w14:paraId="639F3500">
      <w:pPr>
        <w:adjustRightInd w:val="0"/>
        <w:snapToGrid w:val="0"/>
        <w:spacing w:line="360" w:lineRule="auto"/>
        <w:ind w:firstLine="1606"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第三部分</w:t>
      </w:r>
      <w:r>
        <w:rPr>
          <w:rFonts w:hint="eastAsia" w:ascii="宋体" w:hAnsi="宋体" w:cs="宋体"/>
          <w:b/>
          <w:color w:val="auto"/>
          <w:sz w:val="32"/>
          <w:szCs w:val="32"/>
          <w:highlight w:val="none"/>
          <w:lang w:val="en-US" w:eastAsia="zh-CN"/>
        </w:rPr>
        <w:t>、</w:t>
      </w:r>
      <w:r>
        <w:rPr>
          <w:rFonts w:hint="eastAsia" w:ascii="宋体" w:hAnsi="宋体" w:cs="宋体"/>
          <w:b/>
          <w:color w:val="auto"/>
          <w:sz w:val="32"/>
          <w:szCs w:val="32"/>
          <w:highlight w:val="none"/>
        </w:rPr>
        <w:t>采购内容及技术参数要求</w:t>
      </w:r>
    </w:p>
    <w:p w14:paraId="3003F527">
      <w:pPr>
        <w:adjustRightInd w:val="0"/>
        <w:snapToGrid w:val="0"/>
        <w:spacing w:line="360" w:lineRule="auto"/>
        <w:ind w:left="2829" w:firstLine="1606" w:firstLineChars="500"/>
        <w:jc w:val="center"/>
        <w:rPr>
          <w:rFonts w:ascii="宋体" w:hAnsi="宋体" w:cs="宋体"/>
          <w:b/>
          <w:color w:val="auto"/>
          <w:sz w:val="32"/>
          <w:szCs w:val="32"/>
          <w:highlight w:val="none"/>
        </w:rPr>
      </w:pPr>
    </w:p>
    <w:p w14:paraId="6F162795">
      <w:pPr>
        <w:adjustRightInd w:val="0"/>
        <w:snapToGrid w:val="0"/>
        <w:spacing w:line="360" w:lineRule="auto"/>
        <w:ind w:firstLine="1606"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第四部分</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合同主要条款</w:t>
      </w:r>
    </w:p>
    <w:p w14:paraId="13D21A64">
      <w:pPr>
        <w:adjustRightInd w:val="0"/>
        <w:snapToGrid w:val="0"/>
        <w:spacing w:line="360" w:lineRule="auto"/>
        <w:ind w:left="2829" w:firstLine="1606" w:firstLineChars="500"/>
        <w:jc w:val="center"/>
        <w:rPr>
          <w:rFonts w:ascii="宋体" w:hAnsi="宋体" w:cs="宋体"/>
          <w:b/>
          <w:color w:val="auto"/>
          <w:sz w:val="32"/>
          <w:szCs w:val="32"/>
          <w:highlight w:val="none"/>
        </w:rPr>
      </w:pPr>
    </w:p>
    <w:p w14:paraId="0E6BEBEF">
      <w:pPr>
        <w:adjustRightInd w:val="0"/>
        <w:snapToGrid w:val="0"/>
        <w:spacing w:line="360" w:lineRule="auto"/>
        <w:ind w:firstLine="1606"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第五部分</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投标文件格式</w:t>
      </w:r>
    </w:p>
    <w:p w14:paraId="175E0166">
      <w:pPr>
        <w:tabs>
          <w:tab w:val="left" w:pos="5880"/>
        </w:tabs>
        <w:spacing w:line="800" w:lineRule="exact"/>
        <w:ind w:firstLine="1157" w:firstLineChars="320"/>
        <w:rPr>
          <w:rFonts w:ascii="宋体" w:hAnsi="宋体" w:cs="宋体"/>
          <w:b/>
          <w:bCs/>
          <w:color w:val="auto"/>
          <w:sz w:val="36"/>
          <w:szCs w:val="36"/>
          <w:highlight w:val="none"/>
        </w:rPr>
      </w:pPr>
    </w:p>
    <w:p w14:paraId="12283576">
      <w:pPr>
        <w:tabs>
          <w:tab w:val="left" w:pos="5880"/>
        </w:tabs>
        <w:adjustRightInd w:val="0"/>
        <w:snapToGrid w:val="0"/>
        <w:spacing w:line="360" w:lineRule="auto"/>
        <w:rPr>
          <w:rFonts w:ascii="宋体" w:hAnsi="宋体" w:cs="宋体"/>
          <w:b/>
          <w:bCs/>
          <w:color w:val="auto"/>
          <w:sz w:val="24"/>
          <w:szCs w:val="24"/>
          <w:highlight w:val="none"/>
        </w:rPr>
      </w:pPr>
    </w:p>
    <w:p w14:paraId="32F8FCDB">
      <w:pPr>
        <w:tabs>
          <w:tab w:val="left" w:pos="5880"/>
        </w:tabs>
        <w:adjustRightInd w:val="0"/>
        <w:snapToGrid w:val="0"/>
        <w:spacing w:line="360" w:lineRule="auto"/>
        <w:rPr>
          <w:rFonts w:ascii="宋体" w:hAnsi="宋体" w:cs="宋体"/>
          <w:b/>
          <w:bCs/>
          <w:color w:val="auto"/>
          <w:sz w:val="24"/>
          <w:szCs w:val="24"/>
          <w:highlight w:val="none"/>
        </w:rPr>
      </w:pPr>
    </w:p>
    <w:p w14:paraId="6AF38168">
      <w:pPr>
        <w:pStyle w:val="25"/>
        <w:ind w:firstLine="241"/>
        <w:rPr>
          <w:rFonts w:ascii="宋体" w:hAnsi="宋体" w:cs="宋体"/>
          <w:b/>
          <w:bCs/>
          <w:color w:val="auto"/>
          <w:sz w:val="24"/>
          <w:szCs w:val="24"/>
          <w:highlight w:val="none"/>
        </w:rPr>
      </w:pPr>
    </w:p>
    <w:p w14:paraId="5FD7D55D">
      <w:pPr>
        <w:pStyle w:val="25"/>
        <w:ind w:firstLine="0" w:firstLineChars="0"/>
        <w:rPr>
          <w:rFonts w:ascii="宋体" w:hAnsi="宋体" w:cs="宋体"/>
          <w:b/>
          <w:bCs/>
          <w:color w:val="auto"/>
          <w:sz w:val="24"/>
          <w:szCs w:val="24"/>
          <w:highlight w:val="none"/>
        </w:rPr>
      </w:pPr>
    </w:p>
    <w:p w14:paraId="7C8BEDFE">
      <w:pPr>
        <w:rPr>
          <w:rFonts w:ascii="宋体" w:hAnsi="宋体" w:cs="宋体"/>
          <w:b/>
          <w:bCs/>
          <w:color w:val="auto"/>
          <w:sz w:val="24"/>
          <w:szCs w:val="24"/>
          <w:highlight w:val="none"/>
        </w:rPr>
      </w:pPr>
    </w:p>
    <w:p w14:paraId="371A5AEA">
      <w:pPr>
        <w:tabs>
          <w:tab w:val="left" w:pos="5880"/>
        </w:tabs>
        <w:adjustRightInd w:val="0"/>
        <w:snapToGrid w:val="0"/>
        <w:spacing w:line="360" w:lineRule="auto"/>
        <w:jc w:val="center"/>
        <w:rPr>
          <w:rFonts w:ascii="宋体" w:hAnsi="宋体" w:cs="宋体"/>
          <w:b/>
          <w:bCs/>
          <w:color w:val="auto"/>
          <w:sz w:val="24"/>
          <w:szCs w:val="24"/>
          <w:highlight w:val="none"/>
        </w:rPr>
      </w:pPr>
    </w:p>
    <w:p w14:paraId="4AAB7D9B">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F2729F7">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5A67C25E">
      <w:pPr>
        <w:spacing w:line="360" w:lineRule="auto"/>
        <w:rPr>
          <w:color w:val="auto"/>
          <w:highlight w:val="none"/>
        </w:rPr>
      </w:pPr>
      <w:r>
        <w:rPr>
          <w:rFonts w:hint="eastAsia"/>
          <w:color w:val="auto"/>
          <w:highlight w:val="none"/>
        </w:rPr>
        <w:t>安康市公共资源交易平台全流程电子化、政府采购项目内容</w:t>
      </w:r>
    </w:p>
    <w:p w14:paraId="0F5BCA9E">
      <w:pPr>
        <w:spacing w:line="360" w:lineRule="auto"/>
        <w:ind w:firstLine="420" w:firstLineChars="200"/>
        <w:rPr>
          <w:color w:val="auto"/>
          <w:highlight w:val="none"/>
        </w:rPr>
      </w:pPr>
      <w:r>
        <w:rPr>
          <w:rFonts w:hint="eastAsia"/>
          <w:color w:val="auto"/>
          <w:highlight w:val="none"/>
        </w:rPr>
        <w:t>一、关于需要特别提醒供应商的内容</w:t>
      </w:r>
    </w:p>
    <w:p w14:paraId="25ABF4BB">
      <w:pPr>
        <w:spacing w:line="360" w:lineRule="auto"/>
        <w:ind w:firstLine="420" w:firstLineChars="200"/>
        <w:rPr>
          <w:color w:val="auto"/>
          <w:highlight w:val="none"/>
        </w:rPr>
      </w:pPr>
      <w:r>
        <w:rPr>
          <w:rFonts w:hint="eastAsia"/>
          <w:color w:val="auto"/>
          <w:highlight w:val="none"/>
        </w:rPr>
        <w:t>1、本项目采用电子化投标及远程不见面开标方式（无需提供纸质版文件，无需到开标现场）。开标时请务必携带数字认证证书，如因供应商自身原因未携带数字认证证书造成无法解密投标文件，按无效投标对待。</w:t>
      </w:r>
    </w:p>
    <w:p w14:paraId="7C476E48">
      <w:pPr>
        <w:spacing w:line="360" w:lineRule="auto"/>
        <w:ind w:firstLine="420" w:firstLineChars="200"/>
        <w:rPr>
          <w:color w:val="auto"/>
          <w:highlight w:val="none"/>
        </w:rPr>
      </w:pPr>
      <w:r>
        <w:rPr>
          <w:rFonts w:hint="eastAsia"/>
          <w:color w:val="auto"/>
          <w:highlight w:val="none"/>
        </w:rPr>
        <w:t>2、电子开标、评标无法进行时，按照《安康市公共资源交易平台电子化交易应急处置管理办法(试行)》规定执行。</w:t>
      </w:r>
    </w:p>
    <w:p w14:paraId="6D95051D">
      <w:pPr>
        <w:spacing w:line="360" w:lineRule="auto"/>
        <w:ind w:firstLine="420" w:firstLineChars="200"/>
        <w:rPr>
          <w:color w:val="auto"/>
          <w:highlight w:val="none"/>
        </w:rPr>
      </w:pPr>
      <w:r>
        <w:rPr>
          <w:rFonts w:hint="eastAsia"/>
          <w:color w:val="auto"/>
          <w:highlight w:val="none"/>
        </w:rPr>
        <w:t>3、制作电子投标文件</w:t>
      </w:r>
    </w:p>
    <w:p w14:paraId="10EE393B">
      <w:pPr>
        <w:spacing w:line="360" w:lineRule="auto"/>
        <w:ind w:firstLine="420" w:firstLineChars="200"/>
        <w:rPr>
          <w:color w:val="auto"/>
          <w:highlight w:val="none"/>
        </w:rPr>
      </w:pPr>
      <w:r>
        <w:rPr>
          <w:rFonts w:hint="eastAsia"/>
          <w:color w:val="auto"/>
          <w:highlight w:val="none"/>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25C14430">
      <w:pPr>
        <w:spacing w:line="360" w:lineRule="auto"/>
        <w:ind w:firstLine="420" w:firstLineChars="200"/>
        <w:rPr>
          <w:color w:val="auto"/>
          <w:highlight w:val="none"/>
        </w:rPr>
      </w:pPr>
      <w:r>
        <w:rPr>
          <w:rFonts w:hint="eastAsia"/>
          <w:color w:val="auto"/>
          <w:highlight w:val="none"/>
        </w:rPr>
        <w:t>4、递交电子投标文件</w:t>
      </w:r>
    </w:p>
    <w:p w14:paraId="213EF2C2">
      <w:pPr>
        <w:spacing w:line="360" w:lineRule="auto"/>
        <w:ind w:firstLine="420" w:firstLineChars="200"/>
        <w:rPr>
          <w:color w:val="auto"/>
          <w:highlight w:val="none"/>
        </w:rPr>
      </w:pPr>
      <w:r>
        <w:rPr>
          <w:rFonts w:hint="eastAsia"/>
          <w:color w:val="auto"/>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ABBE31F">
      <w:pPr>
        <w:spacing w:line="360" w:lineRule="auto"/>
        <w:ind w:firstLine="420" w:firstLineChars="200"/>
        <w:rPr>
          <w:color w:val="auto"/>
          <w:highlight w:val="none"/>
        </w:rPr>
      </w:pPr>
      <w:r>
        <w:rPr>
          <w:rFonts w:hint="eastAsia"/>
          <w:color w:val="auto"/>
          <w:highlight w:val="none"/>
        </w:rPr>
        <w:t>二、关于投标</w:t>
      </w:r>
    </w:p>
    <w:p w14:paraId="5439A55A">
      <w:pPr>
        <w:spacing w:line="360" w:lineRule="auto"/>
        <w:ind w:firstLine="420" w:firstLineChars="200"/>
        <w:rPr>
          <w:rFonts w:hint="eastAsia"/>
          <w:color w:val="auto"/>
          <w:highlight w:val="none"/>
        </w:rPr>
      </w:pPr>
      <w:r>
        <w:rPr>
          <w:rFonts w:hint="eastAsia"/>
          <w:color w:val="auto"/>
          <w:highlight w:val="none"/>
        </w:rPr>
        <w:t>1.投标须知：使用捆绑省交易平台的CA锁登录电子交易平台，通过政府采购系统企业端进入，点击我要投标，完善相关投标信息。</w:t>
      </w:r>
    </w:p>
    <w:p w14:paraId="1B7CB3DE">
      <w:pPr>
        <w:spacing w:line="360" w:lineRule="auto"/>
        <w:ind w:firstLine="420" w:firstLineChars="200"/>
        <w:rPr>
          <w:rFonts w:hint="eastAsia"/>
          <w:color w:val="auto"/>
          <w:highlight w:val="none"/>
        </w:rPr>
      </w:pPr>
      <w:r>
        <w:rPr>
          <w:rFonts w:hint="eastAsia"/>
          <w:color w:val="auto"/>
          <w:highlight w:val="none"/>
        </w:rPr>
        <w:t>2.投标确认：供应商须在文件获取时间内下载扩展名为（*.SXSZF）的电子招标文件，未在招标文件获取时间内下载招标文件将导致投标被拒绝。</w:t>
      </w:r>
    </w:p>
    <w:p w14:paraId="49569ACD">
      <w:pPr>
        <w:spacing w:line="360" w:lineRule="auto"/>
        <w:ind w:firstLine="420" w:firstLineChars="200"/>
        <w:rPr>
          <w:rFonts w:hint="eastAsia"/>
          <w:color w:val="auto"/>
          <w:highlight w:val="none"/>
        </w:rPr>
      </w:pPr>
      <w:r>
        <w:rPr>
          <w:rFonts w:hint="eastAsia"/>
          <w:color w:val="auto"/>
          <w:highlight w:val="none"/>
        </w:rPr>
        <w:t>3.未完成网上投标成功的或未在网站上下载招标文件的，无法完成后续流程。</w:t>
      </w:r>
    </w:p>
    <w:p w14:paraId="71E952D9">
      <w:pPr>
        <w:spacing w:line="360" w:lineRule="auto"/>
        <w:ind w:firstLine="420" w:firstLineChars="200"/>
        <w:rPr>
          <w:rFonts w:hint="eastAsia"/>
          <w:color w:val="auto"/>
          <w:highlight w:val="none"/>
        </w:rPr>
      </w:pPr>
      <w:r>
        <w:rPr>
          <w:rFonts w:hint="eastAsia"/>
          <w:color w:val="auto"/>
          <w:highlight w:val="none"/>
        </w:rPr>
        <w:t>4.本项目采用电子化不见面投标的方式，相关操作流程详见全国公共资源交易平台（陕西省）网站[服务指南-下载专区]中的《陕西省公共资源交易中心政府采购项目投标指南》；</w:t>
      </w:r>
    </w:p>
    <w:p w14:paraId="78F07C55">
      <w:pPr>
        <w:spacing w:line="360" w:lineRule="auto"/>
        <w:ind w:firstLine="420" w:firstLineChars="200"/>
        <w:rPr>
          <w:rFonts w:hint="eastAsia"/>
          <w:color w:val="auto"/>
          <w:highlight w:val="none"/>
        </w:rPr>
      </w:pPr>
      <w:r>
        <w:rPr>
          <w:rFonts w:hint="eastAsia"/>
          <w:color w:val="auto"/>
          <w:highlight w:val="none"/>
        </w:rPr>
        <w:t>5.各供应商须在</w:t>
      </w:r>
      <w:r>
        <w:rPr>
          <w:rFonts w:hint="eastAsia"/>
          <w:color w:val="auto"/>
          <w:highlight w:val="none"/>
          <w:lang w:val="en-US" w:eastAsia="zh-CN"/>
        </w:rPr>
        <w:t>文件获取时间</w:t>
      </w:r>
      <w:r>
        <w:rPr>
          <w:rFonts w:hint="eastAsia"/>
          <w:color w:val="auto"/>
          <w:highlight w:val="none"/>
        </w:rPr>
        <w:t>内下载招标文件，未下载文件的供应商将无法提交电子投标文件；</w:t>
      </w:r>
    </w:p>
    <w:p w14:paraId="54FD173F">
      <w:pPr>
        <w:spacing w:line="360" w:lineRule="auto"/>
        <w:ind w:firstLine="420" w:firstLineChars="200"/>
        <w:rPr>
          <w:rFonts w:hint="eastAsia"/>
          <w:color w:val="auto"/>
          <w:highlight w:val="none"/>
        </w:rPr>
      </w:pPr>
      <w:r>
        <w:rPr>
          <w:rFonts w:hint="eastAsia"/>
          <w:color w:val="auto"/>
          <w:highlight w:val="none"/>
        </w:rPr>
        <w:t>6.电子投标文件技术支持：4009280095、4009980000；</w:t>
      </w:r>
    </w:p>
    <w:p w14:paraId="4A946E14">
      <w:pPr>
        <w:spacing w:line="360" w:lineRule="auto"/>
        <w:ind w:firstLine="420" w:firstLineChars="200"/>
        <w:rPr>
          <w:rFonts w:hint="eastAsia"/>
          <w:color w:val="auto"/>
          <w:highlight w:val="none"/>
        </w:rPr>
      </w:pPr>
      <w:r>
        <w:rPr>
          <w:rFonts w:hint="eastAsia"/>
          <w:color w:val="auto"/>
          <w:highlight w:val="none"/>
        </w:rPr>
        <w:t>7.请各供应商获取招标文件后，按照陕西省财政厅《关于政府采购供应商注册登记有关事项的通知》要求，通过陕西省政府采购网注册登记加入陕西省政府采购供应商库。</w:t>
      </w:r>
    </w:p>
    <w:p w14:paraId="31919967">
      <w:pPr>
        <w:spacing w:line="360" w:lineRule="auto"/>
        <w:ind w:firstLine="420" w:firstLineChars="200"/>
        <w:rPr>
          <w:color w:val="auto"/>
          <w:highlight w:val="none"/>
        </w:rPr>
      </w:pPr>
      <w:r>
        <w:rPr>
          <w:rFonts w:hint="eastAsia"/>
          <w:color w:val="auto"/>
          <w:highlight w:val="none"/>
        </w:rPr>
        <w:t>三、关于文件的制作和签名</w:t>
      </w:r>
    </w:p>
    <w:p w14:paraId="5CCB2A45">
      <w:pPr>
        <w:spacing w:line="360" w:lineRule="auto"/>
        <w:ind w:firstLine="420" w:firstLineChars="200"/>
        <w:rPr>
          <w:color w:val="auto"/>
          <w:highlight w:val="none"/>
        </w:rPr>
      </w:pPr>
      <w:r>
        <w:rPr>
          <w:rFonts w:hint="eastAsia"/>
          <w:color w:val="auto"/>
          <w:highlight w:val="none"/>
        </w:rPr>
        <w:t>1.为确保采购项目顺利开展，本项目采用电子化投标及远程不见面开标方式（无需提供纸质版文件，无需到开标现场）。投投标供应商须使用数字认证证书在全省统一交易平台填写投标信息，对电子投标文件进行签章、加密、递交及开标时解密等相关招投标事宜。加密和解密必须为同一数字认证证书，否则将会导致解密失败。涉及二次报价的必须使用主证。如因供应商自身原因，造成无法完成电子流程的，按无效投标对待。</w:t>
      </w:r>
    </w:p>
    <w:p w14:paraId="6DF9C04E">
      <w:pPr>
        <w:spacing w:line="360" w:lineRule="auto"/>
        <w:ind w:firstLine="420" w:firstLineChars="200"/>
        <w:rPr>
          <w:color w:val="auto"/>
          <w:highlight w:val="none"/>
        </w:rPr>
      </w:pPr>
      <w:r>
        <w:rPr>
          <w:rFonts w:hint="eastAsia"/>
          <w:color w:val="auto"/>
          <w:highlight w:val="none"/>
        </w:rPr>
        <w:t>2. 编制电子投标文件时，应使用最新发布的电子招标文件及专用制作工具进行编制。并使用数字认证证书（CA）对电子投标文件进行签署、加密、递交及开标时解密等相关操作。</w:t>
      </w:r>
    </w:p>
    <w:p w14:paraId="3AA43D14">
      <w:pPr>
        <w:spacing w:line="360" w:lineRule="auto"/>
        <w:ind w:firstLine="420" w:firstLineChars="200"/>
        <w:rPr>
          <w:color w:val="auto"/>
          <w:highlight w:val="none"/>
        </w:rPr>
      </w:pPr>
      <w:r>
        <w:rPr>
          <w:rFonts w:hint="eastAsia"/>
          <w:color w:val="auto"/>
          <w:highlight w:val="none"/>
        </w:rPr>
        <w:t>（1）电子招标文件下载</w:t>
      </w:r>
    </w:p>
    <w:p w14:paraId="68950ACE">
      <w:pPr>
        <w:spacing w:line="360" w:lineRule="auto"/>
        <w:ind w:firstLine="420" w:firstLineChars="200"/>
        <w:rPr>
          <w:rFonts w:hint="eastAsia" w:eastAsia="宋体"/>
          <w:color w:val="auto"/>
          <w:highlight w:val="none"/>
          <w:lang w:eastAsia="zh-CN"/>
        </w:rPr>
      </w:pPr>
      <w:r>
        <w:rPr>
          <w:rFonts w:hint="eastAsia"/>
          <w:color w:val="auto"/>
          <w:highlight w:val="none"/>
        </w:rPr>
        <w:t>供应商登录全国公共资源交易平台（陕西省）网站[电子交易平台-企业端]后，在[我的项目]中点击“项目流程-交易文件下载”下载电子招标文件（*.SXSZF）</w:t>
      </w:r>
      <w:r>
        <w:rPr>
          <w:rFonts w:hint="eastAsia"/>
          <w:color w:val="auto"/>
          <w:highlight w:val="none"/>
          <w:lang w:eastAsia="zh-CN"/>
        </w:rPr>
        <w:t>；</w:t>
      </w:r>
    </w:p>
    <w:p w14:paraId="559142C9">
      <w:pPr>
        <w:spacing w:line="360" w:lineRule="auto"/>
        <w:ind w:firstLine="420" w:firstLineChars="200"/>
        <w:rPr>
          <w:color w:val="auto"/>
          <w:highlight w:val="none"/>
        </w:rPr>
      </w:pPr>
      <w:r>
        <w:rPr>
          <w:rFonts w:hint="eastAsia"/>
          <w:color w:val="auto"/>
          <w:highlight w:val="none"/>
        </w:rPr>
        <w:t>注意：该项目如有变更文件，则应点击“项目流程&gt;答疑文件下载”下载更新后的电子招标文件（*.SXSCF），使用旧版电子招标文件制作的电子投标文件，系统将拒绝接收。</w:t>
      </w:r>
    </w:p>
    <w:p w14:paraId="77837C06">
      <w:pPr>
        <w:spacing w:line="360" w:lineRule="auto"/>
        <w:ind w:firstLine="420" w:firstLineChars="200"/>
        <w:rPr>
          <w:color w:val="auto"/>
          <w:highlight w:val="none"/>
        </w:rPr>
      </w:pPr>
      <w:r>
        <w:rPr>
          <w:rFonts w:hint="eastAsia"/>
          <w:color w:val="auto"/>
          <w:highlight w:val="none"/>
        </w:rPr>
        <w:t>（2）电子招标文件需要使用专用软件打开、浏览</w:t>
      </w:r>
    </w:p>
    <w:p w14:paraId="6C07A807">
      <w:pPr>
        <w:spacing w:line="360" w:lineRule="auto"/>
        <w:ind w:firstLine="420" w:firstLineChars="200"/>
        <w:jc w:val="left"/>
        <w:rPr>
          <w:color w:val="auto"/>
          <w:highlight w:val="none"/>
        </w:rPr>
      </w:pPr>
      <w:r>
        <w:rPr>
          <w:rFonts w:hint="eastAsia"/>
          <w:color w:val="auto"/>
          <w:highlight w:val="none"/>
        </w:rPr>
        <w:t>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下载网址：</w:t>
      </w:r>
    </w:p>
    <w:p w14:paraId="32093203">
      <w:pPr>
        <w:spacing w:line="360" w:lineRule="auto"/>
        <w:ind w:firstLine="420" w:firstLineChars="200"/>
        <w:rPr>
          <w:color w:val="auto"/>
          <w:highlight w:val="none"/>
        </w:rPr>
      </w:pPr>
      <w:r>
        <w:rPr>
          <w:rFonts w:hint="eastAsia"/>
          <w:color w:val="auto"/>
          <w:highlight w:val="none"/>
        </w:rPr>
        <w:t>http://www.sxggzyjy.cn/fwzn/004003/20170821/c3afa05b-f5e6-4e64-9fb0-e397ef73413d.html；</w:t>
      </w:r>
    </w:p>
    <w:p w14:paraId="16C16DFD">
      <w:pPr>
        <w:spacing w:line="360" w:lineRule="auto"/>
        <w:ind w:firstLine="420" w:firstLineChars="200"/>
        <w:rPr>
          <w:color w:val="auto"/>
          <w:highlight w:val="none"/>
        </w:rPr>
      </w:pPr>
      <w:r>
        <w:rPr>
          <w:rFonts w:hint="eastAsia"/>
          <w:color w:val="auto"/>
          <w:highlight w:val="none"/>
        </w:rPr>
        <w:t>（3）制作电子投标文件</w:t>
      </w:r>
    </w:p>
    <w:p w14:paraId="160D9A4F">
      <w:pPr>
        <w:spacing w:line="360" w:lineRule="auto"/>
        <w:ind w:firstLine="420" w:firstLineChars="200"/>
        <w:rPr>
          <w:color w:val="auto"/>
          <w:highlight w:val="none"/>
        </w:rPr>
      </w:pPr>
      <w:r>
        <w:rPr>
          <w:rFonts w:hint="eastAsia"/>
          <w:color w:val="auto"/>
          <w:highlight w:val="none"/>
        </w:rPr>
        <w:t>电子投标文件同样需要使用上述软件进行编制。在编制过程中，如有技术性问题，请先翻阅操作手册或致电软件开发商，技术支持热线：4009280095、4009980000。</w:t>
      </w:r>
    </w:p>
    <w:p w14:paraId="17331BC2">
      <w:pPr>
        <w:spacing w:line="360" w:lineRule="auto"/>
        <w:ind w:firstLine="420" w:firstLineChars="200"/>
        <w:rPr>
          <w:color w:val="auto"/>
          <w:highlight w:val="none"/>
        </w:rPr>
      </w:pPr>
      <w:r>
        <w:rPr>
          <w:rFonts w:hint="eastAsia"/>
          <w:color w:val="auto"/>
          <w:highlight w:val="none"/>
        </w:rPr>
        <w:t>四、关于响应文件递交与解密</w:t>
      </w:r>
    </w:p>
    <w:p w14:paraId="46215B1E">
      <w:pPr>
        <w:spacing w:line="360" w:lineRule="auto"/>
        <w:ind w:firstLine="420" w:firstLineChars="200"/>
        <w:rPr>
          <w:color w:val="auto"/>
          <w:highlight w:val="none"/>
        </w:rPr>
      </w:pPr>
      <w:r>
        <w:rPr>
          <w:rFonts w:hint="eastAsia"/>
          <w:color w:val="auto"/>
          <w:highlight w:val="none"/>
        </w:rPr>
        <w:t>1.文件递交</w:t>
      </w:r>
    </w:p>
    <w:p w14:paraId="4CB36B56">
      <w:pPr>
        <w:spacing w:line="360" w:lineRule="auto"/>
        <w:ind w:firstLine="420" w:firstLineChars="200"/>
        <w:rPr>
          <w:color w:val="auto"/>
          <w:highlight w:val="none"/>
        </w:rPr>
      </w:pPr>
      <w:r>
        <w:rPr>
          <w:rFonts w:hint="eastAsia"/>
          <w:color w:val="auto"/>
          <w:highlight w:val="none"/>
        </w:rPr>
        <w:t>（1）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257542C">
      <w:pPr>
        <w:spacing w:line="360" w:lineRule="auto"/>
        <w:ind w:firstLine="420" w:firstLineChars="200"/>
        <w:rPr>
          <w:color w:val="auto"/>
          <w:highlight w:val="none"/>
        </w:rPr>
      </w:pPr>
      <w:r>
        <w:rPr>
          <w:rFonts w:hint="eastAsia"/>
          <w:color w:val="auto"/>
          <w:highlight w:val="none"/>
        </w:rPr>
        <w:t>（2） 本项目招标投标采用电子化投标及远程不见面开标方式进行，（无需提供纸质版文件，无需到开标现场）。</w:t>
      </w:r>
    </w:p>
    <w:p w14:paraId="43CFE921">
      <w:pPr>
        <w:spacing w:line="360" w:lineRule="auto"/>
        <w:ind w:firstLine="420" w:firstLineChars="200"/>
        <w:rPr>
          <w:color w:val="auto"/>
          <w:highlight w:val="none"/>
        </w:rPr>
      </w:pPr>
      <w:r>
        <w:rPr>
          <w:rFonts w:hint="eastAsia"/>
          <w:color w:val="auto"/>
          <w:highlight w:val="none"/>
        </w:rPr>
        <w:t>2.文件开启与解密</w:t>
      </w:r>
    </w:p>
    <w:p w14:paraId="05E180EB">
      <w:pPr>
        <w:spacing w:line="360" w:lineRule="auto"/>
        <w:ind w:firstLine="420" w:firstLineChars="200"/>
        <w:rPr>
          <w:color w:val="auto"/>
          <w:highlight w:val="none"/>
        </w:rPr>
      </w:pPr>
      <w:r>
        <w:rPr>
          <w:rFonts w:hint="eastAsia"/>
          <w:color w:val="auto"/>
          <w:highlight w:val="none"/>
        </w:rPr>
        <w:t>（1）开标时，供应商须使用电子投标文件加密时所用的数字认证证书（CA锁）在各自办公场所的电脑上自行解密电子投标文件。涉及到二次报价的，</w:t>
      </w:r>
      <w:r>
        <w:rPr>
          <w:rFonts w:hint="eastAsia"/>
          <w:color w:val="auto"/>
          <w:highlight w:val="none"/>
          <w:lang w:val="en-US" w:eastAsia="zh-CN"/>
        </w:rPr>
        <w:t>需使用</w:t>
      </w:r>
      <w:r>
        <w:rPr>
          <w:rFonts w:hint="eastAsia"/>
          <w:color w:val="auto"/>
          <w:highlight w:val="none"/>
        </w:rPr>
        <w:t>主锁报价，只有主锁才有签章功能，二次报价才能完成。</w:t>
      </w:r>
    </w:p>
    <w:p w14:paraId="1AE1109F">
      <w:pPr>
        <w:spacing w:line="360" w:lineRule="auto"/>
        <w:ind w:firstLine="420" w:firstLineChars="200"/>
        <w:rPr>
          <w:color w:val="auto"/>
          <w:highlight w:val="none"/>
        </w:rPr>
      </w:pPr>
      <w:r>
        <w:rPr>
          <w:rFonts w:hint="eastAsia"/>
          <w:color w:val="auto"/>
          <w:highlight w:val="none"/>
        </w:rPr>
        <w:t>（2）电子开标、评标无法进行时，按照《安康市公共资源交易平台电子化交易应急处置管理办法(试行)》规定执行。</w:t>
      </w:r>
    </w:p>
    <w:p w14:paraId="65775D52">
      <w:pPr>
        <w:spacing w:line="360" w:lineRule="auto"/>
        <w:ind w:firstLine="420" w:firstLineChars="200"/>
        <w:rPr>
          <w:color w:val="auto"/>
          <w:highlight w:val="none"/>
        </w:rPr>
      </w:pPr>
      <w:r>
        <w:rPr>
          <w:rFonts w:hint="eastAsia"/>
          <w:color w:val="auto"/>
          <w:highlight w:val="none"/>
        </w:rPr>
        <w:t>（3）编制的电子投标文件，须使用数字认证证书（CA）对电子投标文件进行签署、加密、递交及开标时解密等相关操作。响应文件中签名不能采用机打签名方式，应采用手写方式，因此导致废标或未中标，投标供应商自行承担责任。</w:t>
      </w:r>
    </w:p>
    <w:p w14:paraId="397C8C37">
      <w:pPr>
        <w:spacing w:line="360" w:lineRule="auto"/>
        <w:ind w:firstLine="420" w:firstLineChars="200"/>
        <w:rPr>
          <w:color w:val="auto"/>
          <w:highlight w:val="none"/>
        </w:rPr>
      </w:pPr>
      <w:r>
        <w:rPr>
          <w:rFonts w:hint="eastAsia"/>
          <w:color w:val="auto"/>
          <w:highlight w:val="none"/>
        </w:rPr>
        <w:t>（4）在开标环节出现下列情况之一的，其电子投标文件视为无效文件：</w:t>
      </w:r>
    </w:p>
    <w:p w14:paraId="5670B90E">
      <w:pPr>
        <w:spacing w:line="360" w:lineRule="auto"/>
        <w:ind w:firstLine="420" w:firstLineChars="200"/>
        <w:rPr>
          <w:rFonts w:hint="eastAsia"/>
          <w:color w:val="auto"/>
          <w:highlight w:val="none"/>
        </w:rPr>
      </w:pPr>
      <w:r>
        <w:rPr>
          <w:rFonts w:hint="eastAsia"/>
          <w:color w:val="auto"/>
          <w:highlight w:val="none"/>
        </w:rPr>
        <w:t>a.供应商拒绝对电子投标文件进行解密的；</w:t>
      </w:r>
    </w:p>
    <w:p w14:paraId="1F3987A0">
      <w:pPr>
        <w:spacing w:line="360" w:lineRule="auto"/>
        <w:ind w:firstLine="420" w:firstLineChars="200"/>
        <w:rPr>
          <w:rFonts w:hint="eastAsia"/>
          <w:color w:val="auto"/>
          <w:highlight w:val="none"/>
        </w:rPr>
      </w:pPr>
      <w:r>
        <w:rPr>
          <w:rFonts w:hint="eastAsia"/>
          <w:color w:val="auto"/>
          <w:highlight w:val="none"/>
        </w:rPr>
        <w:t>b.本项目采用</w:t>
      </w:r>
      <w:r>
        <w:rPr>
          <w:rFonts w:hint="eastAsia"/>
          <w:color w:val="auto"/>
          <w:highlight w:val="none"/>
          <w:lang w:val="en-US" w:eastAsia="zh-CN"/>
        </w:rPr>
        <w:t>全流程电子化招投标</w:t>
      </w:r>
      <w:r>
        <w:rPr>
          <w:rFonts w:hint="eastAsia"/>
          <w:color w:val="auto"/>
          <w:highlight w:val="none"/>
        </w:rPr>
        <w:t>及</w:t>
      </w:r>
      <w:r>
        <w:rPr>
          <w:rFonts w:hint="eastAsia"/>
          <w:color w:val="auto"/>
          <w:highlight w:val="none"/>
          <w:lang w:val="en-US" w:eastAsia="zh-CN"/>
        </w:rPr>
        <w:t>不见面</w:t>
      </w:r>
      <w:r>
        <w:rPr>
          <w:rFonts w:hint="eastAsia"/>
          <w:color w:val="auto"/>
          <w:highlight w:val="none"/>
        </w:rPr>
        <w:t>开标方式（无需提供纸质版文件，</w:t>
      </w:r>
      <w:r>
        <w:rPr>
          <w:rFonts w:hint="eastAsia"/>
          <w:color w:val="auto"/>
          <w:highlight w:val="none"/>
          <w:lang w:val="en-US" w:eastAsia="zh-CN"/>
        </w:rPr>
        <w:t>无</w:t>
      </w:r>
      <w:r>
        <w:rPr>
          <w:rFonts w:hint="eastAsia"/>
          <w:color w:val="auto"/>
          <w:highlight w:val="none"/>
        </w:rPr>
        <w:t>需到开标现场）。开标时请务必携带数字认证证书，如因供应商自身原因（如未带CA锁、或所带CA锁与制作电子投标文件使用的CA锁不一</w:t>
      </w:r>
      <w:r>
        <w:rPr>
          <w:rFonts w:hint="eastAsia"/>
          <w:color w:val="auto"/>
          <w:highlight w:val="none"/>
          <w:lang w:val="en-US" w:eastAsia="zh-CN"/>
        </w:rPr>
        <w:t>致（加密和解密必须为同一数字认证证书，否则将会导致解密失败）、或沿用旧版招标文件编制投标文件</w:t>
      </w:r>
      <w:r>
        <w:rPr>
          <w:rFonts w:hint="eastAsia"/>
          <w:color w:val="auto"/>
          <w:highlight w:val="none"/>
        </w:rPr>
        <w:t>等情形），导致在规定时间</w:t>
      </w:r>
      <w:r>
        <w:rPr>
          <w:rFonts w:hint="eastAsia"/>
          <w:color w:val="auto"/>
          <w:highlight w:val="none"/>
          <w:lang w:eastAsia="zh-CN"/>
        </w:rPr>
        <w:t>（</w:t>
      </w:r>
      <w:r>
        <w:rPr>
          <w:rFonts w:hint="eastAsia"/>
          <w:color w:val="auto"/>
          <w:highlight w:val="none"/>
          <w:lang w:val="en-US" w:eastAsia="zh-CN"/>
        </w:rPr>
        <w:t>30分钟</w:t>
      </w:r>
      <w:r>
        <w:rPr>
          <w:rFonts w:hint="eastAsia"/>
          <w:color w:val="auto"/>
          <w:highlight w:val="none"/>
        </w:rPr>
        <w:t>内</w:t>
      </w:r>
      <w:r>
        <w:rPr>
          <w:rFonts w:hint="eastAsia"/>
          <w:color w:val="auto"/>
          <w:highlight w:val="none"/>
          <w:lang w:eastAsia="zh-CN"/>
        </w:rPr>
        <w:t>）</w:t>
      </w:r>
      <w:r>
        <w:rPr>
          <w:rFonts w:hint="eastAsia"/>
          <w:color w:val="auto"/>
          <w:highlight w:val="none"/>
        </w:rPr>
        <w:t>无法解密投标文件的；</w:t>
      </w:r>
    </w:p>
    <w:p w14:paraId="1BC8D0DD">
      <w:pPr>
        <w:spacing w:line="360" w:lineRule="auto"/>
        <w:ind w:firstLine="420" w:firstLineChars="200"/>
        <w:rPr>
          <w:rFonts w:hint="eastAsia"/>
          <w:color w:val="auto"/>
          <w:highlight w:val="none"/>
        </w:rPr>
      </w:pPr>
      <w:r>
        <w:rPr>
          <w:rFonts w:hint="eastAsia"/>
          <w:color w:val="auto"/>
          <w:highlight w:val="none"/>
        </w:rPr>
        <w:t>c.上传的电子投标文件无法打开的</w:t>
      </w:r>
      <w:r>
        <w:rPr>
          <w:rFonts w:hint="eastAsia"/>
          <w:color w:val="auto"/>
          <w:highlight w:val="none"/>
          <w:lang w:val="en-US" w:eastAsia="zh-CN"/>
        </w:rPr>
        <w:t>或</w:t>
      </w:r>
      <w:r>
        <w:rPr>
          <w:rFonts w:hint="eastAsia"/>
          <w:color w:val="auto"/>
          <w:highlight w:val="none"/>
        </w:rPr>
        <w:t>未按招标文件要求方式解密的电子投标文件，将作为无效投标文件；</w:t>
      </w:r>
    </w:p>
    <w:p w14:paraId="0EC9D258">
      <w:pPr>
        <w:spacing w:line="360" w:lineRule="auto"/>
        <w:ind w:firstLine="420" w:firstLineChars="200"/>
        <w:rPr>
          <w:rFonts w:hint="default"/>
          <w:color w:val="auto"/>
          <w:highlight w:val="none"/>
          <w:lang w:val="en-US" w:eastAsia="zh-CN"/>
        </w:rPr>
      </w:pPr>
      <w:r>
        <w:rPr>
          <w:rFonts w:hint="eastAsia"/>
          <w:color w:val="auto"/>
          <w:highlight w:val="none"/>
          <w:lang w:val="en-US" w:eastAsia="zh-CN"/>
        </w:rPr>
        <w:t>d.</w:t>
      </w:r>
      <w:r>
        <w:rPr>
          <w:rFonts w:hint="eastAsia"/>
          <w:color w:val="auto"/>
          <w:highlight w:val="none"/>
        </w:rPr>
        <w:t>任何超过各</w:t>
      </w:r>
      <w:r>
        <w:rPr>
          <w:rFonts w:hint="eastAsia"/>
          <w:color w:val="auto"/>
          <w:highlight w:val="none"/>
          <w:lang w:val="en-US" w:eastAsia="zh-CN"/>
        </w:rPr>
        <w:t>标段</w:t>
      </w:r>
      <w:r>
        <w:rPr>
          <w:rFonts w:hint="eastAsia"/>
          <w:color w:val="auto"/>
          <w:highlight w:val="none"/>
          <w:lang w:eastAsia="zh-CN"/>
        </w:rPr>
        <w:t>最高限制价</w:t>
      </w:r>
      <w:r>
        <w:rPr>
          <w:rFonts w:hint="eastAsia"/>
          <w:color w:val="auto"/>
          <w:highlight w:val="none"/>
        </w:rPr>
        <w:t>的报价均为无效报价</w:t>
      </w:r>
      <w:r>
        <w:rPr>
          <w:rFonts w:hint="eastAsia"/>
          <w:color w:val="auto"/>
          <w:highlight w:val="none"/>
          <w:lang w:eastAsia="zh-CN"/>
        </w:rPr>
        <w:t>，</w:t>
      </w:r>
      <w:r>
        <w:rPr>
          <w:rFonts w:hint="eastAsia"/>
          <w:color w:val="auto"/>
          <w:highlight w:val="none"/>
        </w:rPr>
        <w:t>任何有选择的报价将不予接受（不可修正或者另行备注报价表），否则按无效文件处理</w:t>
      </w:r>
      <w:r>
        <w:rPr>
          <w:rFonts w:hint="eastAsia"/>
          <w:color w:val="auto"/>
          <w:highlight w:val="none"/>
          <w:lang w:val="en-US" w:eastAsia="zh-CN"/>
        </w:rPr>
        <w:t>；</w:t>
      </w:r>
    </w:p>
    <w:p w14:paraId="2A28B6B0">
      <w:pPr>
        <w:spacing w:line="360" w:lineRule="auto"/>
        <w:ind w:firstLine="420" w:firstLineChars="200"/>
        <w:rPr>
          <w:rFonts w:hint="default"/>
          <w:color w:val="auto"/>
          <w:highlight w:val="none"/>
          <w:lang w:val="en-US" w:eastAsia="zh-CN"/>
        </w:rPr>
      </w:pPr>
      <w:r>
        <w:rPr>
          <w:rFonts w:hint="eastAsia"/>
          <w:color w:val="auto"/>
          <w:highlight w:val="none"/>
          <w:lang w:val="en-US" w:eastAsia="zh-CN"/>
        </w:rPr>
        <w:t>e.</w:t>
      </w:r>
      <w:r>
        <w:rPr>
          <w:rFonts w:hint="eastAsia"/>
          <w:color w:val="auto"/>
          <w:highlight w:val="none"/>
        </w:rPr>
        <w:t>供应商必须从陕西省公共资源交易中心网站下载招标文件，供应商自行转让或复制标书视为无效</w:t>
      </w:r>
      <w:r>
        <w:rPr>
          <w:rFonts w:hint="eastAsia"/>
          <w:color w:val="auto"/>
          <w:highlight w:val="none"/>
          <w:lang w:eastAsia="zh-CN"/>
        </w:rPr>
        <w:t>。</w:t>
      </w:r>
    </w:p>
    <w:p w14:paraId="72D25ED3">
      <w:pPr>
        <w:spacing w:line="360" w:lineRule="auto"/>
        <w:ind w:firstLine="420" w:firstLineChars="200"/>
        <w:rPr>
          <w:rFonts w:hint="eastAsia"/>
          <w:color w:val="auto"/>
          <w:highlight w:val="none"/>
          <w:lang w:val="en-US" w:eastAsia="zh-CN"/>
        </w:rPr>
      </w:pPr>
      <w:r>
        <w:rPr>
          <w:rFonts w:hint="eastAsia"/>
          <w:color w:val="auto"/>
          <w:highlight w:val="none"/>
          <w:lang w:val="en-US" w:eastAsia="zh-CN"/>
        </w:rPr>
        <w:t>f.</w:t>
      </w:r>
      <w:r>
        <w:rPr>
          <w:rFonts w:hint="eastAsia"/>
          <w:color w:val="auto"/>
          <w:highlight w:val="none"/>
        </w:rPr>
        <w:t>不符合招标文件中规定资格条件</w:t>
      </w:r>
      <w:r>
        <w:rPr>
          <w:rFonts w:hint="eastAsia"/>
          <w:color w:val="auto"/>
          <w:highlight w:val="none"/>
          <w:lang w:val="en-US" w:eastAsia="zh-CN"/>
        </w:rPr>
        <w:t>审查</w:t>
      </w:r>
      <w:r>
        <w:rPr>
          <w:rFonts w:hint="eastAsia"/>
          <w:color w:val="auto"/>
          <w:highlight w:val="none"/>
        </w:rPr>
        <w:t>的</w:t>
      </w:r>
      <w:r>
        <w:rPr>
          <w:rFonts w:hint="eastAsia"/>
          <w:color w:val="auto"/>
          <w:highlight w:val="none"/>
          <w:lang w:val="en-US" w:eastAsia="zh-CN"/>
        </w:rPr>
        <w:t>及</w:t>
      </w:r>
      <w:r>
        <w:rPr>
          <w:rFonts w:hint="eastAsia"/>
          <w:color w:val="auto"/>
          <w:highlight w:val="none"/>
        </w:rPr>
        <w:t>不</w:t>
      </w:r>
      <w:r>
        <w:rPr>
          <w:rFonts w:hint="eastAsia"/>
          <w:color w:val="auto"/>
          <w:highlight w:val="none"/>
          <w:lang w:val="en-US" w:eastAsia="zh-CN"/>
        </w:rPr>
        <w:t>符合</w:t>
      </w:r>
      <w:r>
        <w:rPr>
          <w:rFonts w:hint="eastAsia"/>
          <w:color w:val="auto"/>
          <w:highlight w:val="none"/>
        </w:rPr>
        <w:t>招标文件中规定</w:t>
      </w:r>
      <w:r>
        <w:rPr>
          <w:rFonts w:hint="eastAsia"/>
          <w:color w:val="auto"/>
          <w:highlight w:val="none"/>
          <w:lang w:val="en-US" w:eastAsia="zh-CN"/>
        </w:rPr>
        <w:t>的</w:t>
      </w:r>
      <w:r>
        <w:rPr>
          <w:rFonts w:hint="eastAsia"/>
          <w:color w:val="auto"/>
          <w:highlight w:val="none"/>
        </w:rPr>
        <w:t>符合性审查</w:t>
      </w:r>
      <w:r>
        <w:rPr>
          <w:rFonts w:hint="eastAsia"/>
          <w:color w:val="auto"/>
          <w:highlight w:val="none"/>
          <w:lang w:val="en-US" w:eastAsia="zh-CN"/>
        </w:rPr>
        <w:t>的（</w:t>
      </w:r>
      <w:r>
        <w:rPr>
          <w:rFonts w:hint="eastAsia"/>
          <w:color w:val="auto"/>
          <w:highlight w:val="none"/>
        </w:rPr>
        <w:t>不符合招标文件中规定资格条件</w:t>
      </w:r>
      <w:r>
        <w:rPr>
          <w:rFonts w:hint="eastAsia"/>
          <w:color w:val="auto"/>
          <w:highlight w:val="none"/>
          <w:lang w:val="en-US" w:eastAsia="zh-CN"/>
        </w:rPr>
        <w:t>审查的</w:t>
      </w:r>
      <w:r>
        <w:rPr>
          <w:rFonts w:hint="eastAsia"/>
          <w:color w:val="auto"/>
          <w:highlight w:val="none"/>
        </w:rPr>
        <w:t>不得进入下一步的符合性审查</w:t>
      </w:r>
      <w:r>
        <w:rPr>
          <w:rFonts w:hint="eastAsia"/>
          <w:color w:val="auto"/>
          <w:highlight w:val="none"/>
          <w:lang w:val="en-US" w:eastAsia="zh-CN"/>
        </w:rPr>
        <w:t>的</w:t>
      </w:r>
      <w:r>
        <w:rPr>
          <w:rFonts w:hint="eastAsia"/>
          <w:color w:val="auto"/>
          <w:highlight w:val="none"/>
        </w:rPr>
        <w:t>评审</w:t>
      </w:r>
      <w:r>
        <w:rPr>
          <w:rFonts w:hint="eastAsia"/>
          <w:color w:val="auto"/>
          <w:highlight w:val="none"/>
          <w:lang w:val="en-US" w:eastAsia="zh-CN"/>
        </w:rPr>
        <w:t>）</w:t>
      </w:r>
      <w:r>
        <w:rPr>
          <w:rFonts w:hint="eastAsia"/>
          <w:color w:val="auto"/>
          <w:highlight w:val="none"/>
          <w:lang w:eastAsia="zh-CN"/>
        </w:rPr>
        <w:t>；</w:t>
      </w:r>
    </w:p>
    <w:p w14:paraId="4CF22A06">
      <w:pPr>
        <w:spacing w:line="360" w:lineRule="auto"/>
        <w:ind w:firstLine="420" w:firstLineChars="200"/>
        <w:rPr>
          <w:rFonts w:hint="eastAsia"/>
          <w:color w:val="auto"/>
          <w:highlight w:val="none"/>
        </w:rPr>
      </w:pPr>
      <w:r>
        <w:rPr>
          <w:rFonts w:hint="eastAsia"/>
          <w:color w:val="auto"/>
          <w:highlight w:val="none"/>
          <w:lang w:val="en-US" w:eastAsia="zh-CN"/>
        </w:rPr>
        <w:t>g.</w:t>
      </w:r>
      <w:r>
        <w:rPr>
          <w:rFonts w:hint="eastAsia"/>
          <w:color w:val="auto"/>
          <w:highlight w:val="none"/>
        </w:rPr>
        <w:t>有下列情形之一的，视为供应商相互恶意串通投标响应，其投标文件按无效处理：</w:t>
      </w:r>
    </w:p>
    <w:p w14:paraId="05949B28">
      <w:pPr>
        <w:spacing w:line="360" w:lineRule="auto"/>
        <w:ind w:firstLine="630" w:firstLineChars="300"/>
        <w:rPr>
          <w:rFonts w:hint="eastAsia"/>
          <w:color w:val="auto"/>
          <w:highlight w:val="none"/>
        </w:rPr>
      </w:pPr>
      <w:r>
        <w:rPr>
          <w:rFonts w:hint="eastAsia"/>
          <w:color w:val="auto"/>
          <w:highlight w:val="none"/>
          <w:lang w:val="en-US" w:eastAsia="zh-CN"/>
        </w:rPr>
        <w:t>g</w:t>
      </w:r>
      <w:r>
        <w:rPr>
          <w:rFonts w:hint="eastAsia"/>
          <w:color w:val="auto"/>
          <w:highlight w:val="none"/>
        </w:rPr>
        <w:t>-1不同供应商的投标文件由同一单位或者个人编制；</w:t>
      </w:r>
    </w:p>
    <w:p w14:paraId="7F63A479">
      <w:pPr>
        <w:spacing w:line="360" w:lineRule="auto"/>
        <w:ind w:firstLine="630" w:firstLineChars="300"/>
        <w:rPr>
          <w:rFonts w:hint="eastAsia"/>
          <w:color w:val="auto"/>
          <w:highlight w:val="none"/>
        </w:rPr>
      </w:pPr>
      <w:r>
        <w:rPr>
          <w:rFonts w:hint="eastAsia"/>
          <w:color w:val="auto"/>
          <w:highlight w:val="none"/>
          <w:lang w:val="en-US" w:eastAsia="zh-CN"/>
        </w:rPr>
        <w:t>g</w:t>
      </w:r>
      <w:r>
        <w:rPr>
          <w:rFonts w:hint="eastAsia"/>
          <w:color w:val="auto"/>
          <w:highlight w:val="none"/>
        </w:rPr>
        <w:t>-2不同供应商委托同一单位或者个人办理投标事宜；</w:t>
      </w:r>
    </w:p>
    <w:p w14:paraId="3A2FDA3D">
      <w:pPr>
        <w:spacing w:line="360" w:lineRule="auto"/>
        <w:ind w:firstLine="630" w:firstLineChars="300"/>
        <w:rPr>
          <w:rFonts w:hint="eastAsia"/>
          <w:color w:val="auto"/>
          <w:highlight w:val="none"/>
        </w:rPr>
      </w:pPr>
      <w:r>
        <w:rPr>
          <w:rFonts w:hint="eastAsia"/>
          <w:color w:val="auto"/>
          <w:highlight w:val="none"/>
          <w:lang w:val="en-US" w:eastAsia="zh-CN"/>
        </w:rPr>
        <w:t>g</w:t>
      </w:r>
      <w:r>
        <w:rPr>
          <w:rFonts w:hint="eastAsia"/>
          <w:color w:val="auto"/>
          <w:highlight w:val="none"/>
        </w:rPr>
        <w:t>-3不同供应商的响应文件载明的项目管理成员为同一人；</w:t>
      </w:r>
    </w:p>
    <w:p w14:paraId="72360657">
      <w:pPr>
        <w:spacing w:line="360" w:lineRule="auto"/>
        <w:ind w:firstLine="630" w:firstLineChars="300"/>
        <w:rPr>
          <w:rFonts w:hint="eastAsia"/>
          <w:color w:val="auto"/>
          <w:highlight w:val="none"/>
          <w:lang w:val="en-US" w:eastAsia="zh-CN"/>
        </w:rPr>
      </w:pPr>
      <w:r>
        <w:rPr>
          <w:rFonts w:hint="eastAsia"/>
          <w:color w:val="auto"/>
          <w:highlight w:val="none"/>
          <w:lang w:val="en-US" w:eastAsia="zh-CN"/>
        </w:rPr>
        <w:t>g</w:t>
      </w:r>
      <w:r>
        <w:rPr>
          <w:rFonts w:hint="eastAsia"/>
          <w:color w:val="auto"/>
          <w:highlight w:val="none"/>
        </w:rPr>
        <w:t>-4不同供应商的响应文件异常一致或者投标报价呈规律性差异；</w:t>
      </w:r>
    </w:p>
    <w:p w14:paraId="1FE33910">
      <w:pPr>
        <w:spacing w:line="360" w:lineRule="auto"/>
        <w:ind w:firstLine="420" w:firstLineChars="200"/>
        <w:rPr>
          <w:rFonts w:hint="eastAsia"/>
          <w:color w:val="auto"/>
          <w:highlight w:val="none"/>
        </w:rPr>
      </w:pPr>
      <w:r>
        <w:rPr>
          <w:rFonts w:hint="eastAsia"/>
          <w:color w:val="auto"/>
          <w:highlight w:val="none"/>
          <w:lang w:val="en-US" w:eastAsia="zh-CN"/>
        </w:rPr>
        <w:t>h.</w:t>
      </w:r>
      <w:r>
        <w:rPr>
          <w:rFonts w:hint="eastAsia"/>
          <w:color w:val="auto"/>
          <w:highlight w:val="none"/>
        </w:rPr>
        <w:t>在技术、服务及商务响应程度评审中，出现下列情况之一的，投标文件视为无效：</w:t>
      </w:r>
    </w:p>
    <w:p w14:paraId="403EDE8C">
      <w:pPr>
        <w:spacing w:line="360" w:lineRule="auto"/>
        <w:ind w:firstLine="630" w:firstLineChars="300"/>
        <w:rPr>
          <w:rFonts w:hint="eastAsia"/>
          <w:color w:val="auto"/>
          <w:highlight w:val="none"/>
        </w:rPr>
      </w:pPr>
      <w:r>
        <w:rPr>
          <w:rFonts w:hint="eastAsia"/>
          <w:color w:val="auto"/>
          <w:highlight w:val="none"/>
          <w:lang w:val="en-US" w:eastAsia="zh-CN"/>
        </w:rPr>
        <w:t>h-</w:t>
      </w:r>
      <w:r>
        <w:rPr>
          <w:rFonts w:hint="eastAsia"/>
          <w:color w:val="auto"/>
          <w:highlight w:val="none"/>
        </w:rPr>
        <w:t>1.投标报价子目出现漏项或数量与招标文件要求不符的；</w:t>
      </w:r>
    </w:p>
    <w:p w14:paraId="79AE829A">
      <w:pPr>
        <w:spacing w:line="360" w:lineRule="auto"/>
        <w:ind w:firstLine="630" w:firstLineChars="300"/>
        <w:rPr>
          <w:rFonts w:hint="eastAsia"/>
          <w:color w:val="auto"/>
          <w:highlight w:val="none"/>
        </w:rPr>
      </w:pPr>
      <w:r>
        <w:rPr>
          <w:rFonts w:hint="eastAsia"/>
          <w:color w:val="auto"/>
          <w:highlight w:val="none"/>
          <w:lang w:val="en-US" w:eastAsia="zh-CN"/>
        </w:rPr>
        <w:t>h-</w:t>
      </w:r>
      <w:r>
        <w:rPr>
          <w:rFonts w:hint="eastAsia"/>
          <w:color w:val="auto"/>
          <w:highlight w:val="none"/>
        </w:rPr>
        <w:t>2.投标报价与市场价偏离较大，低于成本，形成不正当竞争的；</w:t>
      </w:r>
    </w:p>
    <w:p w14:paraId="13190916">
      <w:pPr>
        <w:spacing w:line="360" w:lineRule="auto"/>
        <w:ind w:firstLine="630" w:firstLineChars="300"/>
        <w:rPr>
          <w:rFonts w:hint="eastAsia"/>
          <w:color w:val="auto"/>
          <w:highlight w:val="none"/>
        </w:rPr>
      </w:pPr>
      <w:r>
        <w:rPr>
          <w:rFonts w:hint="eastAsia"/>
          <w:color w:val="auto"/>
          <w:highlight w:val="none"/>
          <w:lang w:val="en-US" w:eastAsia="zh-CN"/>
        </w:rPr>
        <w:t>h-</w:t>
      </w:r>
      <w:r>
        <w:rPr>
          <w:rFonts w:hint="eastAsia"/>
          <w:color w:val="auto"/>
          <w:highlight w:val="none"/>
        </w:rPr>
        <w:t>3.投标内容与招标文件要求的采购标的、规格型号、采购数量、技术和服务要求等实质性内容出现重大负偏差的；</w:t>
      </w:r>
    </w:p>
    <w:p w14:paraId="40893C61">
      <w:pPr>
        <w:spacing w:line="360" w:lineRule="auto"/>
        <w:ind w:firstLine="630" w:firstLineChars="300"/>
        <w:rPr>
          <w:rFonts w:hint="eastAsia"/>
          <w:color w:val="auto"/>
          <w:highlight w:val="none"/>
        </w:rPr>
      </w:pPr>
      <w:r>
        <w:rPr>
          <w:rFonts w:hint="eastAsia"/>
          <w:color w:val="auto"/>
          <w:highlight w:val="none"/>
          <w:lang w:val="en-US" w:eastAsia="zh-CN"/>
        </w:rPr>
        <w:t>h-</w:t>
      </w:r>
      <w:r>
        <w:rPr>
          <w:rFonts w:hint="eastAsia"/>
          <w:color w:val="auto"/>
          <w:highlight w:val="none"/>
        </w:rPr>
        <w:t>4.提供虚假技术性能指标的（出现技术指标前后矛盾的，以国家职能部门认定的指标为准）；</w:t>
      </w:r>
    </w:p>
    <w:p w14:paraId="20343574">
      <w:pPr>
        <w:spacing w:line="360" w:lineRule="auto"/>
        <w:ind w:firstLine="630" w:firstLineChars="300"/>
        <w:rPr>
          <w:rFonts w:hint="eastAsia"/>
          <w:color w:val="auto"/>
          <w:highlight w:val="none"/>
        </w:rPr>
      </w:pPr>
      <w:r>
        <w:rPr>
          <w:rFonts w:hint="eastAsia"/>
          <w:color w:val="auto"/>
          <w:highlight w:val="none"/>
          <w:lang w:val="en-US" w:eastAsia="zh-CN"/>
        </w:rPr>
        <w:t>h-</w:t>
      </w:r>
      <w:r>
        <w:rPr>
          <w:rFonts w:hint="eastAsia"/>
          <w:color w:val="auto"/>
          <w:highlight w:val="none"/>
        </w:rPr>
        <w:t>5.投标文件在款项结算、质量保证、验收条件等方面的响应与招标文件要求不一致或附加了采购人和评标委员会难以接受的条件的；</w:t>
      </w:r>
    </w:p>
    <w:p w14:paraId="69779824">
      <w:pPr>
        <w:spacing w:line="360" w:lineRule="auto"/>
        <w:ind w:firstLine="630" w:firstLineChars="300"/>
        <w:rPr>
          <w:rFonts w:hint="eastAsia"/>
          <w:color w:val="auto"/>
          <w:highlight w:val="none"/>
          <w:lang w:val="en-US" w:eastAsia="zh-CN"/>
        </w:rPr>
      </w:pPr>
      <w:r>
        <w:rPr>
          <w:rFonts w:hint="eastAsia"/>
          <w:color w:val="auto"/>
          <w:highlight w:val="none"/>
          <w:lang w:val="en-US" w:eastAsia="zh-CN"/>
        </w:rPr>
        <w:t>h-6.未响应招标文件合同草案条款的；</w:t>
      </w:r>
    </w:p>
    <w:p w14:paraId="05FE56C2">
      <w:pPr>
        <w:numPr>
          <w:ilvl w:val="0"/>
          <w:numId w:val="0"/>
        </w:numPr>
        <w:spacing w:line="360" w:lineRule="auto"/>
        <w:ind w:firstLine="420" w:firstLineChars="200"/>
        <w:rPr>
          <w:rFonts w:hint="eastAsia"/>
          <w:color w:val="auto"/>
          <w:highlight w:val="none"/>
          <w:lang w:val="en-US" w:eastAsia="zh-CN"/>
        </w:rPr>
      </w:pPr>
      <w:r>
        <w:rPr>
          <w:rFonts w:hint="eastAsia"/>
          <w:color w:val="auto"/>
          <w:highlight w:val="none"/>
          <w:lang w:val="en-US" w:eastAsia="zh-CN"/>
        </w:rPr>
        <w:t>i.在投标文件资格性、有效性和完整性检查时，出现下列情况之一的，投标文件视为无效：</w:t>
      </w:r>
    </w:p>
    <w:p w14:paraId="3D9172FD">
      <w:pPr>
        <w:numPr>
          <w:ilvl w:val="0"/>
          <w:numId w:val="0"/>
        </w:numPr>
        <w:spacing w:line="360" w:lineRule="auto"/>
        <w:ind w:firstLine="630" w:firstLineChars="300"/>
        <w:rPr>
          <w:rFonts w:hint="eastAsia"/>
          <w:color w:val="auto"/>
          <w:highlight w:val="none"/>
          <w:lang w:val="en-US" w:eastAsia="zh-CN"/>
        </w:rPr>
      </w:pPr>
      <w:r>
        <w:rPr>
          <w:rFonts w:hint="eastAsia"/>
          <w:color w:val="auto"/>
          <w:highlight w:val="none"/>
          <w:lang w:val="en-US" w:eastAsia="zh-CN"/>
        </w:rPr>
        <w:t>i-1.未按照招标文件规定要求签署、盖章的；</w:t>
      </w:r>
    </w:p>
    <w:p w14:paraId="043BBAA2">
      <w:pPr>
        <w:spacing w:line="360" w:lineRule="auto"/>
        <w:ind w:firstLine="630" w:firstLineChars="300"/>
        <w:rPr>
          <w:rFonts w:hint="eastAsia"/>
          <w:color w:val="auto"/>
          <w:highlight w:val="none"/>
          <w:lang w:val="en-US" w:eastAsia="zh-CN"/>
        </w:rPr>
      </w:pPr>
      <w:r>
        <w:rPr>
          <w:rFonts w:hint="eastAsia"/>
          <w:color w:val="auto"/>
          <w:highlight w:val="none"/>
          <w:lang w:val="en-US" w:eastAsia="zh-CN"/>
        </w:rPr>
        <w:t>i-2投标文件中无投标有效期或有效期达不到招标文件要求的</w:t>
      </w:r>
      <w:r>
        <w:rPr>
          <w:rFonts w:hint="eastAsia"/>
          <w:color w:val="auto"/>
          <w:highlight w:val="none"/>
        </w:rPr>
        <w:t>；</w:t>
      </w:r>
    </w:p>
    <w:p w14:paraId="660AA2F1">
      <w:pPr>
        <w:spacing w:line="360" w:lineRule="auto"/>
        <w:ind w:firstLine="630" w:firstLineChars="300"/>
        <w:rPr>
          <w:rFonts w:hint="eastAsia"/>
          <w:color w:val="auto"/>
          <w:highlight w:val="none"/>
          <w:lang w:val="en-US" w:eastAsia="zh-CN"/>
        </w:rPr>
      </w:pPr>
      <w:r>
        <w:rPr>
          <w:rFonts w:hint="eastAsia"/>
          <w:color w:val="auto"/>
          <w:highlight w:val="none"/>
          <w:lang w:val="en-US" w:eastAsia="zh-CN"/>
        </w:rPr>
        <w:t>i-3投标文件的构成缺少其中一项或某项达不到招标文件要求的</w:t>
      </w:r>
      <w:r>
        <w:rPr>
          <w:rFonts w:hint="eastAsia"/>
          <w:color w:val="auto"/>
          <w:highlight w:val="none"/>
        </w:rPr>
        <w:t>；</w:t>
      </w:r>
    </w:p>
    <w:p w14:paraId="72EC2C2A">
      <w:pPr>
        <w:spacing w:line="360" w:lineRule="auto"/>
        <w:ind w:firstLine="630" w:firstLineChars="300"/>
        <w:rPr>
          <w:rFonts w:hint="eastAsia"/>
          <w:color w:val="auto"/>
          <w:highlight w:val="none"/>
          <w:lang w:val="en-US" w:eastAsia="zh-CN"/>
        </w:rPr>
      </w:pPr>
      <w:r>
        <w:rPr>
          <w:rFonts w:hint="eastAsia"/>
          <w:color w:val="auto"/>
          <w:highlight w:val="none"/>
          <w:lang w:val="en-US" w:eastAsia="zh-CN"/>
        </w:rPr>
        <w:t>i-4供应商单位负责人为同一人或者存在直接控股、管理关系的不 同服务商，参加同一合同项下的政府采购活动的</w:t>
      </w:r>
      <w:r>
        <w:rPr>
          <w:rFonts w:hint="eastAsia"/>
          <w:color w:val="auto"/>
          <w:highlight w:val="none"/>
        </w:rPr>
        <w:t>；</w:t>
      </w:r>
    </w:p>
    <w:p w14:paraId="5E572C56">
      <w:pPr>
        <w:ind w:firstLine="420" w:firstLineChars="200"/>
        <w:rPr>
          <w:color w:val="auto"/>
          <w:highlight w:val="none"/>
        </w:rPr>
      </w:pPr>
      <w:r>
        <w:rPr>
          <w:rFonts w:hint="eastAsia"/>
          <w:color w:val="auto"/>
          <w:highlight w:val="none"/>
          <w:lang w:val="en-US" w:eastAsia="zh-CN"/>
        </w:rPr>
        <w:t>j.</w:t>
      </w:r>
      <w:r>
        <w:rPr>
          <w:rFonts w:hint="eastAsia"/>
          <w:color w:val="auto"/>
          <w:highlight w:val="none"/>
        </w:rPr>
        <w:t>政府采购法律法规规定的其他无效情形。</w:t>
      </w:r>
    </w:p>
    <w:p w14:paraId="5E000694">
      <w:pPr>
        <w:spacing w:line="360" w:lineRule="auto"/>
        <w:ind w:firstLine="420" w:firstLineChars="200"/>
        <w:rPr>
          <w:color w:val="auto"/>
          <w:highlight w:val="none"/>
        </w:rPr>
      </w:pPr>
      <w:r>
        <w:rPr>
          <w:rFonts w:hint="eastAsia"/>
          <w:color w:val="auto"/>
          <w:highlight w:val="none"/>
        </w:rPr>
        <w:t>（5）特殊情形下的应急处置</w:t>
      </w:r>
    </w:p>
    <w:p w14:paraId="5971C067">
      <w:pPr>
        <w:spacing w:line="360" w:lineRule="auto"/>
        <w:ind w:firstLine="420" w:firstLineChars="200"/>
        <w:rPr>
          <w:rFonts w:ascii="仿宋" w:hAnsi="仿宋" w:eastAsia="仿宋"/>
          <w:b/>
          <w:color w:val="auto"/>
          <w:sz w:val="32"/>
          <w:szCs w:val="20"/>
          <w:highlight w:val="none"/>
        </w:rPr>
      </w:pPr>
      <w:r>
        <w:rPr>
          <w:rFonts w:hint="eastAsia"/>
          <w:color w:val="auto"/>
          <w:highlight w:val="none"/>
        </w:rPr>
        <w:t>在开标、评审过程中，如因停电、断网、电子化系统故障等特殊原因导致电子化开、评标无法正常进行时， 按照《安康市公共资源交易平台电子化交易应急处置管理办法(试行)》规定执行。</w:t>
      </w:r>
    </w:p>
    <w:p w14:paraId="087D67DB">
      <w:pPr>
        <w:tabs>
          <w:tab w:val="left" w:pos="5880"/>
        </w:tabs>
        <w:adjustRightInd w:val="0"/>
        <w:snapToGrid w:val="0"/>
        <w:spacing w:line="360" w:lineRule="auto"/>
        <w:jc w:val="center"/>
        <w:rPr>
          <w:rFonts w:ascii="宋体" w:hAnsi="宋体" w:cs="宋体"/>
          <w:b/>
          <w:bCs/>
          <w:color w:val="auto"/>
          <w:sz w:val="32"/>
          <w:szCs w:val="32"/>
          <w:highlight w:val="none"/>
        </w:rPr>
      </w:pPr>
    </w:p>
    <w:p w14:paraId="0124BD6C">
      <w:pPr>
        <w:tabs>
          <w:tab w:val="left" w:pos="5880"/>
        </w:tabs>
        <w:adjustRightInd w:val="0"/>
        <w:snapToGrid w:val="0"/>
        <w:spacing w:line="360" w:lineRule="auto"/>
        <w:jc w:val="center"/>
        <w:rPr>
          <w:rFonts w:ascii="宋体" w:hAnsi="宋体" w:cs="宋体"/>
          <w:b/>
          <w:bCs/>
          <w:color w:val="auto"/>
          <w:sz w:val="32"/>
          <w:szCs w:val="32"/>
          <w:highlight w:val="none"/>
        </w:rPr>
      </w:pPr>
    </w:p>
    <w:p w14:paraId="4F89AD84">
      <w:pPr>
        <w:tabs>
          <w:tab w:val="left" w:pos="5880"/>
        </w:tabs>
        <w:adjustRightInd w:val="0"/>
        <w:snapToGrid w:val="0"/>
        <w:spacing w:line="360" w:lineRule="auto"/>
        <w:jc w:val="center"/>
        <w:rPr>
          <w:rFonts w:ascii="宋体" w:hAnsi="宋体" w:cs="宋体"/>
          <w:b/>
          <w:bCs/>
          <w:color w:val="auto"/>
          <w:sz w:val="32"/>
          <w:szCs w:val="32"/>
          <w:highlight w:val="none"/>
        </w:rPr>
      </w:pPr>
    </w:p>
    <w:p w14:paraId="0525A454">
      <w:pPr>
        <w:tabs>
          <w:tab w:val="left" w:pos="5880"/>
        </w:tabs>
        <w:adjustRightInd w:val="0"/>
        <w:snapToGrid w:val="0"/>
        <w:spacing w:line="360" w:lineRule="auto"/>
        <w:jc w:val="center"/>
        <w:rPr>
          <w:rFonts w:ascii="宋体" w:hAnsi="宋体" w:cs="宋体"/>
          <w:b/>
          <w:bCs/>
          <w:color w:val="auto"/>
          <w:sz w:val="32"/>
          <w:szCs w:val="32"/>
          <w:highlight w:val="none"/>
        </w:rPr>
      </w:pPr>
    </w:p>
    <w:p w14:paraId="67AB7F11">
      <w:pPr>
        <w:tabs>
          <w:tab w:val="left" w:pos="5880"/>
        </w:tabs>
        <w:adjustRightInd w:val="0"/>
        <w:snapToGrid w:val="0"/>
        <w:spacing w:line="360" w:lineRule="auto"/>
        <w:jc w:val="center"/>
        <w:rPr>
          <w:rFonts w:ascii="宋体" w:hAnsi="宋体" w:cs="宋体"/>
          <w:b/>
          <w:bCs/>
          <w:color w:val="auto"/>
          <w:sz w:val="32"/>
          <w:szCs w:val="32"/>
          <w:highlight w:val="none"/>
        </w:rPr>
      </w:pPr>
    </w:p>
    <w:p w14:paraId="147B9522">
      <w:pPr>
        <w:tabs>
          <w:tab w:val="left" w:pos="5880"/>
        </w:tabs>
        <w:adjustRightInd w:val="0"/>
        <w:snapToGrid w:val="0"/>
        <w:spacing w:line="360" w:lineRule="auto"/>
        <w:jc w:val="both"/>
        <w:rPr>
          <w:rFonts w:ascii="宋体" w:hAnsi="宋体" w:cs="宋体"/>
          <w:b/>
          <w:bCs/>
          <w:color w:val="auto"/>
          <w:sz w:val="32"/>
          <w:szCs w:val="32"/>
          <w:highlight w:val="none"/>
        </w:rPr>
      </w:pPr>
    </w:p>
    <w:p w14:paraId="2A348556">
      <w:pPr>
        <w:tabs>
          <w:tab w:val="left" w:pos="5880"/>
        </w:tabs>
        <w:adjustRightInd w:val="0"/>
        <w:snapToGrid w:val="0"/>
        <w:spacing w:line="360" w:lineRule="auto"/>
        <w:jc w:val="center"/>
        <w:rPr>
          <w:rFonts w:ascii="宋体" w:hAnsi="宋体" w:cs="宋体"/>
          <w:b/>
          <w:color w:val="auto"/>
          <w:sz w:val="32"/>
          <w:szCs w:val="32"/>
          <w:highlight w:val="none"/>
        </w:rPr>
      </w:pPr>
      <w:r>
        <w:rPr>
          <w:rFonts w:hint="eastAsia" w:ascii="宋体" w:hAnsi="宋体" w:cs="宋体"/>
          <w:b/>
          <w:bCs/>
          <w:color w:val="auto"/>
          <w:sz w:val="32"/>
          <w:szCs w:val="32"/>
          <w:highlight w:val="none"/>
        </w:rPr>
        <w:t>第一部分 招标公告</w:t>
      </w:r>
    </w:p>
    <w:p w14:paraId="5E170D62">
      <w:pPr>
        <w:pStyle w:val="64"/>
        <w:keepNext w:val="0"/>
        <w:keepLines w:val="0"/>
        <w:pageBreakBefore w:val="0"/>
        <w:widowControl/>
        <w:kinsoku/>
        <w:wordWrap/>
        <w:overflowPunct/>
        <w:topLinePunct w:val="0"/>
        <w:autoSpaceDE/>
        <w:autoSpaceDN/>
        <w:bidi w:val="0"/>
        <w:spacing w:before="0" w:line="336" w:lineRule="auto"/>
        <w:ind w:firstLine="482"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eastAsia="zh-CN"/>
        </w:rPr>
        <w:t>2026年度安康中心城区公园广场及公共绿地时令花卉采购项目（二期）</w:t>
      </w:r>
      <w:r>
        <w:rPr>
          <w:rFonts w:hint="eastAsia" w:ascii="宋体" w:hAnsi="宋体" w:cs="宋体"/>
          <w:color w:val="auto"/>
          <w:sz w:val="24"/>
          <w:szCs w:val="24"/>
          <w:highlight w:val="none"/>
        </w:rPr>
        <w:t>招标项目潜在的供应商可在安康市公共资源交易中心</w:t>
      </w:r>
      <w:r>
        <w:rPr>
          <w:rFonts w:hint="eastAsia" w:ascii="宋体" w:hAnsi="宋体" w:cs="宋体"/>
          <w:color w:val="auto"/>
          <w:sz w:val="24"/>
          <w:szCs w:val="24"/>
          <w:highlight w:val="none"/>
          <w:lang w:val="en-US" w:eastAsia="zh-CN"/>
        </w:rPr>
        <w:t>平台</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lang w:val="en-US" w:eastAsia="zh-CN"/>
        </w:rPr>
        <w:t>2026年5月29日 14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 xml:space="preserve">00 </w:t>
      </w:r>
      <w:r>
        <w:rPr>
          <w:rFonts w:hint="eastAsia" w:ascii="宋体" w:hAnsi="宋体" w:cs="宋体"/>
          <w:color w:val="auto"/>
          <w:sz w:val="24"/>
          <w:szCs w:val="24"/>
          <w:highlight w:val="none"/>
        </w:rPr>
        <w:t xml:space="preserve">前递交投标文件。 </w:t>
      </w:r>
    </w:p>
    <w:p w14:paraId="67252FB7">
      <w:pPr>
        <w:pStyle w:val="64"/>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一、项目基本情况：</w:t>
      </w:r>
    </w:p>
    <w:p w14:paraId="65EC4AD9">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一</w:t>
      </w:r>
      <w:r>
        <w:rPr>
          <w:rFonts w:hint="eastAsia" w:ascii="宋体" w:hAnsi="宋体" w:cs="宋体"/>
          <w:color w:val="auto"/>
          <w:szCs w:val="24"/>
          <w:highlight w:val="none"/>
          <w:lang w:eastAsia="zh-CN"/>
        </w:rPr>
        <w:t>）</w:t>
      </w:r>
      <w:r>
        <w:rPr>
          <w:rFonts w:hint="eastAsia" w:ascii="宋体" w:hAnsi="宋体" w:cs="宋体"/>
          <w:color w:val="auto"/>
          <w:szCs w:val="24"/>
          <w:highlight w:val="none"/>
        </w:rPr>
        <w:t>项目编号：</w:t>
      </w:r>
      <w:r>
        <w:rPr>
          <w:rFonts w:hint="eastAsia" w:ascii="宋体" w:hAnsi="宋体" w:cs="宋体"/>
          <w:color w:val="auto"/>
          <w:szCs w:val="24"/>
          <w:highlight w:val="none"/>
          <w:lang w:eastAsia="zh-CN"/>
        </w:rPr>
        <w:t>SXZY-AK2026028</w:t>
      </w:r>
    </w:p>
    <w:p w14:paraId="6D66730A">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二</w:t>
      </w:r>
      <w:r>
        <w:rPr>
          <w:rFonts w:hint="eastAsia" w:ascii="宋体" w:hAnsi="宋体" w:cs="宋体"/>
          <w:color w:val="auto"/>
          <w:szCs w:val="24"/>
          <w:highlight w:val="none"/>
          <w:lang w:eastAsia="zh-CN"/>
        </w:rPr>
        <w:t>）</w:t>
      </w:r>
      <w:r>
        <w:rPr>
          <w:rFonts w:hint="eastAsia" w:ascii="宋体" w:hAnsi="宋体" w:cs="宋体"/>
          <w:color w:val="auto"/>
          <w:szCs w:val="24"/>
          <w:highlight w:val="none"/>
        </w:rPr>
        <w:t>项目名称：</w:t>
      </w:r>
      <w:r>
        <w:rPr>
          <w:rFonts w:hint="eastAsia" w:ascii="宋体" w:hAnsi="宋体" w:cs="宋体"/>
          <w:color w:val="auto"/>
          <w:szCs w:val="24"/>
          <w:highlight w:val="none"/>
          <w:lang w:eastAsia="zh-CN"/>
        </w:rPr>
        <w:t>2026年度安康中心城区公园广场及公共绿地时令花卉采购项目（二期）</w:t>
      </w:r>
      <w:r>
        <w:rPr>
          <w:rFonts w:hint="eastAsia" w:ascii="宋体" w:hAnsi="宋体" w:cs="宋体"/>
          <w:color w:val="auto"/>
          <w:szCs w:val="24"/>
          <w:highlight w:val="none"/>
          <w:lang w:val="en-US" w:eastAsia="zh-CN"/>
        </w:rPr>
        <w:t xml:space="preserve"> </w:t>
      </w:r>
    </w:p>
    <w:p w14:paraId="26F3338E">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zCs w:val="24"/>
          <w:highlight w:val="none"/>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三</w:t>
      </w:r>
      <w:r>
        <w:rPr>
          <w:rFonts w:hint="eastAsia" w:ascii="宋体" w:hAnsi="宋体" w:cs="宋体"/>
          <w:color w:val="auto"/>
          <w:szCs w:val="24"/>
          <w:highlight w:val="none"/>
          <w:lang w:eastAsia="zh-CN"/>
        </w:rPr>
        <w:t>）</w:t>
      </w:r>
      <w:r>
        <w:rPr>
          <w:rFonts w:hint="eastAsia" w:ascii="宋体" w:hAnsi="宋体" w:cs="宋体"/>
          <w:color w:val="auto"/>
          <w:szCs w:val="24"/>
          <w:highlight w:val="none"/>
        </w:rPr>
        <w:t>预算金额：</w:t>
      </w:r>
      <w:r>
        <w:rPr>
          <w:rFonts w:hint="eastAsia" w:ascii="宋体" w:hAnsi="宋体" w:cs="宋体"/>
          <w:b/>
          <w:bCs/>
          <w:color w:val="auto"/>
          <w:szCs w:val="24"/>
          <w:highlight w:val="none"/>
          <w:lang w:eastAsia="zh-CN"/>
        </w:rPr>
        <w:t>4219285元</w:t>
      </w:r>
    </w:p>
    <w:p w14:paraId="3A4670F2">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default" w:ascii="宋体" w:hAnsi="宋体" w:cs="宋体"/>
          <w:color w:val="auto"/>
          <w:szCs w:val="24"/>
          <w:highlight w:val="none"/>
          <w:lang w:val="en-US" w:eastAsia="zh-CN"/>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四</w:t>
      </w:r>
      <w:r>
        <w:rPr>
          <w:rFonts w:hint="eastAsia" w:ascii="宋体" w:hAnsi="宋体" w:cs="宋体"/>
          <w:color w:val="auto"/>
          <w:szCs w:val="24"/>
          <w:highlight w:val="none"/>
          <w:lang w:eastAsia="zh-CN"/>
        </w:rPr>
        <w:t>）</w:t>
      </w:r>
      <w:r>
        <w:rPr>
          <w:rFonts w:hint="eastAsia" w:ascii="宋体" w:hAnsi="宋体" w:cs="宋体"/>
          <w:color w:val="auto"/>
          <w:szCs w:val="24"/>
          <w:highlight w:val="none"/>
        </w:rPr>
        <w:t>采购</w:t>
      </w:r>
      <w:r>
        <w:rPr>
          <w:rFonts w:hint="eastAsia" w:ascii="宋体" w:hAnsi="宋体" w:cs="宋体"/>
          <w:color w:val="auto"/>
          <w:szCs w:val="24"/>
          <w:highlight w:val="none"/>
          <w:lang w:val="en-US" w:eastAsia="zh-CN"/>
        </w:rPr>
        <w:t>需求：2026年度安康中心城区公园广场及公共绿地时令花卉采购项目（二期），分为两个标段实施:</w:t>
      </w:r>
    </w:p>
    <w:p w14:paraId="5DA8D820">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cs="宋体"/>
          <w:color w:val="auto"/>
          <w:szCs w:val="24"/>
          <w:highlight w:val="none"/>
          <w:lang w:val="en-US" w:eastAsia="zh-CN"/>
        </w:rPr>
      </w:pPr>
      <w:r>
        <w:rPr>
          <w:rFonts w:hint="eastAsia" w:ascii="宋体" w:hAnsi="宋体" w:cs="宋体"/>
          <w:b/>
          <w:bCs/>
          <w:color w:val="auto"/>
          <w:sz w:val="24"/>
          <w:szCs w:val="24"/>
          <w:highlight w:val="none"/>
          <w:lang w:eastAsia="zh-CN"/>
        </w:rPr>
        <w:t>2026年度安康中心城区公园广场及公共绿地时令花卉采购项目（二期）一标段</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安康中心城区一湖两岸、公园广场、道路隔离带等重要节点栽植摆放孔雀草、一串红、鸡冠花等花卉，并配套布设绿雕，采购预算约1224956元。</w:t>
      </w:r>
    </w:p>
    <w:p w14:paraId="12C076FE">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cs="宋体"/>
          <w:color w:val="auto"/>
          <w:szCs w:val="24"/>
          <w:highlight w:val="none"/>
          <w:lang w:val="en-US" w:eastAsia="zh-CN"/>
        </w:rPr>
      </w:pPr>
      <w:r>
        <w:rPr>
          <w:rFonts w:hint="eastAsia" w:ascii="宋体" w:hAnsi="宋体" w:cs="宋体"/>
          <w:b/>
          <w:bCs/>
          <w:color w:val="auto"/>
          <w:sz w:val="24"/>
          <w:szCs w:val="24"/>
          <w:highlight w:val="none"/>
          <w:lang w:val="en-US" w:eastAsia="zh-CN"/>
        </w:rPr>
        <w:t>2026年度安康中心城区公园广场及公共绿地时令花卉采购项目（二期）二标段</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中心城区公共绿地、人行天桥以及主要道路重点区域栽植摆放孔雀草、一串红、鸡冠花等时令花卉，并配套布设绿雕，采购预算约2994329元</w:t>
      </w:r>
      <w:r>
        <w:rPr>
          <w:rFonts w:hint="eastAsia" w:ascii="宋体" w:hAnsi="宋体" w:eastAsia="宋体" w:cs="宋体"/>
          <w:color w:val="auto"/>
          <w:sz w:val="24"/>
          <w:szCs w:val="24"/>
          <w:highlight w:val="none"/>
          <w:lang w:val="en-US" w:eastAsia="zh-CN"/>
        </w:rPr>
        <w:t>。</w:t>
      </w:r>
    </w:p>
    <w:p w14:paraId="49B7E59D">
      <w:pPr>
        <w:pStyle w:val="23"/>
        <w:keepNext w:val="0"/>
        <w:keepLines w:val="0"/>
        <w:pageBreakBefore w:val="0"/>
        <w:widowControl/>
        <w:numPr>
          <w:ilvl w:val="0"/>
          <w:numId w:val="0"/>
        </w:numPr>
        <w:kinsoku/>
        <w:wordWrap/>
        <w:overflowPunct/>
        <w:topLinePunct w:val="0"/>
        <w:autoSpaceDE/>
        <w:autoSpaceDN/>
        <w:bidi w:val="0"/>
        <w:spacing w:before="0" w:beforeAutospacing="0" w:after="0" w:afterAutospacing="0" w:line="336" w:lineRule="auto"/>
        <w:ind w:firstLine="420" w:firstLineChars="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五</w:t>
      </w:r>
      <w:r>
        <w:rPr>
          <w:rFonts w:hint="eastAsia" w:ascii="宋体" w:hAnsi="宋体" w:eastAsia="宋体" w:cs="宋体"/>
          <w:color w:val="auto"/>
          <w:kern w:val="0"/>
          <w:sz w:val="24"/>
          <w:szCs w:val="24"/>
          <w:highlight w:val="none"/>
          <w:lang w:val="en-US" w:eastAsia="zh-CN" w:bidi="ar-SA"/>
        </w:rPr>
        <w:t>）交货期：</w:t>
      </w:r>
      <w:r>
        <w:rPr>
          <w:rFonts w:hint="eastAsia" w:ascii="宋体" w:hAnsi="宋体" w:cs="宋体"/>
          <w:color w:val="auto"/>
          <w:kern w:val="0"/>
          <w:sz w:val="24"/>
          <w:szCs w:val="24"/>
          <w:highlight w:val="none"/>
          <w:lang w:val="en-US" w:eastAsia="zh-CN" w:bidi="ar-SA"/>
        </w:rPr>
        <w:t>具体交货时间以采购人指定时间为准</w:t>
      </w:r>
      <w:r>
        <w:rPr>
          <w:rFonts w:hint="eastAsia" w:ascii="宋体" w:hAnsi="宋体" w:eastAsia="宋体" w:cs="宋体"/>
          <w:color w:val="auto"/>
          <w:kern w:val="0"/>
          <w:sz w:val="24"/>
          <w:szCs w:val="24"/>
          <w:highlight w:val="none"/>
          <w:lang w:val="en-US" w:eastAsia="zh-CN" w:bidi="ar-SA"/>
        </w:rPr>
        <w:t>。</w:t>
      </w:r>
    </w:p>
    <w:p w14:paraId="37D49168">
      <w:pPr>
        <w:pStyle w:val="23"/>
        <w:keepNext w:val="0"/>
        <w:keepLines w:val="0"/>
        <w:pageBreakBefore w:val="0"/>
        <w:widowControl/>
        <w:numPr>
          <w:ilvl w:val="0"/>
          <w:numId w:val="0"/>
        </w:numPr>
        <w:kinsoku/>
        <w:wordWrap/>
        <w:overflowPunct/>
        <w:topLinePunct w:val="0"/>
        <w:autoSpaceDE/>
        <w:autoSpaceDN/>
        <w:bidi w:val="0"/>
        <w:spacing w:before="0" w:beforeAutospacing="0" w:after="0" w:afterAutospacing="0" w:line="336" w:lineRule="auto"/>
        <w:ind w:firstLine="420" w:firstLineChars="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六</w:t>
      </w:r>
      <w:r>
        <w:rPr>
          <w:rFonts w:hint="eastAsia" w:ascii="宋体" w:hAnsi="宋体" w:eastAsia="宋体" w:cs="宋体"/>
          <w:color w:val="auto"/>
          <w:kern w:val="0"/>
          <w:sz w:val="24"/>
          <w:szCs w:val="24"/>
          <w:highlight w:val="none"/>
          <w:lang w:val="en-US" w:eastAsia="zh-CN" w:bidi="ar-SA"/>
        </w:rPr>
        <w:t>）质量管护期：</w:t>
      </w:r>
      <w:r>
        <w:rPr>
          <w:rFonts w:hint="eastAsia" w:ascii="宋体" w:hAnsi="宋体" w:cs="宋体"/>
          <w:color w:val="auto"/>
          <w:kern w:val="0"/>
          <w:sz w:val="24"/>
          <w:szCs w:val="24"/>
          <w:highlight w:val="none"/>
          <w:lang w:val="en-US" w:eastAsia="zh-CN" w:bidi="ar-SA"/>
        </w:rPr>
        <w:t>自花卉栽植、摆放完成并通过验收之日起至花期自然败落清理回收完成之日结束</w:t>
      </w:r>
      <w:r>
        <w:rPr>
          <w:rFonts w:hint="eastAsia" w:ascii="宋体" w:hAnsi="宋体" w:eastAsia="宋体" w:cs="宋体"/>
          <w:color w:val="auto"/>
          <w:kern w:val="0"/>
          <w:sz w:val="24"/>
          <w:szCs w:val="24"/>
          <w:highlight w:val="none"/>
          <w:lang w:val="en-US" w:eastAsia="zh-CN" w:bidi="ar-SA"/>
        </w:rPr>
        <w:t>。</w:t>
      </w:r>
    </w:p>
    <w:p w14:paraId="2A204A5C">
      <w:pPr>
        <w:pStyle w:val="64"/>
        <w:keepNext w:val="0"/>
        <w:keepLines w:val="0"/>
        <w:pageBreakBefore w:val="0"/>
        <w:widowControl/>
        <w:kinsoku/>
        <w:wordWrap/>
        <w:overflowPunct/>
        <w:topLinePunct w:val="0"/>
        <w:autoSpaceDE/>
        <w:autoSpaceDN/>
        <w:bidi w:val="0"/>
        <w:spacing w:before="0" w:line="336" w:lineRule="auto"/>
        <w:ind w:firstLine="482"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二、 供应商的资格要求 </w:t>
      </w:r>
    </w:p>
    <w:p w14:paraId="74080538">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1.满足《中华人民共和国政府采购法》第二十二条规定</w:t>
      </w:r>
      <w:r>
        <w:rPr>
          <w:rFonts w:hint="eastAsia" w:ascii="宋体" w:hAnsi="宋体" w:eastAsia="宋体" w:cs="宋体"/>
          <w:color w:val="auto"/>
          <w:sz w:val="24"/>
          <w:highlight w:val="none"/>
          <w:lang w:eastAsia="zh-CN"/>
        </w:rPr>
        <w:t>；</w:t>
      </w:r>
    </w:p>
    <w:p w14:paraId="0A1BCB50">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p>
    <w:p w14:paraId="4AEB62E8">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napToGrid/>
          <w:color w:val="auto"/>
          <w:kern w:val="2"/>
          <w:sz w:val="24"/>
          <w:szCs w:val="22"/>
          <w:highlight w:val="none"/>
          <w:lang w:val="en-US" w:eastAsia="en-US" w:bidi="ar-SA"/>
        </w:rPr>
      </w:pPr>
      <w:r>
        <w:rPr>
          <w:rFonts w:hint="eastAsia" w:ascii="宋体" w:hAnsi="宋体" w:eastAsia="宋体" w:cs="宋体"/>
          <w:color w:val="auto"/>
          <w:sz w:val="24"/>
          <w:highlight w:val="none"/>
          <w:lang w:val="en-US" w:eastAsia="en-US"/>
        </w:rPr>
        <w:t>(1)</w:t>
      </w:r>
      <w:r>
        <w:rPr>
          <w:rFonts w:hint="eastAsia" w:ascii="宋体" w:hAnsi="宋体" w:eastAsia="宋体" w:cs="宋体"/>
          <w:color w:val="auto"/>
          <w:sz w:val="24"/>
          <w:highlight w:val="none"/>
        </w:rPr>
        <w:t>陕西省财政厅关于印发《陕西省中小企业政府采购信用融资办法》（陕财办采〔2018〕23 号）</w:t>
      </w:r>
      <w:r>
        <w:rPr>
          <w:rFonts w:hint="eastAsia" w:ascii="宋体" w:hAnsi="宋体" w:eastAsia="宋体" w:cs="宋体"/>
          <w:color w:val="auto"/>
          <w:sz w:val="24"/>
          <w:highlight w:val="none"/>
          <w:lang w:eastAsia="zh-CN"/>
        </w:rPr>
        <w:t>；</w:t>
      </w:r>
    </w:p>
    <w:p w14:paraId="2429AF4F">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(2)《关于印发环境标志产品政府采购品目清单的通知》(财库〔2019〕18号)</w:t>
      </w:r>
      <w:r>
        <w:rPr>
          <w:rFonts w:hint="eastAsia" w:ascii="宋体" w:hAnsi="宋体" w:eastAsia="宋体" w:cs="宋体"/>
          <w:color w:val="auto"/>
          <w:sz w:val="24"/>
          <w:highlight w:val="none"/>
          <w:lang w:eastAsia="zh-CN"/>
        </w:rPr>
        <w:t>；</w:t>
      </w:r>
    </w:p>
    <w:p w14:paraId="724177E5">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(3)《关于印发节能产品政府采购品目清单的通知》(财库〔2019〕19号)</w:t>
      </w:r>
      <w:r>
        <w:rPr>
          <w:rFonts w:hint="eastAsia" w:ascii="宋体" w:hAnsi="宋体" w:eastAsia="宋体" w:cs="宋体"/>
          <w:color w:val="auto"/>
          <w:sz w:val="24"/>
          <w:highlight w:val="none"/>
          <w:lang w:eastAsia="zh-CN"/>
        </w:rPr>
        <w:t>；</w:t>
      </w:r>
    </w:p>
    <w:p w14:paraId="6A686D59">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(4)《财政部国务院扶贫办关于运用政府采购政策支持脱贫攻坚的通知》（财库〔2019〕27 号）</w:t>
      </w:r>
      <w:r>
        <w:rPr>
          <w:rFonts w:hint="eastAsia" w:ascii="宋体" w:hAnsi="宋体" w:eastAsia="宋体" w:cs="宋体"/>
          <w:color w:val="auto"/>
          <w:sz w:val="24"/>
          <w:highlight w:val="none"/>
          <w:lang w:eastAsia="zh-CN"/>
        </w:rPr>
        <w:t>；</w:t>
      </w:r>
    </w:p>
    <w:p w14:paraId="41588B4A">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)《财政部国家发展改革委关于印发〈节能产品政府采购实施意见〉的通知》(财库〔2004〕185号)；</w:t>
      </w:r>
    </w:p>
    <w:p w14:paraId="77E45899">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(6)《财政部环保总局关于环境标志产品政府采购实施的意见》(财库〔2006〕90号)；</w:t>
      </w:r>
    </w:p>
    <w:p w14:paraId="1C7AFC65">
      <w:pPr>
        <w:keepNext w:val="0"/>
        <w:keepLines/>
        <w:pageBreakBefore w:val="0"/>
        <w:widowControl w:val="0"/>
        <w:kinsoku/>
        <w:wordWrap/>
        <w:overflowPunct/>
        <w:topLinePunct w:val="0"/>
        <w:autoSpaceDE/>
        <w:autoSpaceDN/>
        <w:bidi w:val="0"/>
        <w:adjustRightInd w:val="0"/>
        <w:snapToGrid w:val="0"/>
        <w:spacing w:line="336" w:lineRule="auto"/>
        <w:ind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(7)《国务院办公厅关于建立政府强制采购节能产品制度的通知》(国办发〔2007〕51号)</w:t>
      </w:r>
      <w:r>
        <w:rPr>
          <w:rFonts w:hint="eastAsia" w:ascii="宋体" w:hAnsi="宋体" w:eastAsia="宋体" w:cs="宋体"/>
          <w:color w:val="auto"/>
          <w:sz w:val="24"/>
          <w:highlight w:val="none"/>
          <w:lang w:eastAsia="zh-CN"/>
        </w:rPr>
        <w:t>；</w:t>
      </w:r>
    </w:p>
    <w:p w14:paraId="5A82AD53">
      <w:pPr>
        <w:keepNext w:val="0"/>
        <w:keepLines w:val="0"/>
        <w:pageBreakBefore w:val="0"/>
        <w:kinsoku/>
        <w:wordWrap/>
        <w:overflowPunct/>
        <w:topLinePunct w:val="0"/>
        <w:autoSpaceDE/>
        <w:autoSpaceDN/>
        <w:bidi w:val="0"/>
        <w:adjustRightInd/>
        <w:snapToGrid/>
        <w:spacing w:line="336" w:lineRule="auto"/>
        <w:ind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)《财政部司法部关于政府采购支持监狱企业发展有关问题的通知》(财库〔2014〕68号)；</w:t>
      </w:r>
    </w:p>
    <w:p w14:paraId="4395A255">
      <w:pPr>
        <w:keepNext w:val="0"/>
        <w:keepLines w:val="0"/>
        <w:pageBreakBefore w:val="0"/>
        <w:kinsoku/>
        <w:wordWrap/>
        <w:overflowPunct/>
        <w:topLinePunct w:val="0"/>
        <w:autoSpaceDE/>
        <w:autoSpaceDN/>
        <w:bidi w:val="0"/>
        <w:adjustRightInd/>
        <w:snapToGrid/>
        <w:spacing w:line="336" w:lineRule="auto"/>
        <w:ind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)《财政部民政部中国残疾人联合会关于促进残疾人就业政府采购政策的通知》(财库〔2017〕141号)；</w:t>
      </w:r>
    </w:p>
    <w:p w14:paraId="4E63FFE7">
      <w:pPr>
        <w:keepNext w:val="0"/>
        <w:keepLines w:val="0"/>
        <w:pageBreakBefore w:val="0"/>
        <w:kinsoku/>
        <w:wordWrap/>
        <w:overflowPunct/>
        <w:topLinePunct w:val="0"/>
        <w:autoSpaceDE/>
        <w:autoSpaceDN/>
        <w:bidi w:val="0"/>
        <w:adjustRightInd/>
        <w:snapToGrid/>
        <w:spacing w:line="336" w:lineRule="auto"/>
        <w:ind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(10)《财政部发展改革委生态环境部市场监管总局关于调整优化节能产品、环境标志产品政府采购执行机制的通知》(财库〔2019〕9号)；</w:t>
      </w:r>
    </w:p>
    <w:p w14:paraId="19EBDA3A">
      <w:pPr>
        <w:keepNext w:val="0"/>
        <w:keepLines w:val="0"/>
        <w:pageBreakBefore w:val="0"/>
        <w:kinsoku/>
        <w:wordWrap/>
        <w:overflowPunct/>
        <w:topLinePunct w:val="0"/>
        <w:autoSpaceDE/>
        <w:autoSpaceDN/>
        <w:bidi w:val="0"/>
        <w:adjustRightInd/>
        <w:snapToGrid/>
        <w:spacing w:line="336" w:lineRule="auto"/>
        <w:ind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)《政府采购促进</w:t>
      </w:r>
      <w:r>
        <w:rPr>
          <w:rFonts w:hint="eastAsia" w:ascii="宋体" w:hAnsi="宋体" w:eastAsia="宋体" w:cs="宋体"/>
          <w:color w:val="auto"/>
          <w:sz w:val="24"/>
          <w:highlight w:val="none"/>
          <w:lang w:val="en-US" w:eastAsia="zh-CN"/>
        </w:rPr>
        <w:t>中小</w:t>
      </w:r>
      <w:r>
        <w:rPr>
          <w:rFonts w:hint="eastAsia" w:ascii="宋体" w:hAnsi="宋体" w:eastAsia="宋体" w:cs="宋体"/>
          <w:color w:val="auto"/>
          <w:sz w:val="24"/>
          <w:highlight w:val="none"/>
        </w:rPr>
        <w:t>企业发展管理办法》(财库〔2020〕46号)；</w:t>
      </w:r>
    </w:p>
    <w:p w14:paraId="7D7D8FA5">
      <w:pPr>
        <w:keepNext w:val="0"/>
        <w:keepLines w:val="0"/>
        <w:pageBreakBefore w:val="0"/>
        <w:kinsoku/>
        <w:wordWrap/>
        <w:overflowPunct/>
        <w:topLinePunct w:val="0"/>
        <w:autoSpaceDE/>
        <w:autoSpaceDN/>
        <w:bidi w:val="0"/>
        <w:adjustRightInd/>
        <w:snapToGrid/>
        <w:spacing w:line="336" w:lineRule="auto"/>
        <w:ind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)《财政部农业农村部国家乡村振兴局关于运用政府采购政策支持乡村产业振兴的通知》财库〔2021〕19号</w:t>
      </w:r>
      <w:r>
        <w:rPr>
          <w:rFonts w:hint="eastAsia" w:ascii="宋体" w:hAnsi="宋体" w:eastAsia="宋体" w:cs="宋体"/>
          <w:color w:val="auto"/>
          <w:sz w:val="24"/>
          <w:highlight w:val="none"/>
          <w:lang w:eastAsia="zh-CN"/>
        </w:rPr>
        <w:t>；</w:t>
      </w:r>
    </w:p>
    <w:p w14:paraId="4094DB34">
      <w:pPr>
        <w:keepNext w:val="0"/>
        <w:keepLines w:val="0"/>
        <w:pageBreakBefore w:val="0"/>
        <w:kinsoku/>
        <w:wordWrap/>
        <w:overflowPunct/>
        <w:topLinePunct w:val="0"/>
        <w:autoSpaceDE/>
        <w:autoSpaceDN/>
        <w:bidi w:val="0"/>
        <w:adjustRightInd/>
        <w:snapToGrid/>
        <w:spacing w:line="336" w:lineRule="auto"/>
        <w:ind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)财政部关于进一步加大政府采购支持中小企业力度的通知(财库〔2022〕19号)；</w:t>
      </w:r>
    </w:p>
    <w:p w14:paraId="2647116D">
      <w:pPr>
        <w:keepNext w:val="0"/>
        <w:keepLines w:val="0"/>
        <w:pageBreakBefore w:val="0"/>
        <w:kinsoku/>
        <w:wordWrap/>
        <w:overflowPunct/>
        <w:topLinePunct w:val="0"/>
        <w:autoSpaceDE/>
        <w:autoSpaceDN/>
        <w:bidi w:val="0"/>
        <w:adjustRightInd/>
        <w:snapToGrid/>
        <w:spacing w:line="336" w:lineRule="auto"/>
        <w:ind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)其他需要落实的政府采购政策</w:t>
      </w:r>
      <w:r>
        <w:rPr>
          <w:rFonts w:hint="eastAsia" w:ascii="宋体" w:hAnsi="宋体" w:eastAsia="宋体" w:cs="宋体"/>
          <w:color w:val="auto"/>
          <w:sz w:val="24"/>
          <w:highlight w:val="none"/>
          <w:lang w:eastAsia="zh-CN"/>
        </w:rPr>
        <w:t>，</w:t>
      </w:r>
      <w:r>
        <w:rPr>
          <w:rFonts w:hint="eastAsia" w:ascii="宋体" w:hAnsi="宋体" w:eastAsia="宋体" w:cs="宋体"/>
          <w:color w:val="auto"/>
          <w:spacing w:val="0"/>
          <w:sz w:val="24"/>
          <w:szCs w:val="22"/>
          <w:highlight w:val="none"/>
        </w:rPr>
        <w:t>如有最新颁布的政府采购政策，按最新的文件执行</w:t>
      </w:r>
      <w:r>
        <w:rPr>
          <w:rFonts w:hint="eastAsia" w:ascii="宋体" w:hAnsi="宋体" w:eastAsia="宋体" w:cs="宋体"/>
          <w:color w:val="auto"/>
          <w:spacing w:val="0"/>
          <w:sz w:val="24"/>
          <w:szCs w:val="22"/>
          <w:highlight w:val="none"/>
          <w:lang w:eastAsia="zh-CN"/>
        </w:rPr>
        <w:t>。</w:t>
      </w:r>
    </w:p>
    <w:p w14:paraId="4759EB6F">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3、本项目的特定资格要求：</w:t>
      </w:r>
    </w:p>
    <w:p w14:paraId="4EC148C3">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752978C8">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（2）提供法定代表人授权书（附法定代表人身份证复印件）及被授权代表身份证复印件（法定代表人直接参加只须提供法定代表人身份证复印件）；</w:t>
      </w:r>
    </w:p>
    <w:p w14:paraId="3A001E12">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（3）税收缴纳证明:自</w:t>
      </w:r>
      <w:r>
        <w:rPr>
          <w:rFonts w:hint="eastAsia" w:ascii="宋体" w:hAnsi="宋体" w:cs="宋体"/>
          <w:color w:val="auto"/>
          <w:sz w:val="24"/>
          <w:highlight w:val="none"/>
          <w:lang w:eastAsia="zh-CN"/>
        </w:rPr>
        <w:t>2025年11月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个月的纳税证明或完税证明(提供增值税、企业所得税至少一种),纳税证明或完税证明上应有代收机构或税务机关的公章或业务专用章。依法免税的供应商应提供相关文件证明；</w:t>
      </w:r>
    </w:p>
    <w:p w14:paraId="5C35039B">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（4）社会保障资金缴纳证明:自</w:t>
      </w:r>
      <w:r>
        <w:rPr>
          <w:rFonts w:hint="eastAsia" w:ascii="宋体" w:hAnsi="宋体" w:cs="宋体"/>
          <w:color w:val="auto"/>
          <w:sz w:val="24"/>
          <w:highlight w:val="none"/>
          <w:lang w:eastAsia="zh-CN"/>
        </w:rPr>
        <w:t>2025年11月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已缴存的至少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个月的社会保障资金缴存单据或社保机构开具的社会保险参保缴费情况证明，单据或证明上应有社保机构或代收机构的印章。依法不需要缴纳社会保障资金的供应商应提供相关文件证明；</w:t>
      </w:r>
    </w:p>
    <w:p w14:paraId="1E8D241C">
      <w:pPr>
        <w:keepNext w:val="0"/>
        <w:keepLines w:val="0"/>
        <w:pageBreakBefore w:val="0"/>
        <w:kinsoku/>
        <w:wordWrap/>
        <w:overflowPunct/>
        <w:topLinePunct w:val="0"/>
        <w:autoSpaceDE/>
        <w:autoSpaceDN/>
        <w:bidi w:val="0"/>
        <w:spacing w:line="336"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（5）</w:t>
      </w:r>
      <w:r>
        <w:rPr>
          <w:rFonts w:hint="eastAsia" w:ascii="宋体" w:hAnsi="宋体" w:cs="宋体"/>
          <w:color w:val="auto"/>
          <w:sz w:val="24"/>
          <w:highlight w:val="none"/>
          <w:lang w:eastAsia="zh-CN"/>
        </w:rPr>
        <w:t>财务状况报告:提供2023年至2025年任意一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或2025年度任意连续3个月的财务报表(至少应包含资产负债表、利润表和现金流量表)；</w:t>
      </w:r>
    </w:p>
    <w:p w14:paraId="26CCE1DA">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（6）参加政府采购活动前3年内（</w:t>
      </w:r>
      <w:r>
        <w:rPr>
          <w:rFonts w:hint="eastAsia" w:ascii="宋体" w:hAnsi="宋体" w:cs="宋体"/>
          <w:color w:val="auto"/>
          <w:sz w:val="24"/>
          <w:highlight w:val="none"/>
          <w:lang w:eastAsia="zh-CN"/>
        </w:rPr>
        <w:t>2023年1月至今</w:t>
      </w:r>
      <w:r>
        <w:rPr>
          <w:rFonts w:hint="eastAsia" w:ascii="宋体" w:hAnsi="宋体" w:cs="宋体"/>
          <w:color w:val="auto"/>
          <w:sz w:val="24"/>
          <w:highlight w:val="none"/>
        </w:rPr>
        <w:t>）在经营活动中没有重大违法记录的书面声明（供应商自行出具声明书并加盖公章）；</w:t>
      </w:r>
    </w:p>
    <w:p w14:paraId="00790879">
      <w:pPr>
        <w:keepNext w:val="0"/>
        <w:keepLines w:val="0"/>
        <w:pageBreakBefore w:val="0"/>
        <w:kinsoku/>
        <w:wordWrap/>
        <w:overflowPunct/>
        <w:topLinePunct w:val="0"/>
        <w:autoSpaceDE/>
        <w:autoSpaceDN/>
        <w:bidi w:val="0"/>
        <w:spacing w:line="336" w:lineRule="auto"/>
        <w:ind w:firstLine="480" w:firstLineChars="200"/>
        <w:jc w:val="left"/>
        <w:textAlignment w:val="auto"/>
        <w:rPr>
          <w:rFonts w:hint="eastAsia" w:ascii="宋体" w:hAnsi="宋体" w:eastAsia="宋体" w:cs="宋体"/>
          <w:b/>
          <w:bCs/>
          <w:color w:val="auto"/>
          <w:kern w:val="0"/>
          <w:sz w:val="24"/>
          <w:szCs w:val="24"/>
          <w:highlight w:val="none"/>
          <w:lang w:eastAsia="zh-CN"/>
        </w:rPr>
      </w:pPr>
      <w:r>
        <w:rPr>
          <w:rFonts w:hint="eastAsia" w:ascii="宋体" w:hAnsi="宋体" w:cs="宋体"/>
          <w:color w:val="auto"/>
          <w:sz w:val="24"/>
          <w:highlight w:val="none"/>
        </w:rPr>
        <w:t>（7）</w:t>
      </w:r>
      <w:r>
        <w:rPr>
          <w:rFonts w:hint="eastAsia" w:ascii="宋体" w:hAnsi="宋体" w:cs="宋体"/>
          <w:b w:val="0"/>
          <w:bCs w:val="0"/>
          <w:color w:val="auto"/>
          <w:sz w:val="24"/>
          <w:highlight w:val="none"/>
          <w:lang w:eastAsia="zh-CN"/>
        </w:rPr>
        <w:t>本项目</w:t>
      </w:r>
      <w:r>
        <w:rPr>
          <w:rFonts w:hint="eastAsia" w:ascii="宋体" w:hAnsi="宋体" w:cs="宋体"/>
          <w:b w:val="0"/>
          <w:bCs w:val="0"/>
          <w:color w:val="auto"/>
          <w:sz w:val="24"/>
          <w:highlight w:val="none"/>
          <w:lang w:val="en-US" w:eastAsia="zh-CN"/>
        </w:rPr>
        <w:t>专门</w:t>
      </w:r>
      <w:r>
        <w:rPr>
          <w:rFonts w:hint="eastAsia" w:ascii="宋体" w:hAnsi="宋体" w:cs="宋体"/>
          <w:b w:val="0"/>
          <w:bCs w:val="0"/>
          <w:color w:val="auto"/>
          <w:sz w:val="24"/>
          <w:highlight w:val="none"/>
          <w:lang w:eastAsia="zh-CN"/>
        </w:rPr>
        <w:t>面向中小企业</w:t>
      </w:r>
      <w:r>
        <w:rPr>
          <w:rFonts w:hint="eastAsia" w:ascii="宋体" w:hAnsi="宋体" w:cs="宋体"/>
          <w:b w:val="0"/>
          <w:bCs w:val="0"/>
          <w:color w:val="auto"/>
          <w:sz w:val="24"/>
          <w:highlight w:val="none"/>
          <w:lang w:val="en-US" w:eastAsia="zh-CN"/>
        </w:rPr>
        <w:t>采购</w:t>
      </w:r>
      <w:r>
        <w:rPr>
          <w:rFonts w:hint="eastAsia" w:ascii="宋体" w:hAnsi="宋体" w:cs="宋体"/>
          <w:b w:val="0"/>
          <w:bCs w:val="0"/>
          <w:color w:val="auto"/>
          <w:sz w:val="24"/>
          <w:highlight w:val="none"/>
          <w:lang w:eastAsia="zh-CN"/>
        </w:rPr>
        <w:t>，</w:t>
      </w:r>
      <w:r>
        <w:rPr>
          <w:rFonts w:hint="eastAsia" w:ascii="宋体" w:hAnsi="宋体" w:cs="宋体"/>
          <w:color w:val="auto"/>
          <w:sz w:val="24"/>
          <w:szCs w:val="24"/>
          <w:highlight w:val="none"/>
          <w:lang w:eastAsia="zh-CN"/>
        </w:rPr>
        <w:t>所属行</w:t>
      </w:r>
      <w:r>
        <w:rPr>
          <w:rFonts w:hint="eastAsia" w:ascii="宋体" w:hAnsi="宋体" w:cs="宋体"/>
          <w:b w:val="0"/>
          <w:bCs w:val="0"/>
          <w:color w:val="auto"/>
          <w:sz w:val="24"/>
          <w:szCs w:val="24"/>
          <w:highlight w:val="none"/>
          <w:lang w:eastAsia="zh-CN"/>
        </w:rPr>
        <w:t>业名称为</w:t>
      </w:r>
      <w:r>
        <w:rPr>
          <w:rFonts w:hint="eastAsia" w:ascii="宋体" w:hAnsi="宋体" w:cs="宋体"/>
          <w:b w:val="0"/>
          <w:bCs w:val="0"/>
          <w:color w:val="auto"/>
          <w:sz w:val="24"/>
          <w:highlight w:val="none"/>
          <w:lang w:eastAsia="zh-CN"/>
        </w:rPr>
        <w:t>农、林、牧、渔行业</w:t>
      </w:r>
      <w:r>
        <w:rPr>
          <w:rFonts w:hint="eastAsia" w:ascii="宋体" w:hAnsi="宋体" w:cs="宋体"/>
          <w:color w:val="auto"/>
          <w:sz w:val="24"/>
          <w:highlight w:val="none"/>
        </w:rPr>
        <w:t>。</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应为</w:t>
      </w:r>
      <w:r>
        <w:rPr>
          <w:rFonts w:hint="eastAsia" w:ascii="宋体" w:hAnsi="宋体" w:cs="宋体"/>
          <w:color w:val="auto"/>
          <w:spacing w:val="0"/>
          <w:sz w:val="24"/>
          <w:szCs w:val="22"/>
          <w:highlight w:val="none"/>
          <w:lang w:val="en-US" w:eastAsia="zh-CN"/>
        </w:rPr>
        <w:t>中型企业、</w:t>
      </w:r>
      <w:r>
        <w:rPr>
          <w:rFonts w:hint="eastAsia" w:ascii="宋体" w:hAnsi="宋体" w:eastAsia="宋体" w:cs="宋体"/>
          <w:color w:val="auto"/>
          <w:spacing w:val="0"/>
          <w:sz w:val="24"/>
          <w:szCs w:val="22"/>
          <w:highlight w:val="none"/>
        </w:rPr>
        <w:t>小型企业、微型企业或监狱企业或残疾人福利性单位。</w:t>
      </w:r>
      <w:r>
        <w:rPr>
          <w:rFonts w:hint="eastAsia" w:ascii="宋体" w:hAnsi="宋体" w:cs="宋体"/>
          <w:color w:val="auto"/>
          <w:spacing w:val="0"/>
          <w:sz w:val="24"/>
          <w:szCs w:val="22"/>
          <w:highlight w:val="none"/>
          <w:lang w:eastAsia="zh-CN"/>
        </w:rPr>
        <w:t>供应商</w:t>
      </w:r>
      <w:r>
        <w:rPr>
          <w:rFonts w:hint="eastAsia" w:ascii="宋体" w:hAnsi="宋体" w:cs="宋体"/>
          <w:color w:val="auto"/>
          <w:spacing w:val="0"/>
          <w:sz w:val="24"/>
          <w:szCs w:val="22"/>
          <w:highlight w:val="none"/>
          <w:lang w:val="en-US" w:eastAsia="zh-CN"/>
        </w:rPr>
        <w:t>须</w:t>
      </w:r>
      <w:r>
        <w:rPr>
          <w:rFonts w:hint="eastAsia" w:ascii="宋体" w:hAnsi="宋体" w:eastAsia="宋体" w:cs="宋体"/>
          <w:color w:val="auto"/>
          <w:spacing w:val="0"/>
          <w:sz w:val="24"/>
          <w:szCs w:val="22"/>
          <w:highlight w:val="none"/>
        </w:rPr>
        <w:t>提供中小企业声明函（注：若</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为残疾人福利性单 位的，提供《残疾人福利性单位声明函》；若</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为监狱企业的，提供由省级以上监</w:t>
      </w:r>
      <w:r>
        <w:rPr>
          <w:rFonts w:hint="eastAsia" w:ascii="宋体" w:hAnsi="宋体" w:eastAsia="宋体" w:cs="宋体"/>
          <w:color w:val="auto"/>
          <w:sz w:val="24"/>
          <w:szCs w:val="22"/>
          <w:highlight w:val="none"/>
        </w:rPr>
        <w:t>狱管理局、戒毒管理局（含新疆生产建设兵团）出具的属</w:t>
      </w:r>
      <w:r>
        <w:rPr>
          <w:rFonts w:hint="eastAsia" w:ascii="宋体" w:hAnsi="宋体" w:eastAsia="宋体" w:cs="宋体"/>
          <w:color w:val="auto"/>
          <w:spacing w:val="0"/>
          <w:sz w:val="24"/>
          <w:szCs w:val="22"/>
          <w:highlight w:val="none"/>
        </w:rPr>
        <w:t>于监狱企业的证明文件）</w:t>
      </w:r>
      <w:r>
        <w:rPr>
          <w:rFonts w:hint="eastAsia" w:ascii="宋体" w:hAnsi="宋体" w:cs="宋体"/>
          <w:color w:val="auto"/>
          <w:kern w:val="0"/>
          <w:sz w:val="24"/>
          <w:szCs w:val="24"/>
          <w:highlight w:val="none"/>
          <w:lang w:eastAsia="zh-CN"/>
        </w:rPr>
        <w:t>；</w:t>
      </w:r>
    </w:p>
    <w:p w14:paraId="2B300E26">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eastAsia="zh-CN"/>
        </w:rPr>
        <w:t>本项目不接受联合体投标</w:t>
      </w:r>
      <w:r>
        <w:rPr>
          <w:rFonts w:hint="eastAsia" w:ascii="宋体" w:hAnsi="宋体" w:cs="宋体"/>
          <w:color w:val="auto"/>
          <w:sz w:val="24"/>
          <w:highlight w:val="none"/>
        </w:rPr>
        <w:t>。</w:t>
      </w:r>
    </w:p>
    <w:p w14:paraId="506BEB74">
      <w:pPr>
        <w:pStyle w:val="64"/>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三、 招标文件的获取方式 </w:t>
      </w:r>
    </w:p>
    <w:p w14:paraId="4DC9F825">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zCs w:val="24"/>
          <w:highlight w:val="none"/>
        </w:rPr>
      </w:pPr>
      <w:r>
        <w:rPr>
          <w:rFonts w:hint="eastAsia" w:ascii="宋体" w:hAnsi="宋体" w:cs="宋体"/>
          <w:color w:val="auto"/>
          <w:szCs w:val="24"/>
          <w:highlight w:val="none"/>
        </w:rPr>
        <w:t>时间：</w:t>
      </w:r>
      <w:r>
        <w:rPr>
          <w:rFonts w:hint="eastAsia" w:ascii="宋体" w:hAnsi="宋体" w:cs="宋体"/>
          <w:b/>
          <w:bCs/>
          <w:color w:val="auto"/>
          <w:sz w:val="24"/>
          <w:highlight w:val="none"/>
          <w:lang w:eastAsia="zh-CN"/>
        </w:rPr>
        <w:t>2026年5月9日</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时</w:t>
      </w:r>
      <w:r>
        <w:rPr>
          <w:rFonts w:hint="eastAsia" w:ascii="宋体" w:hAnsi="宋体" w:eastAsia="宋体" w:cs="宋体"/>
          <w:b/>
          <w:bCs/>
          <w:color w:val="auto"/>
          <w:sz w:val="24"/>
          <w:highlight w:val="none"/>
        </w:rPr>
        <w:t>起</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至</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eastAsia="zh-CN"/>
        </w:rPr>
        <w:t>2026年5月14日</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18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00时</w:t>
      </w:r>
      <w:r>
        <w:rPr>
          <w:rFonts w:hint="eastAsia" w:ascii="宋体" w:hAnsi="宋体" w:eastAsia="宋体" w:cs="宋体"/>
          <w:b/>
          <w:bCs/>
          <w:color w:val="auto"/>
          <w:sz w:val="24"/>
          <w:highlight w:val="none"/>
        </w:rPr>
        <w:t>止</w:t>
      </w:r>
    </w:p>
    <w:p w14:paraId="3A57992A">
      <w:pPr>
        <w:keepNext w:val="0"/>
        <w:keepLines w:val="0"/>
        <w:pageBreakBefore w:val="0"/>
        <w:kinsoku/>
        <w:wordWrap/>
        <w:overflowPunct/>
        <w:topLinePunct w:val="0"/>
        <w:autoSpaceDE/>
        <w:autoSpaceDN/>
        <w:bidi w:val="0"/>
        <w:spacing w:line="336"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地点：全国公共资源交易中心平台 (陕西省.安康市)</w:t>
      </w:r>
    </w:p>
    <w:p w14:paraId="70DC2D91">
      <w:pPr>
        <w:keepNext w:val="0"/>
        <w:keepLines w:val="0"/>
        <w:pageBreakBefore w:val="0"/>
        <w:kinsoku/>
        <w:wordWrap/>
        <w:overflowPunct/>
        <w:topLinePunct w:val="0"/>
        <w:autoSpaceDE/>
        <w:autoSpaceDN/>
        <w:bidi w:val="0"/>
        <w:spacing w:line="336"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方式：在线获取</w:t>
      </w:r>
    </w:p>
    <w:p w14:paraId="239C36DF">
      <w:pPr>
        <w:keepNext w:val="0"/>
        <w:keepLines w:val="0"/>
        <w:pageBreakBefore w:val="0"/>
        <w:kinsoku/>
        <w:wordWrap/>
        <w:overflowPunct/>
        <w:topLinePunct w:val="0"/>
        <w:autoSpaceDE/>
        <w:autoSpaceDN/>
        <w:bidi w:val="0"/>
        <w:spacing w:line="336"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售价：0元 </w:t>
      </w:r>
    </w:p>
    <w:p w14:paraId="382AC766">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注：1.投标须知：使用捆绑省交易平台的CA锁登录电子交易平台，通过政府采购系统企业端进入，点击我要投标，完善相关投标信息。</w:t>
      </w:r>
    </w:p>
    <w:p w14:paraId="3DD6E9AD">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2.投标确认：供应商须在文件获取时间内下载扩展名为（*.SXSZF）的电子招标文件，未在招标文件获取时间内下载招标文件将导致投标被拒绝。</w:t>
      </w:r>
    </w:p>
    <w:p w14:paraId="665152D6">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3.未完成网上投标成功的或未在网站上下载招标文件的，无法完成后续流程。</w:t>
      </w:r>
    </w:p>
    <w:p w14:paraId="555787E8">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4.本项目采用电子化不见面投标的方式，相关操作流程详见全国公共资源交易平台（陕西省）网站[服务指南-下载专区]中的《陕西省公共资源交易中心政府采购项目投标指南》；</w:t>
      </w:r>
    </w:p>
    <w:p w14:paraId="4BA4CB4E">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5.各供应商须在</w:t>
      </w:r>
      <w:r>
        <w:rPr>
          <w:rFonts w:hint="eastAsia" w:ascii="宋体" w:hAnsi="宋体" w:cs="宋体"/>
          <w:color w:val="auto"/>
          <w:sz w:val="24"/>
          <w:highlight w:val="none"/>
          <w:lang w:val="en-US" w:eastAsia="zh-CN"/>
        </w:rPr>
        <w:t>文件获取时间</w:t>
      </w:r>
      <w:r>
        <w:rPr>
          <w:rFonts w:hint="eastAsia" w:ascii="宋体" w:hAnsi="宋体" w:cs="宋体"/>
          <w:color w:val="auto"/>
          <w:sz w:val="24"/>
          <w:highlight w:val="none"/>
        </w:rPr>
        <w:t>内下载招标文件，未下载文件的供应商将无法提交电子投标文件；</w:t>
      </w:r>
    </w:p>
    <w:p w14:paraId="6E36E0EF">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6.电子投标文件技术支持：4009280095、4009980000；</w:t>
      </w:r>
    </w:p>
    <w:p w14:paraId="44222207">
      <w:pPr>
        <w:keepNext w:val="0"/>
        <w:keepLines w:val="0"/>
        <w:pageBreakBefore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7.请各供应商获取招标文件后，按照陕西省财政厅《关于政府采购供应商注册登记有关事项的通知》要求，通过陕西省政府采购网注册登记加入陕西省政府采购供应商库。</w:t>
      </w:r>
    </w:p>
    <w:p w14:paraId="250E9968">
      <w:pPr>
        <w:pStyle w:val="64"/>
        <w:keepNext w:val="0"/>
        <w:keepLines w:val="0"/>
        <w:pageBreakBefore w:val="0"/>
        <w:widowControl/>
        <w:kinsoku/>
        <w:wordWrap/>
        <w:overflowPunct/>
        <w:topLinePunct w:val="0"/>
        <w:autoSpaceDE/>
        <w:autoSpaceDN/>
        <w:bidi w:val="0"/>
        <w:spacing w:before="0" w:line="336" w:lineRule="auto"/>
        <w:textAlignment w:val="auto"/>
        <w:rPr>
          <w:rFonts w:ascii="宋体" w:hAnsi="宋体" w:cs="宋体"/>
          <w:b w:val="0"/>
          <w:bCs w:val="0"/>
          <w:color w:val="auto"/>
          <w:kern w:val="2"/>
          <w:sz w:val="24"/>
          <w:highlight w:val="none"/>
        </w:rPr>
      </w:pPr>
      <w:r>
        <w:rPr>
          <w:rFonts w:hint="eastAsia" w:ascii="宋体" w:hAnsi="宋体" w:cs="宋体"/>
          <w:color w:val="auto"/>
          <w:sz w:val="24"/>
          <w:szCs w:val="24"/>
          <w:highlight w:val="none"/>
        </w:rPr>
        <w:t>四、</w:t>
      </w:r>
      <w:r>
        <w:rPr>
          <w:rFonts w:hint="eastAsia" w:ascii="宋体" w:hAnsi="宋体" w:cs="宋体"/>
          <w:color w:val="auto"/>
          <w:kern w:val="2"/>
          <w:sz w:val="24"/>
          <w:szCs w:val="24"/>
          <w:highlight w:val="none"/>
        </w:rPr>
        <w:t xml:space="preserve"> 投标文件递交</w:t>
      </w:r>
      <w:r>
        <w:rPr>
          <w:rFonts w:hint="eastAsia" w:ascii="宋体" w:hAnsi="宋体" w:cs="宋体"/>
          <w:b w:val="0"/>
          <w:bCs w:val="0"/>
          <w:color w:val="auto"/>
          <w:kern w:val="2"/>
          <w:sz w:val="24"/>
          <w:highlight w:val="none"/>
        </w:rPr>
        <w:t xml:space="preserve"> </w:t>
      </w:r>
    </w:p>
    <w:p w14:paraId="069D27B1">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b/>
          <w:bCs/>
          <w:color w:val="auto"/>
          <w:sz w:val="24"/>
          <w:highlight w:val="none"/>
          <w:lang w:eastAsia="zh-CN"/>
        </w:rPr>
        <w:t>2026年5月29日</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14时00分</w:t>
      </w:r>
      <w:r>
        <w:rPr>
          <w:rFonts w:hint="eastAsia" w:ascii="宋体" w:hAnsi="宋体" w:cs="宋体"/>
          <w:color w:val="auto"/>
          <w:sz w:val="24"/>
          <w:highlight w:val="none"/>
        </w:rPr>
        <w:t>（北京时间）</w:t>
      </w:r>
    </w:p>
    <w:p w14:paraId="0F3BC2D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地点：电子文件上传递交</w:t>
      </w:r>
    </w:p>
    <w:p w14:paraId="1A1A0905">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开启时间：</w:t>
      </w:r>
      <w:r>
        <w:rPr>
          <w:rFonts w:hint="eastAsia" w:ascii="宋体" w:hAnsi="宋体" w:cs="宋体"/>
          <w:b/>
          <w:bCs/>
          <w:color w:val="auto"/>
          <w:sz w:val="24"/>
          <w:highlight w:val="none"/>
          <w:lang w:eastAsia="zh-CN"/>
        </w:rPr>
        <w:t>2026年5月29日</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14时00分</w:t>
      </w:r>
      <w:r>
        <w:rPr>
          <w:rFonts w:hint="eastAsia" w:ascii="宋体" w:hAnsi="宋体" w:cs="宋体"/>
          <w:color w:val="auto"/>
          <w:sz w:val="24"/>
          <w:highlight w:val="none"/>
        </w:rPr>
        <w:t>（北京时间）</w:t>
      </w:r>
    </w:p>
    <w:p w14:paraId="7C73CC0E">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地点：安康市公共资源交易中心（不见面开标网址）http://219.145.206.209/BidOpeningHall/bidopeninghallaction/hall/login</w:t>
      </w:r>
    </w:p>
    <w:p w14:paraId="32E8AB6C">
      <w:pPr>
        <w:pStyle w:val="64"/>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五、公告期限</w:t>
      </w:r>
    </w:p>
    <w:p w14:paraId="5D2F7D5B">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zCs w:val="24"/>
          <w:highlight w:val="none"/>
        </w:rPr>
      </w:pPr>
      <w:r>
        <w:rPr>
          <w:rFonts w:hint="eastAsia" w:ascii="宋体" w:hAnsi="宋体" w:cs="宋体"/>
          <w:color w:val="auto"/>
          <w:szCs w:val="24"/>
          <w:highlight w:val="none"/>
        </w:rPr>
        <w:t>自本公告发布之日起5个工作日。</w:t>
      </w:r>
    </w:p>
    <w:p w14:paraId="123FAA89">
      <w:pPr>
        <w:pStyle w:val="64"/>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六、其他补充事宜</w:t>
      </w:r>
    </w:p>
    <w:p w14:paraId="7A065B50">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pacing w:val="-6"/>
          <w:szCs w:val="24"/>
          <w:highlight w:val="none"/>
        </w:rPr>
      </w:pPr>
      <w:r>
        <w:rPr>
          <w:rFonts w:hint="eastAsia" w:ascii="宋体" w:hAnsi="宋体" w:cs="宋体"/>
          <w:color w:val="auto"/>
          <w:szCs w:val="24"/>
          <w:highlight w:val="none"/>
        </w:rPr>
        <w:t>本次开标采用“不见面开标”方式（本项目为线上不见面开标，请于</w:t>
      </w:r>
      <w:r>
        <w:rPr>
          <w:rFonts w:hint="eastAsia" w:ascii="宋体" w:hAnsi="宋体" w:cs="宋体"/>
          <w:b/>
          <w:bCs/>
          <w:color w:val="auto"/>
          <w:szCs w:val="24"/>
          <w:highlight w:val="none"/>
          <w:lang w:eastAsia="zh-CN"/>
        </w:rPr>
        <w:t>2026年5月29日</w:t>
      </w:r>
      <w:r>
        <w:rPr>
          <w:rFonts w:hint="eastAsia" w:ascii="宋体" w:hAnsi="宋体" w:cs="宋体"/>
          <w:b/>
          <w:bCs/>
          <w:color w:val="auto"/>
          <w:szCs w:val="24"/>
          <w:highlight w:val="none"/>
        </w:rPr>
        <w:t xml:space="preserve">  </w:t>
      </w:r>
      <w:r>
        <w:rPr>
          <w:rFonts w:hint="eastAsia" w:ascii="宋体" w:hAnsi="宋体" w:cs="宋体"/>
          <w:b/>
          <w:bCs/>
          <w:color w:val="auto"/>
          <w:szCs w:val="24"/>
          <w:highlight w:val="none"/>
          <w:lang w:val="en-US" w:eastAsia="zh-CN"/>
        </w:rPr>
        <w:t>9</w:t>
      </w:r>
      <w:r>
        <w:rPr>
          <w:rFonts w:hint="eastAsia" w:ascii="宋体" w:hAnsi="宋体" w:cs="宋体"/>
          <w:b/>
          <w:bCs/>
          <w:color w:val="auto"/>
          <w:szCs w:val="24"/>
          <w:highlight w:val="none"/>
        </w:rPr>
        <w:t>:</w:t>
      </w:r>
      <w:r>
        <w:rPr>
          <w:rFonts w:hint="eastAsia" w:ascii="宋体" w:hAnsi="宋体" w:cs="宋体"/>
          <w:b/>
          <w:bCs/>
          <w:color w:val="auto"/>
          <w:szCs w:val="24"/>
          <w:highlight w:val="none"/>
          <w:lang w:val="en-US" w:eastAsia="zh-CN"/>
        </w:rPr>
        <w:t>00</w:t>
      </w:r>
      <w:r>
        <w:rPr>
          <w:rFonts w:hint="eastAsia" w:ascii="宋体" w:hAnsi="宋体" w:cs="宋体"/>
          <w:b/>
          <w:bCs/>
          <w:color w:val="auto"/>
          <w:szCs w:val="24"/>
          <w:highlight w:val="none"/>
        </w:rPr>
        <w:t>:</w:t>
      </w:r>
      <w:r>
        <w:rPr>
          <w:rFonts w:hint="eastAsia" w:ascii="宋体" w:hAnsi="宋体" w:cs="宋体"/>
          <w:b/>
          <w:bCs/>
          <w:color w:val="auto"/>
          <w:szCs w:val="24"/>
          <w:highlight w:val="none"/>
          <w:lang w:val="en-US" w:eastAsia="zh-CN"/>
        </w:rPr>
        <w:t>00</w:t>
      </w:r>
      <w:r>
        <w:rPr>
          <w:rFonts w:hint="eastAsia" w:ascii="宋体" w:hAnsi="宋体" w:cs="宋体"/>
          <w:color w:val="auto"/>
          <w:szCs w:val="24"/>
          <w:highlight w:val="none"/>
        </w:rPr>
        <w:t>前进入全国公共资源交易平台（陕西省）不见面开标系统进行开标）。</w:t>
      </w:r>
      <w:r>
        <w:rPr>
          <w:rFonts w:hint="eastAsia" w:ascii="宋体" w:hAnsi="宋体" w:cs="宋体"/>
          <w:color w:val="auto"/>
          <w:spacing w:val="-6"/>
          <w:szCs w:val="24"/>
          <w:highlight w:val="none"/>
        </w:rPr>
        <w:t>（</w:t>
      </w:r>
      <w:r>
        <w:rPr>
          <w:rFonts w:hint="eastAsia" w:ascii="宋体" w:hAnsi="宋体" w:cs="宋体"/>
          <w:color w:val="auto"/>
          <w:kern w:val="2"/>
          <w:highlight w:val="none"/>
        </w:rPr>
        <w:t>http://219.145.206.209/BidOpeningHall/bidopeninghallaction/hall/login</w:t>
      </w:r>
      <w:r>
        <w:rPr>
          <w:rFonts w:hint="eastAsia" w:ascii="宋体" w:hAnsi="宋体" w:cs="宋体"/>
          <w:color w:val="auto"/>
          <w:spacing w:val="-6"/>
          <w:szCs w:val="24"/>
          <w:highlight w:val="none"/>
        </w:rPr>
        <w:t>）</w:t>
      </w:r>
    </w:p>
    <w:p w14:paraId="639AE46E">
      <w:pPr>
        <w:pStyle w:val="64"/>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 </w:t>
      </w:r>
    </w:p>
    <w:p w14:paraId="7D5F685F">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0" w:firstLineChars="200"/>
        <w:textAlignment w:val="auto"/>
        <w:rPr>
          <w:rFonts w:ascii="宋体" w:hAnsi="宋体" w:cs="宋体"/>
          <w:color w:val="auto"/>
          <w:szCs w:val="24"/>
          <w:highlight w:val="none"/>
        </w:rPr>
      </w:pPr>
      <w:r>
        <w:rPr>
          <w:rFonts w:hint="eastAsia" w:ascii="宋体" w:hAnsi="宋体" w:cs="宋体"/>
          <w:color w:val="auto"/>
          <w:szCs w:val="24"/>
          <w:highlight w:val="none"/>
        </w:rPr>
        <w:t>1、采购人信息：安康市市政园林处</w:t>
      </w:r>
    </w:p>
    <w:p w14:paraId="2FE09EAC">
      <w:pPr>
        <w:keepNext w:val="0"/>
        <w:keepLines w:val="0"/>
        <w:pageBreakBefore w:val="0"/>
        <w:widowControl/>
        <w:kinsoku/>
        <w:wordWrap/>
        <w:overflowPunct/>
        <w:topLinePunct w:val="0"/>
        <w:autoSpaceDE/>
        <w:autoSpaceDN/>
        <w:bidi w:val="0"/>
        <w:spacing w:line="336"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kern w:val="0"/>
          <w:sz w:val="24"/>
          <w:szCs w:val="24"/>
          <w:highlight w:val="none"/>
        </w:rPr>
        <w:t xml:space="preserve">柯女士 </w:t>
      </w:r>
      <w:r>
        <w:rPr>
          <w:rFonts w:hint="eastAsia" w:ascii="宋体" w:hAnsi="宋体" w:cs="宋体"/>
          <w:color w:val="auto"/>
          <w:sz w:val="24"/>
          <w:szCs w:val="24"/>
          <w:highlight w:val="none"/>
        </w:rPr>
        <w:t xml:space="preserve"> </w:t>
      </w:r>
    </w:p>
    <w:p w14:paraId="673B0952">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0" w:firstLineChars="200"/>
        <w:textAlignment w:val="auto"/>
        <w:rPr>
          <w:rFonts w:ascii="宋体" w:hAnsi="宋体" w:cs="宋体"/>
          <w:color w:val="auto"/>
          <w:szCs w:val="24"/>
          <w:highlight w:val="none"/>
        </w:rPr>
      </w:pPr>
      <w:r>
        <w:rPr>
          <w:rFonts w:hint="eastAsia" w:ascii="宋体" w:hAnsi="宋体" w:cs="宋体"/>
          <w:color w:val="auto"/>
          <w:szCs w:val="24"/>
          <w:highlight w:val="none"/>
        </w:rPr>
        <w:t>联系地址：</w:t>
      </w:r>
      <w:r>
        <w:rPr>
          <w:rFonts w:hint="eastAsia" w:ascii="宋体" w:hAnsi="宋体" w:cs="宋体"/>
          <w:color w:val="auto"/>
          <w:szCs w:val="24"/>
          <w:highlight w:val="none"/>
          <w:shd w:val="clear" w:color="auto" w:fill="FFFFFF"/>
        </w:rPr>
        <w:t>安康市汉滨区滨江大道1号建设大厦</w:t>
      </w:r>
    </w:p>
    <w:p w14:paraId="6C4827E6">
      <w:pPr>
        <w:keepNext w:val="0"/>
        <w:keepLines w:val="0"/>
        <w:pageBreakBefore w:val="0"/>
        <w:widowControl/>
        <w:kinsoku/>
        <w:wordWrap/>
        <w:overflowPunct/>
        <w:topLinePunct w:val="0"/>
        <w:autoSpaceDE/>
        <w:autoSpaceDN/>
        <w:bidi w:val="0"/>
        <w:spacing w:line="336"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kern w:val="0"/>
          <w:sz w:val="24"/>
          <w:szCs w:val="24"/>
          <w:highlight w:val="none"/>
          <w:shd w:val="clear" w:color="auto" w:fill="FFFFFF"/>
        </w:rPr>
        <w:t>0915-3230552</w:t>
      </w:r>
      <w:r>
        <w:rPr>
          <w:rFonts w:hint="eastAsia" w:ascii="宋体" w:hAnsi="宋体" w:cs="宋体"/>
          <w:color w:val="auto"/>
          <w:kern w:val="0"/>
          <w:sz w:val="24"/>
          <w:szCs w:val="24"/>
          <w:highlight w:val="none"/>
        </w:rPr>
        <w:t xml:space="preserve"> </w:t>
      </w:r>
    </w:p>
    <w:p w14:paraId="5D2234C4">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0" w:firstLineChars="200"/>
        <w:textAlignment w:val="auto"/>
        <w:rPr>
          <w:rFonts w:ascii="宋体" w:hAnsi="宋体" w:cs="宋体"/>
          <w:color w:val="auto"/>
          <w:szCs w:val="24"/>
          <w:highlight w:val="none"/>
        </w:rPr>
      </w:pPr>
      <w:r>
        <w:rPr>
          <w:rFonts w:hint="eastAsia" w:ascii="宋体" w:hAnsi="宋体" w:cs="宋体"/>
          <w:color w:val="auto"/>
          <w:szCs w:val="24"/>
          <w:highlight w:val="none"/>
        </w:rPr>
        <w:t>2、项目联系方式</w:t>
      </w:r>
    </w:p>
    <w:p w14:paraId="4BD8C315">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0"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项目联系人：</w:t>
      </w:r>
      <w:r>
        <w:rPr>
          <w:rFonts w:hint="eastAsia" w:ascii="宋体" w:hAnsi="宋体" w:cs="宋体"/>
          <w:color w:val="auto"/>
          <w:szCs w:val="24"/>
          <w:highlight w:val="none"/>
          <w:lang w:eastAsia="zh-CN"/>
        </w:rPr>
        <w:t>徐工</w:t>
      </w:r>
    </w:p>
    <w:p w14:paraId="0680086C">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0"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电 话：</w:t>
      </w:r>
      <w:r>
        <w:rPr>
          <w:rFonts w:hint="eastAsia" w:ascii="宋体" w:hAnsi="宋体" w:cs="宋体"/>
          <w:color w:val="auto"/>
          <w:szCs w:val="24"/>
          <w:highlight w:val="none"/>
          <w:lang w:eastAsia="zh-CN"/>
        </w:rPr>
        <w:t>16609151911</w:t>
      </w:r>
    </w:p>
    <w:p w14:paraId="36B211F9">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0" w:firstLineChars="200"/>
        <w:textAlignment w:val="auto"/>
        <w:rPr>
          <w:rFonts w:ascii="宋体" w:hAnsi="宋体" w:cs="宋体"/>
          <w:color w:val="auto"/>
          <w:szCs w:val="24"/>
          <w:highlight w:val="none"/>
        </w:rPr>
      </w:pPr>
      <w:r>
        <w:rPr>
          <w:rFonts w:hint="eastAsia" w:ascii="宋体" w:hAnsi="宋体" w:cs="宋体"/>
          <w:color w:val="auto"/>
          <w:szCs w:val="24"/>
          <w:highlight w:val="none"/>
        </w:rPr>
        <w:t>3、采购代理机构信息</w:t>
      </w:r>
    </w:p>
    <w:p w14:paraId="771DAAEF">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0"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名称：</w:t>
      </w:r>
      <w:r>
        <w:rPr>
          <w:rFonts w:hint="eastAsia" w:ascii="宋体" w:hAnsi="宋体" w:cs="宋体"/>
          <w:color w:val="auto"/>
          <w:szCs w:val="24"/>
          <w:highlight w:val="none"/>
          <w:lang w:eastAsia="zh-CN"/>
        </w:rPr>
        <w:t>陕西中源项目管理有限公司</w:t>
      </w:r>
    </w:p>
    <w:p w14:paraId="54E242C4">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80" w:firstLineChars="200"/>
        <w:textAlignment w:val="auto"/>
        <w:rPr>
          <w:rFonts w:ascii="宋体" w:hAnsi="宋体" w:cs="宋体"/>
          <w:color w:val="auto"/>
          <w:szCs w:val="24"/>
          <w:highlight w:val="none"/>
        </w:rPr>
      </w:pPr>
      <w:r>
        <w:rPr>
          <w:rFonts w:hint="eastAsia" w:ascii="宋体" w:hAnsi="宋体" w:cs="宋体"/>
          <w:color w:val="auto"/>
          <w:szCs w:val="24"/>
          <w:highlight w:val="none"/>
        </w:rPr>
        <w:t>联系地址：</w:t>
      </w:r>
      <w:r>
        <w:rPr>
          <w:rFonts w:hint="eastAsia" w:ascii="宋体" w:hAnsi="宋体" w:cs="宋体"/>
          <w:color w:val="auto"/>
          <w:szCs w:val="24"/>
          <w:highlight w:val="none"/>
          <w:lang w:eastAsia="zh-CN"/>
        </w:rPr>
        <w:t>安康市汉滨区木竹桥安置点1栋3楼中源公司</w:t>
      </w:r>
      <w:r>
        <w:rPr>
          <w:rFonts w:hint="eastAsia" w:ascii="宋体" w:hAnsi="宋体" w:cs="宋体"/>
          <w:color w:val="auto"/>
          <w:szCs w:val="24"/>
          <w:highlight w:val="none"/>
        </w:rPr>
        <w:t xml:space="preserve">                                         </w:t>
      </w:r>
    </w:p>
    <w:p w14:paraId="630EFE4C">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cs="宋体"/>
          <w:color w:val="auto"/>
          <w:szCs w:val="24"/>
          <w:highlight w:val="none"/>
          <w:lang w:eastAsia="zh-CN"/>
        </w:rPr>
      </w:pPr>
    </w:p>
    <w:p w14:paraId="05BB7D81">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cs="宋体"/>
          <w:color w:val="auto"/>
          <w:szCs w:val="24"/>
          <w:highlight w:val="none"/>
          <w:lang w:eastAsia="zh-CN"/>
        </w:rPr>
      </w:pPr>
    </w:p>
    <w:p w14:paraId="27626AEB">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cs="宋体"/>
          <w:color w:val="auto"/>
          <w:szCs w:val="24"/>
          <w:highlight w:val="none"/>
          <w:lang w:eastAsia="zh-CN"/>
        </w:rPr>
      </w:pPr>
    </w:p>
    <w:p w14:paraId="6F2BDFAC">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陕西中源项目管理有限公司</w:t>
      </w:r>
    </w:p>
    <w:p w14:paraId="3846EBF7">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eastAsia="宋体"/>
          <w:color w:val="auto"/>
          <w:highlight w:val="none"/>
          <w:lang w:eastAsia="zh-CN"/>
        </w:rPr>
      </w:pPr>
      <w:r>
        <w:rPr>
          <w:rFonts w:hint="eastAsia" w:ascii="宋体" w:hAnsi="宋体" w:cs="宋体"/>
          <w:color w:val="auto"/>
          <w:szCs w:val="24"/>
          <w:highlight w:val="none"/>
        </w:rPr>
        <w:t xml:space="preserve">               </w:t>
      </w:r>
      <w:r>
        <w:rPr>
          <w:rFonts w:hint="eastAsia" w:ascii="宋体" w:hAnsi="宋体" w:cs="宋体"/>
          <w:color w:val="auto"/>
          <w:szCs w:val="24"/>
          <w:highlight w:val="none"/>
          <w:lang w:eastAsia="zh-CN"/>
        </w:rPr>
        <w:t>2026年5月9日</w:t>
      </w:r>
    </w:p>
    <w:p w14:paraId="0E5674ED">
      <w:pPr>
        <w:jc w:val="center"/>
        <w:rPr>
          <w:rFonts w:hint="eastAsia" w:ascii="宋体" w:hAnsi="宋体" w:cs="宋体"/>
          <w:b/>
          <w:bCs/>
          <w:color w:val="auto"/>
          <w:sz w:val="28"/>
          <w:szCs w:val="28"/>
          <w:highlight w:val="none"/>
        </w:rPr>
      </w:pPr>
    </w:p>
    <w:p w14:paraId="056028A6">
      <w:pPr>
        <w:jc w:val="both"/>
        <w:rPr>
          <w:rFonts w:hint="eastAsia" w:ascii="宋体" w:hAnsi="宋体" w:cs="宋体"/>
          <w:b/>
          <w:bCs/>
          <w:color w:val="auto"/>
          <w:sz w:val="28"/>
          <w:szCs w:val="28"/>
          <w:highlight w:val="none"/>
        </w:rPr>
      </w:pPr>
    </w:p>
    <w:p w14:paraId="2ECF038A">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3CC2C18F">
      <w:pPr>
        <w:tabs>
          <w:tab w:val="left" w:pos="5880"/>
        </w:tabs>
        <w:adjustRightInd w:val="0"/>
        <w:snapToGrid w:val="0"/>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第二部分</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投标须知</w:t>
      </w:r>
    </w:p>
    <w:p w14:paraId="79BD1135">
      <w:pPr>
        <w:adjustRightInd w:val="0"/>
        <w:snapToGrid w:val="0"/>
        <w:spacing w:line="520" w:lineRule="exact"/>
        <w:ind w:firstLine="590" w:firstLineChars="245"/>
        <w:rPr>
          <w:rFonts w:ascii="宋体" w:hAnsi="宋体" w:cs="宋体"/>
          <w:b/>
          <w:color w:val="auto"/>
          <w:sz w:val="24"/>
          <w:szCs w:val="24"/>
          <w:highlight w:val="none"/>
        </w:rPr>
      </w:pPr>
      <w:r>
        <w:rPr>
          <w:rFonts w:hint="eastAsia" w:ascii="宋体" w:hAnsi="宋体" w:cs="宋体"/>
          <w:b/>
          <w:color w:val="auto"/>
          <w:sz w:val="24"/>
          <w:szCs w:val="24"/>
          <w:highlight w:val="none"/>
        </w:rPr>
        <w:t>一、名词解释</w:t>
      </w:r>
    </w:p>
    <w:p w14:paraId="5F315F55">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安康市市政园林处</w:t>
      </w:r>
    </w:p>
    <w:p w14:paraId="79060362">
      <w:pPr>
        <w:adjustRightInd w:val="0"/>
        <w:snapToGrid w:val="0"/>
        <w:spacing w:line="520" w:lineRule="exact"/>
        <w:ind w:firstLine="645"/>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2、招标代理机构：</w:t>
      </w:r>
      <w:r>
        <w:rPr>
          <w:rFonts w:hint="eastAsia" w:ascii="宋体" w:hAnsi="宋体" w:cs="宋体"/>
          <w:color w:val="auto"/>
          <w:sz w:val="24"/>
          <w:szCs w:val="24"/>
          <w:highlight w:val="none"/>
          <w:lang w:eastAsia="zh-CN"/>
        </w:rPr>
        <w:t>陕西中源项目管理有限公司</w:t>
      </w:r>
    </w:p>
    <w:p w14:paraId="67FA8DAC">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3、供应商：响应并符合招标文件规定资格条件和参加投标竞争的法人、其他组织</w:t>
      </w:r>
    </w:p>
    <w:p w14:paraId="5848842E">
      <w:pPr>
        <w:keepNext w:val="0"/>
        <w:keepLines w:val="0"/>
        <w:pageBreakBefore w:val="0"/>
        <w:widowControl w:val="0"/>
        <w:kinsoku/>
        <w:wordWrap/>
        <w:overflowPunct/>
        <w:topLinePunct w:val="0"/>
        <w:autoSpaceDE/>
        <w:autoSpaceDN/>
        <w:bidi w:val="0"/>
        <w:adjustRightInd w:val="0"/>
        <w:snapToGrid w:val="0"/>
        <w:spacing w:line="520" w:lineRule="exact"/>
        <w:ind w:firstLine="1134"/>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或者自然人。</w:t>
      </w:r>
    </w:p>
    <w:p w14:paraId="6F275D68">
      <w:pPr>
        <w:adjustRightInd w:val="0"/>
        <w:snapToGrid w:val="0"/>
        <w:spacing w:line="520" w:lineRule="exact"/>
        <w:ind w:firstLine="624"/>
        <w:outlineLvl w:val="0"/>
        <w:rPr>
          <w:rFonts w:ascii="宋体" w:hAnsi="宋体" w:cs="宋体"/>
          <w:b/>
          <w:color w:val="auto"/>
          <w:sz w:val="24"/>
          <w:szCs w:val="24"/>
          <w:highlight w:val="none"/>
        </w:rPr>
      </w:pPr>
      <w:r>
        <w:rPr>
          <w:rFonts w:hint="eastAsia" w:ascii="宋体" w:hAnsi="宋体" w:cs="宋体"/>
          <w:b/>
          <w:color w:val="auto"/>
          <w:sz w:val="24"/>
          <w:szCs w:val="24"/>
          <w:highlight w:val="none"/>
        </w:rPr>
        <w:t>二、招标文件</w:t>
      </w:r>
    </w:p>
    <w:p w14:paraId="3A383ACC">
      <w:pPr>
        <w:adjustRightInd w:val="0"/>
        <w:snapToGrid w:val="0"/>
        <w:spacing w:line="520" w:lineRule="exact"/>
        <w:ind w:firstLine="624"/>
        <w:outlineLvl w:val="0"/>
        <w:rPr>
          <w:rFonts w:ascii="宋体" w:hAnsi="宋体" w:cs="宋体"/>
          <w:color w:val="auto"/>
          <w:sz w:val="24"/>
          <w:szCs w:val="24"/>
          <w:highlight w:val="none"/>
        </w:rPr>
      </w:pPr>
      <w:r>
        <w:rPr>
          <w:rFonts w:hint="eastAsia" w:ascii="宋体" w:hAnsi="宋体" w:cs="宋体"/>
          <w:color w:val="auto"/>
          <w:sz w:val="24"/>
          <w:szCs w:val="24"/>
          <w:highlight w:val="none"/>
        </w:rPr>
        <w:t>1、招标文件包括目录中所列的</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部分。</w:t>
      </w:r>
    </w:p>
    <w:p w14:paraId="7DE3B315">
      <w:pPr>
        <w:adjustRightInd w:val="0"/>
        <w:snapToGrid w:val="0"/>
        <w:spacing w:line="520" w:lineRule="exact"/>
        <w:ind w:firstLine="624"/>
        <w:outlineLvl w:val="0"/>
        <w:rPr>
          <w:rFonts w:ascii="宋体" w:hAnsi="宋体" w:cs="宋体"/>
          <w:color w:val="auto"/>
          <w:sz w:val="24"/>
          <w:szCs w:val="24"/>
          <w:highlight w:val="none"/>
        </w:rPr>
      </w:pPr>
      <w:r>
        <w:rPr>
          <w:rFonts w:hint="eastAsia" w:ascii="宋体" w:hAnsi="宋体" w:cs="宋体"/>
          <w:color w:val="auto"/>
          <w:sz w:val="24"/>
          <w:szCs w:val="24"/>
          <w:highlight w:val="none"/>
        </w:rPr>
        <w:t>2、供应商应仔细阅读招标文件中所有的事项、格式、条款和规范要求，在投标文件中对招标文件的各方面都作出实质性的响应，按照招标文件的要求提交全部资料。</w:t>
      </w:r>
    </w:p>
    <w:p w14:paraId="3567F8E6">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3、招标文件的修改、澄清或补正,质疑</w:t>
      </w:r>
    </w:p>
    <w:p w14:paraId="31E363FA">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3-1招标代理机构在征得</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和（或）监督人的同意后，可对已发出的招标文件进行必要的修改、澄清或补正，修改、澄清或补正的内容在投标截止时间十五日前，在政府采购网上发布更正公告，并以书面形式通知所有招标文件收受人，该澄清或修改的内容为招标文件的组成部分。</w:t>
      </w:r>
    </w:p>
    <w:p w14:paraId="3E1E62A0">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3-2供应商要求对招标文件进行澄清的，必须在投标截止时间十日前，以书面形式送达招标代理机构；招标代理机构在投标截止时间七日前以书面形式予以答复；必要时将书面答复传送给所有招标文件收受人。</w:t>
      </w:r>
    </w:p>
    <w:p w14:paraId="25CD61F8">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3-3对采购文件提出质疑的，应当在获取采购文件（以供应商</w:t>
      </w:r>
      <w:r>
        <w:rPr>
          <w:rFonts w:hint="eastAsia" w:ascii="宋体" w:hAnsi="宋体" w:cs="宋体"/>
          <w:color w:val="auto"/>
          <w:sz w:val="24"/>
          <w:szCs w:val="24"/>
          <w:highlight w:val="none"/>
          <w:lang w:val="en-US" w:eastAsia="zh-CN"/>
        </w:rPr>
        <w:t>在安康市公共资源交易平台投标确认时间为准</w:t>
      </w:r>
      <w:r>
        <w:rPr>
          <w:rFonts w:hint="eastAsia" w:ascii="宋体" w:hAnsi="宋体" w:cs="宋体"/>
          <w:color w:val="auto"/>
          <w:sz w:val="24"/>
          <w:szCs w:val="24"/>
          <w:highlight w:val="none"/>
        </w:rPr>
        <w:t>）起7个工作日内提出，在此日期后提出的质疑无效。</w:t>
      </w:r>
    </w:p>
    <w:p w14:paraId="050C20B1">
      <w:pPr>
        <w:spacing w:line="520" w:lineRule="exact"/>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3-4招标代理机构可以视采购具体情况，延长投标截止时间和开标时间，但至少在招标文件要求的提交投标文件的截止时间三日前，将变更时间书面通知所有招标文件收受人，并在政府采购网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公共资源交易网</w:t>
      </w:r>
      <w:r>
        <w:rPr>
          <w:rFonts w:hint="eastAsia" w:ascii="宋体" w:hAnsi="宋体" w:cs="宋体"/>
          <w:color w:val="auto"/>
          <w:sz w:val="24"/>
          <w:szCs w:val="24"/>
          <w:highlight w:val="none"/>
        </w:rPr>
        <w:t>上发布变更公告。</w:t>
      </w:r>
    </w:p>
    <w:p w14:paraId="3DFA5C1F">
      <w:pPr>
        <w:adjustRightInd w:val="0"/>
        <w:snapToGrid w:val="0"/>
        <w:spacing w:line="520" w:lineRule="exact"/>
        <w:ind w:firstLine="624"/>
        <w:outlineLvl w:val="0"/>
        <w:rPr>
          <w:rFonts w:ascii="宋体" w:hAnsi="宋体" w:cs="宋体"/>
          <w:b/>
          <w:color w:val="auto"/>
          <w:sz w:val="24"/>
          <w:szCs w:val="24"/>
          <w:highlight w:val="none"/>
        </w:rPr>
      </w:pPr>
      <w:r>
        <w:rPr>
          <w:rFonts w:hint="eastAsia" w:ascii="宋体" w:hAnsi="宋体" w:cs="宋体"/>
          <w:color w:val="auto"/>
          <w:sz w:val="24"/>
          <w:szCs w:val="24"/>
          <w:highlight w:val="none"/>
        </w:rPr>
        <w:t>4、供应商必须从陕西省公共资源交易中心网站下载招标文件，供应商自行转让或复制标书视为无效。</w:t>
      </w:r>
    </w:p>
    <w:p w14:paraId="7666767E">
      <w:pPr>
        <w:adjustRightInd w:val="0"/>
        <w:snapToGrid w:val="0"/>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5、各供应商应认真仔细研读招标文件，如有问题或异议及时函告。否则，视为同意招标文件的一切条款和要求并承担由此引起的一切法律责任。</w:t>
      </w:r>
    </w:p>
    <w:p w14:paraId="769DCF98">
      <w:pPr>
        <w:pStyle w:val="23"/>
        <w:widowControl/>
        <w:spacing w:before="0" w:beforeAutospacing="0" w:after="0" w:afterAutospacing="0" w:line="360" w:lineRule="auto"/>
        <w:ind w:firstLine="420"/>
        <w:jc w:val="both"/>
        <w:rPr>
          <w:rFonts w:ascii="宋体" w:hAnsi="宋体" w:cs="宋体"/>
          <w:color w:val="auto"/>
          <w:szCs w:val="24"/>
          <w:highlight w:val="none"/>
        </w:rPr>
      </w:pPr>
      <w:r>
        <w:rPr>
          <w:rFonts w:hint="eastAsia" w:ascii="宋体" w:hAnsi="宋体" w:cs="宋体"/>
          <w:color w:val="auto"/>
          <w:szCs w:val="24"/>
          <w:highlight w:val="none"/>
        </w:rPr>
        <w:t>6、招标文件的解释权归</w:t>
      </w:r>
      <w:r>
        <w:rPr>
          <w:rFonts w:hint="eastAsia" w:ascii="宋体" w:hAnsi="宋体" w:cs="宋体"/>
          <w:color w:val="auto"/>
          <w:szCs w:val="24"/>
          <w:highlight w:val="none"/>
          <w:lang w:eastAsia="zh-CN"/>
        </w:rPr>
        <w:t>陕西中源项目管理有限公司</w:t>
      </w:r>
      <w:r>
        <w:rPr>
          <w:rFonts w:hint="eastAsia" w:ascii="宋体" w:hAnsi="宋体" w:cs="宋体"/>
          <w:color w:val="auto"/>
          <w:szCs w:val="24"/>
          <w:highlight w:val="none"/>
        </w:rPr>
        <w:t>。如发现招标文件内容与现行法律法规不相符的情况，以现行法律法规为准。</w:t>
      </w:r>
    </w:p>
    <w:p w14:paraId="63508C9E">
      <w:pPr>
        <w:adjustRightInd w:val="0"/>
        <w:snapToGrid w:val="0"/>
        <w:spacing w:line="520" w:lineRule="exact"/>
        <w:ind w:firstLine="660"/>
        <w:rPr>
          <w:rFonts w:ascii="宋体" w:hAnsi="宋体" w:cs="宋体"/>
          <w:color w:val="auto"/>
          <w:sz w:val="24"/>
          <w:szCs w:val="24"/>
          <w:highlight w:val="none"/>
        </w:rPr>
      </w:pPr>
      <w:r>
        <w:rPr>
          <w:rFonts w:hint="eastAsia" w:ascii="宋体" w:hAnsi="宋体" w:cs="宋体"/>
          <w:b/>
          <w:color w:val="auto"/>
          <w:sz w:val="24"/>
          <w:szCs w:val="24"/>
          <w:highlight w:val="none"/>
        </w:rPr>
        <w:t>三、合格的供应商</w:t>
      </w:r>
    </w:p>
    <w:p w14:paraId="79FAF131">
      <w:pPr>
        <w:adjustRightInd w:val="0"/>
        <w:snapToGrid w:val="0"/>
        <w:spacing w:line="520" w:lineRule="exact"/>
        <w:rPr>
          <w:rFonts w:ascii="宋体" w:hAnsi="宋体" w:cs="宋体"/>
          <w:b/>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
          <w:color w:val="auto"/>
          <w:sz w:val="24"/>
          <w:szCs w:val="24"/>
          <w:highlight w:val="none"/>
        </w:rPr>
        <w:t xml:space="preserve">  1、投标内容</w:t>
      </w:r>
    </w:p>
    <w:p w14:paraId="0C73B778">
      <w:pPr>
        <w:spacing w:line="52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lang w:eastAsia="zh-CN"/>
        </w:rPr>
        <w:t>2026年度安康中心城区公园广场及公共绿地时令花卉采购项目（二期）</w:t>
      </w:r>
      <w:r>
        <w:rPr>
          <w:rFonts w:hint="eastAsia" w:ascii="宋体" w:hAnsi="宋体" w:cs="宋体"/>
          <w:color w:val="auto"/>
          <w:sz w:val="24"/>
          <w:szCs w:val="24"/>
          <w:highlight w:val="none"/>
        </w:rPr>
        <w:t xml:space="preserve">    </w:t>
      </w:r>
    </w:p>
    <w:p w14:paraId="2BD8A9A8">
      <w:pPr>
        <w:spacing w:line="520" w:lineRule="exact"/>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2、投标要求</w:t>
      </w:r>
    </w:p>
    <w:p w14:paraId="7445242D">
      <w:pPr>
        <w:keepNext w:val="0"/>
        <w:keepLines w:val="0"/>
        <w:pageBreakBefore w:val="0"/>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101F2328">
      <w:pPr>
        <w:keepNext w:val="0"/>
        <w:keepLines w:val="0"/>
        <w:pageBreakBefore w:val="0"/>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（2）提供法定代表人授权书（附法定代表人身份证复印件）及被授权代表身份证复印件（法定代表人直接参加只须提供法定代表人身份证复印件）；</w:t>
      </w:r>
    </w:p>
    <w:p w14:paraId="70E9D6A9">
      <w:pPr>
        <w:keepNext w:val="0"/>
        <w:keepLines w:val="0"/>
        <w:pageBreakBefore w:val="0"/>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（3）税收缴纳证明:自</w:t>
      </w:r>
      <w:r>
        <w:rPr>
          <w:rFonts w:hint="eastAsia" w:ascii="宋体" w:hAnsi="宋体" w:cs="宋体"/>
          <w:color w:val="auto"/>
          <w:sz w:val="24"/>
          <w:highlight w:val="none"/>
          <w:lang w:eastAsia="zh-CN"/>
        </w:rPr>
        <w:t>2025年11月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个月的纳税证明或完税证明(提供增值税、企业所得税至少一种),纳税证明或完税证明上应有代收机构或税务机关的公章或业务专用章。依法免税的供应商应提供相关文件证明；</w:t>
      </w:r>
    </w:p>
    <w:p w14:paraId="7ADB5B89">
      <w:pPr>
        <w:keepNext w:val="0"/>
        <w:keepLines w:val="0"/>
        <w:pageBreakBefore w:val="0"/>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（4）社会保障资金缴纳证明:自</w:t>
      </w:r>
      <w:r>
        <w:rPr>
          <w:rFonts w:hint="eastAsia" w:ascii="宋体" w:hAnsi="宋体" w:cs="宋体"/>
          <w:color w:val="auto"/>
          <w:sz w:val="24"/>
          <w:highlight w:val="none"/>
          <w:lang w:eastAsia="zh-CN"/>
        </w:rPr>
        <w:t>2025年11月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已缴存的至少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个月的社会保障资金缴存单据或社保机构开具的社会保险参保缴费情况证明，单据或证明上应有社保机构或代收机构的印章。依法不需要缴纳社会保障资金的供应商应提供相关文件证明；</w:t>
      </w:r>
    </w:p>
    <w:p w14:paraId="3228EC61">
      <w:pPr>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（5）</w:t>
      </w:r>
      <w:r>
        <w:rPr>
          <w:rFonts w:hint="eastAsia" w:ascii="宋体" w:hAnsi="宋体" w:cs="宋体"/>
          <w:color w:val="auto"/>
          <w:sz w:val="24"/>
          <w:highlight w:val="none"/>
          <w:lang w:eastAsia="zh-CN"/>
        </w:rPr>
        <w:t>财务状况报告:提供2023年至2025年任意一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即可或2025年度任意连续3个月的财务报表(至少应包含资产负债表、利润表和现金流量表)；</w:t>
      </w:r>
    </w:p>
    <w:p w14:paraId="617931EA">
      <w:pPr>
        <w:keepNext w:val="0"/>
        <w:keepLines w:val="0"/>
        <w:pageBreakBefore w:val="0"/>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（6）参加政府采购活动前3年内（</w:t>
      </w:r>
      <w:r>
        <w:rPr>
          <w:rFonts w:hint="eastAsia" w:ascii="宋体" w:hAnsi="宋体" w:cs="宋体"/>
          <w:color w:val="auto"/>
          <w:sz w:val="24"/>
          <w:highlight w:val="none"/>
          <w:lang w:eastAsia="zh-CN"/>
        </w:rPr>
        <w:t>2023年1月至今</w:t>
      </w:r>
      <w:r>
        <w:rPr>
          <w:rFonts w:hint="eastAsia" w:ascii="宋体" w:hAnsi="宋体" w:cs="宋体"/>
          <w:color w:val="auto"/>
          <w:sz w:val="24"/>
          <w:highlight w:val="none"/>
        </w:rPr>
        <w:t>）在经营活动中没有重大违法记录的书面声明（供应商自行出具声明书并加盖公章）；</w:t>
      </w:r>
    </w:p>
    <w:p w14:paraId="682AF8F3">
      <w:pPr>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2"/>
          <w:highlight w:val="none"/>
          <w:lang w:val="en-US" w:eastAsia="zh-CN"/>
        </w:rPr>
      </w:pPr>
      <w:r>
        <w:rPr>
          <w:rFonts w:hint="eastAsia" w:ascii="宋体" w:hAnsi="宋体" w:cs="宋体"/>
          <w:color w:val="auto"/>
          <w:sz w:val="24"/>
          <w:highlight w:val="none"/>
        </w:rPr>
        <w:t>（7）</w:t>
      </w:r>
      <w:r>
        <w:rPr>
          <w:rFonts w:hint="eastAsia" w:ascii="宋体" w:hAnsi="宋体" w:cs="宋体"/>
          <w:b w:val="0"/>
          <w:bCs w:val="0"/>
          <w:color w:val="auto"/>
          <w:sz w:val="24"/>
          <w:highlight w:val="none"/>
          <w:lang w:eastAsia="zh-CN"/>
        </w:rPr>
        <w:t>本项目</w:t>
      </w:r>
      <w:r>
        <w:rPr>
          <w:rFonts w:hint="eastAsia" w:ascii="宋体" w:hAnsi="宋体" w:cs="宋体"/>
          <w:b w:val="0"/>
          <w:bCs w:val="0"/>
          <w:color w:val="auto"/>
          <w:sz w:val="24"/>
          <w:highlight w:val="none"/>
          <w:lang w:val="en-US" w:eastAsia="zh-CN"/>
        </w:rPr>
        <w:t>专门</w:t>
      </w:r>
      <w:r>
        <w:rPr>
          <w:rFonts w:hint="eastAsia" w:ascii="宋体" w:hAnsi="宋体" w:cs="宋体"/>
          <w:b w:val="0"/>
          <w:bCs w:val="0"/>
          <w:color w:val="auto"/>
          <w:sz w:val="24"/>
          <w:highlight w:val="none"/>
          <w:lang w:eastAsia="zh-CN"/>
        </w:rPr>
        <w:t>面向中小企业</w:t>
      </w:r>
      <w:r>
        <w:rPr>
          <w:rFonts w:hint="eastAsia" w:ascii="宋体" w:hAnsi="宋体" w:cs="宋体"/>
          <w:b w:val="0"/>
          <w:bCs w:val="0"/>
          <w:color w:val="auto"/>
          <w:sz w:val="24"/>
          <w:highlight w:val="none"/>
          <w:lang w:val="en-US" w:eastAsia="zh-CN"/>
        </w:rPr>
        <w:t>采购</w:t>
      </w:r>
      <w:r>
        <w:rPr>
          <w:rFonts w:hint="eastAsia" w:ascii="宋体" w:hAnsi="宋体" w:cs="宋体"/>
          <w:b w:val="0"/>
          <w:bCs w:val="0"/>
          <w:color w:val="auto"/>
          <w:sz w:val="24"/>
          <w:highlight w:val="none"/>
          <w:lang w:eastAsia="zh-CN"/>
        </w:rPr>
        <w:t>，</w:t>
      </w:r>
      <w:r>
        <w:rPr>
          <w:rFonts w:hint="eastAsia" w:ascii="宋体" w:hAnsi="宋体" w:cs="宋体"/>
          <w:color w:val="auto"/>
          <w:sz w:val="24"/>
          <w:szCs w:val="24"/>
          <w:highlight w:val="none"/>
          <w:lang w:eastAsia="zh-CN"/>
        </w:rPr>
        <w:t>所属行</w:t>
      </w:r>
      <w:r>
        <w:rPr>
          <w:rFonts w:hint="eastAsia" w:ascii="宋体" w:hAnsi="宋体" w:cs="宋体"/>
          <w:b w:val="0"/>
          <w:bCs w:val="0"/>
          <w:color w:val="auto"/>
          <w:sz w:val="24"/>
          <w:szCs w:val="24"/>
          <w:highlight w:val="none"/>
          <w:lang w:eastAsia="zh-CN"/>
        </w:rPr>
        <w:t>业名称为</w:t>
      </w:r>
      <w:r>
        <w:rPr>
          <w:rFonts w:hint="eastAsia" w:ascii="宋体" w:hAnsi="宋体" w:cs="宋体"/>
          <w:b w:val="0"/>
          <w:bCs w:val="0"/>
          <w:color w:val="auto"/>
          <w:sz w:val="24"/>
          <w:highlight w:val="none"/>
          <w:lang w:eastAsia="zh-CN"/>
        </w:rPr>
        <w:t>农、林、牧、渔行业</w:t>
      </w:r>
      <w:r>
        <w:rPr>
          <w:rFonts w:hint="eastAsia" w:ascii="宋体" w:hAnsi="宋体" w:cs="宋体"/>
          <w:color w:val="auto"/>
          <w:sz w:val="24"/>
          <w:highlight w:val="none"/>
        </w:rPr>
        <w:t>。</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应为</w:t>
      </w:r>
      <w:r>
        <w:rPr>
          <w:rFonts w:hint="eastAsia" w:ascii="宋体" w:hAnsi="宋体" w:cs="宋体"/>
          <w:color w:val="auto"/>
          <w:spacing w:val="0"/>
          <w:sz w:val="24"/>
          <w:szCs w:val="22"/>
          <w:highlight w:val="none"/>
          <w:lang w:val="en-US" w:eastAsia="zh-CN"/>
        </w:rPr>
        <w:t>中型企业、</w:t>
      </w:r>
      <w:r>
        <w:rPr>
          <w:rFonts w:hint="eastAsia" w:ascii="宋体" w:hAnsi="宋体" w:eastAsia="宋体" w:cs="宋体"/>
          <w:color w:val="auto"/>
          <w:spacing w:val="0"/>
          <w:sz w:val="24"/>
          <w:szCs w:val="22"/>
          <w:highlight w:val="none"/>
        </w:rPr>
        <w:t>小型企业、微型企业或监狱企业或残疾人福利性单位。</w:t>
      </w:r>
      <w:r>
        <w:rPr>
          <w:rFonts w:hint="eastAsia" w:ascii="宋体" w:hAnsi="宋体" w:cs="宋体"/>
          <w:color w:val="auto"/>
          <w:spacing w:val="0"/>
          <w:sz w:val="24"/>
          <w:szCs w:val="22"/>
          <w:highlight w:val="none"/>
          <w:lang w:eastAsia="zh-CN"/>
        </w:rPr>
        <w:t>供应商</w:t>
      </w:r>
      <w:r>
        <w:rPr>
          <w:rFonts w:hint="eastAsia" w:ascii="宋体" w:hAnsi="宋体" w:cs="宋体"/>
          <w:color w:val="auto"/>
          <w:spacing w:val="0"/>
          <w:sz w:val="24"/>
          <w:szCs w:val="22"/>
          <w:highlight w:val="none"/>
          <w:lang w:val="en-US" w:eastAsia="zh-CN"/>
        </w:rPr>
        <w:t>须</w:t>
      </w:r>
      <w:r>
        <w:rPr>
          <w:rFonts w:hint="eastAsia" w:ascii="宋体" w:hAnsi="宋体" w:eastAsia="宋体" w:cs="宋体"/>
          <w:color w:val="auto"/>
          <w:spacing w:val="0"/>
          <w:sz w:val="24"/>
          <w:szCs w:val="22"/>
          <w:highlight w:val="none"/>
        </w:rPr>
        <w:t>提供中小企业声明函（注：若</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为残疾人福利性单位的，提供《残疾人福利性单位声明函》；若</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为监狱企业的，提供由省级以上监</w:t>
      </w:r>
      <w:r>
        <w:rPr>
          <w:rFonts w:hint="eastAsia" w:ascii="宋体" w:hAnsi="宋体" w:eastAsia="宋体" w:cs="宋体"/>
          <w:color w:val="auto"/>
          <w:sz w:val="24"/>
          <w:szCs w:val="22"/>
          <w:highlight w:val="none"/>
        </w:rPr>
        <w:t>狱管理局、戒毒管理局（含新疆生产建设兵团）出具</w:t>
      </w:r>
      <w:r>
        <w:rPr>
          <w:rFonts w:hint="eastAsia" w:ascii="宋体" w:hAnsi="宋体" w:eastAsia="宋体" w:cs="宋体"/>
          <w:color w:val="auto"/>
          <w:spacing w:val="0"/>
          <w:sz w:val="24"/>
          <w:szCs w:val="22"/>
          <w:highlight w:val="none"/>
          <w:lang w:val="en-US" w:eastAsia="zh-CN"/>
        </w:rPr>
        <w:t>的属于监狱企业的证明文件）；</w:t>
      </w:r>
    </w:p>
    <w:p w14:paraId="54865630">
      <w:pPr>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2"/>
          <w:highlight w:val="none"/>
          <w:lang w:val="en-US" w:eastAsia="zh-CN"/>
        </w:rPr>
      </w:pPr>
      <w:r>
        <w:rPr>
          <w:rFonts w:hint="eastAsia" w:ascii="宋体" w:hAnsi="宋体" w:eastAsia="宋体" w:cs="宋体"/>
          <w:color w:val="auto"/>
          <w:spacing w:val="0"/>
          <w:sz w:val="24"/>
          <w:szCs w:val="22"/>
          <w:highlight w:val="none"/>
          <w:lang w:val="en-US" w:eastAsia="zh-CN"/>
        </w:rPr>
        <w:t>（</w:t>
      </w:r>
      <w:r>
        <w:rPr>
          <w:rFonts w:hint="eastAsia" w:ascii="宋体" w:hAnsi="宋体" w:cs="宋体"/>
          <w:color w:val="auto"/>
          <w:spacing w:val="0"/>
          <w:sz w:val="24"/>
          <w:szCs w:val="22"/>
          <w:highlight w:val="none"/>
          <w:lang w:val="en-US" w:eastAsia="zh-CN"/>
        </w:rPr>
        <w:t>8</w:t>
      </w:r>
      <w:r>
        <w:rPr>
          <w:rFonts w:hint="eastAsia" w:ascii="宋体" w:hAnsi="宋体" w:eastAsia="宋体" w:cs="宋体"/>
          <w:color w:val="auto"/>
          <w:spacing w:val="0"/>
          <w:sz w:val="24"/>
          <w:szCs w:val="22"/>
          <w:highlight w:val="none"/>
          <w:lang w:val="en-US" w:eastAsia="zh-CN"/>
        </w:rPr>
        <w:t>）</w:t>
      </w:r>
      <w:r>
        <w:rPr>
          <w:rFonts w:hint="eastAsia" w:ascii="宋体" w:hAnsi="宋体" w:cs="宋体"/>
          <w:color w:val="auto"/>
          <w:spacing w:val="0"/>
          <w:sz w:val="24"/>
          <w:szCs w:val="22"/>
          <w:highlight w:val="none"/>
          <w:lang w:val="en-US" w:eastAsia="zh-CN"/>
        </w:rPr>
        <w:t>本项目不接受联合体投标</w:t>
      </w:r>
      <w:r>
        <w:rPr>
          <w:rFonts w:hint="eastAsia" w:ascii="宋体" w:hAnsi="宋体" w:eastAsia="宋体" w:cs="宋体"/>
          <w:color w:val="auto"/>
          <w:spacing w:val="0"/>
          <w:sz w:val="24"/>
          <w:szCs w:val="22"/>
          <w:highlight w:val="none"/>
          <w:lang w:val="en-US" w:eastAsia="zh-CN"/>
        </w:rPr>
        <w:t>。</w:t>
      </w:r>
    </w:p>
    <w:p w14:paraId="7F2A18DA">
      <w:pPr>
        <w:adjustRightInd w:val="0"/>
        <w:snapToGrid w:val="0"/>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rPr>
        <w:t>3、投标文件的编制</w:t>
      </w:r>
    </w:p>
    <w:p w14:paraId="5EDC3BD3">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3-1投标文件必须根据招标代理机构发出的标书格式编写，对投标文件做出实质性响应。具体内容包括：</w:t>
      </w:r>
    </w:p>
    <w:p w14:paraId="58E8A9AD">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3-1-1按照要求填写的投标函格式。</w:t>
      </w:r>
    </w:p>
    <w:p w14:paraId="2CB87D8E">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3-1-2投标报价表和分项报价表。</w:t>
      </w:r>
    </w:p>
    <w:p w14:paraId="1E71C351">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3-1-3商务响应表</w:t>
      </w:r>
    </w:p>
    <w:p w14:paraId="5E3C5BAF">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3-1-4技术响应偏离表</w:t>
      </w:r>
    </w:p>
    <w:p w14:paraId="0C9C94CD">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3-1-5法人代表授权书</w:t>
      </w:r>
    </w:p>
    <w:p w14:paraId="3047D74F">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3-1-6按要求出具的资格证明文件，以证明其有资格参加投标和中标后有履行合同的能力，且货物来源渠道合法，质量有保证等，并作为其投标文件的一部分。</w:t>
      </w:r>
    </w:p>
    <w:p w14:paraId="1EFFFB8B">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3-1-7各供应商按招标文件要求，为完成本次采购任务编制的投标方案。</w:t>
      </w:r>
    </w:p>
    <w:p w14:paraId="1010696A">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3-1-8售后服务</w:t>
      </w:r>
    </w:p>
    <w:p w14:paraId="28E1A777">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3-1-9供应商承诺</w:t>
      </w:r>
    </w:p>
    <w:p w14:paraId="3CC9403A">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3-1-10招标文件要求的其他证明文件。</w:t>
      </w:r>
    </w:p>
    <w:p w14:paraId="3D70B983">
      <w:pPr>
        <w:adjustRightInd w:val="0"/>
        <w:snapToGrid w:val="0"/>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rPr>
        <w:t>3-2投标报价：</w:t>
      </w:r>
    </w:p>
    <w:p w14:paraId="10F9F2CB">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3-2-1供应商应在投标文件中的投标报价表（唱标报告）上，填写分类报价和投标总报价，标明服务期，任何有选择的报价招标代理机构不予接受。</w:t>
      </w:r>
    </w:p>
    <w:p w14:paraId="7C405C2A">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3-2-2供应商应在投标报价表中标明完成本次招标所要求的货物、服务且验收合格的包括但不限于花卉的</w:t>
      </w:r>
      <w:r>
        <w:rPr>
          <w:rFonts w:hint="eastAsia" w:ascii="宋体" w:hAnsi="宋体" w:cs="宋体"/>
          <w:color w:val="auto"/>
          <w:sz w:val="24"/>
          <w:szCs w:val="24"/>
          <w:highlight w:val="none"/>
          <w:lang w:eastAsia="zh-CN"/>
        </w:rPr>
        <w:t>主材价</w:t>
      </w:r>
      <w:r>
        <w:rPr>
          <w:rFonts w:hint="eastAsia" w:ascii="宋体" w:hAnsi="宋体" w:cs="宋体"/>
          <w:color w:val="auto"/>
          <w:sz w:val="24"/>
          <w:szCs w:val="24"/>
          <w:highlight w:val="none"/>
        </w:rPr>
        <w:t>、运输费、栽植摆放费、种植土、土工布、海绵包土、pp材质网套固定、上下桥（护栏）搬运费、养护费、清理回收、</w:t>
      </w:r>
      <w:r>
        <w:rPr>
          <w:rFonts w:hint="eastAsia" w:ascii="宋体" w:hAnsi="宋体" w:cs="宋体"/>
          <w:color w:val="auto"/>
          <w:sz w:val="24"/>
          <w:szCs w:val="24"/>
          <w:highlight w:val="none"/>
          <w:lang w:eastAsia="zh-CN"/>
        </w:rPr>
        <w:t>花架花箱花钵清洗</w:t>
      </w:r>
      <w:r>
        <w:rPr>
          <w:rFonts w:hint="eastAsia" w:ascii="宋体" w:hAnsi="宋体" w:cs="宋体"/>
          <w:color w:val="auto"/>
          <w:sz w:val="24"/>
          <w:szCs w:val="24"/>
          <w:highlight w:val="none"/>
        </w:rPr>
        <w:t>等所有</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费用。</w:t>
      </w:r>
    </w:p>
    <w:p w14:paraId="18D41F23">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bCs/>
          <w:color w:val="auto"/>
          <w:sz w:val="24"/>
          <w:szCs w:val="24"/>
          <w:highlight w:val="none"/>
        </w:rPr>
        <w:t>3-2-3</w:t>
      </w:r>
      <w:r>
        <w:rPr>
          <w:rFonts w:hint="eastAsia" w:ascii="宋体" w:hAnsi="宋体" w:cs="宋体"/>
          <w:color w:val="auto"/>
          <w:sz w:val="24"/>
          <w:szCs w:val="24"/>
          <w:highlight w:val="none"/>
        </w:rPr>
        <w:t>投标报价表中标明的投标总价即为合同价格，在合同执行过程中是固定不变的，不受市场价格变化的影响。</w:t>
      </w:r>
    </w:p>
    <w:p w14:paraId="5D99CD7F">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bCs/>
          <w:color w:val="auto"/>
          <w:sz w:val="24"/>
          <w:szCs w:val="24"/>
          <w:highlight w:val="none"/>
        </w:rPr>
        <w:t>3-2-4</w:t>
      </w:r>
      <w:r>
        <w:rPr>
          <w:rFonts w:hint="eastAsia" w:ascii="宋体" w:hAnsi="宋体" w:cs="宋体"/>
          <w:color w:val="auto"/>
          <w:sz w:val="24"/>
          <w:szCs w:val="24"/>
          <w:highlight w:val="none"/>
        </w:rPr>
        <w:t>凡因供应商对招标文件阅读不深、理解不透、误解、疏漏、或因市场行情了解不清造成的后果和风险均由各供应商自负。</w:t>
      </w:r>
    </w:p>
    <w:p w14:paraId="5684983D">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3-3投标货币：本项目投标报价以人民币报价。单位：元（精确到小数点后两位）。合同价格为含税价。</w:t>
      </w:r>
    </w:p>
    <w:p w14:paraId="0017496A">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3-4 任何超过各</w:t>
      </w:r>
      <w:r>
        <w:rPr>
          <w:rFonts w:hint="eastAsia" w:ascii="宋体" w:hAnsi="宋体" w:cs="宋体"/>
          <w:color w:val="auto"/>
          <w:sz w:val="24"/>
          <w:szCs w:val="24"/>
          <w:highlight w:val="none"/>
          <w:lang w:val="en-US" w:eastAsia="zh-CN"/>
        </w:rPr>
        <w:t>标段</w:t>
      </w:r>
      <w:r>
        <w:rPr>
          <w:rFonts w:hint="eastAsia" w:ascii="宋体" w:hAnsi="宋体" w:cs="宋体"/>
          <w:color w:val="auto"/>
          <w:sz w:val="24"/>
          <w:szCs w:val="24"/>
          <w:highlight w:val="none"/>
          <w:lang w:eastAsia="zh-CN"/>
        </w:rPr>
        <w:t>最高限制价</w:t>
      </w:r>
      <w:r>
        <w:rPr>
          <w:rFonts w:hint="eastAsia" w:ascii="宋体" w:hAnsi="宋体" w:cs="宋体"/>
          <w:color w:val="auto"/>
          <w:sz w:val="24"/>
          <w:szCs w:val="24"/>
          <w:highlight w:val="none"/>
        </w:rPr>
        <w:t>的报价为无效报价。</w:t>
      </w:r>
    </w:p>
    <w:p w14:paraId="741EC5CA">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4、投标费用自理。</w:t>
      </w:r>
    </w:p>
    <w:p w14:paraId="683B516A">
      <w:pPr>
        <w:adjustRightInd w:val="0"/>
        <w:snapToGrid w:val="0"/>
        <w:spacing w:line="5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5、投标保证金：</w:t>
      </w:r>
      <w:r>
        <w:rPr>
          <w:rFonts w:hint="eastAsia" w:ascii="宋体" w:hAnsi="宋体" w:cs="宋体"/>
          <w:b/>
          <w:bCs/>
          <w:color w:val="auto"/>
          <w:sz w:val="24"/>
          <w:szCs w:val="24"/>
          <w:highlight w:val="none"/>
        </w:rPr>
        <w:t>本项目不收取投标保证金。</w:t>
      </w:r>
    </w:p>
    <w:p w14:paraId="7D87ACE3">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6、投标响应文件有效期为自投标之日起九十个日历日，中标供应商的投标响应文件有效期延长至合同执行完毕。</w:t>
      </w:r>
    </w:p>
    <w:p w14:paraId="137E4717">
      <w:pPr>
        <w:adjustRightInd w:val="0"/>
        <w:snapToGrid w:val="0"/>
        <w:spacing w:line="520" w:lineRule="exact"/>
        <w:ind w:firstLine="646"/>
        <w:rPr>
          <w:rFonts w:hint="eastAsia"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b/>
          <w:bCs/>
          <w:color w:val="auto"/>
          <w:sz w:val="24"/>
          <w:szCs w:val="24"/>
          <w:highlight w:val="none"/>
        </w:rPr>
        <w:t>最低报价不是中标的唯一依据。</w:t>
      </w:r>
      <w:r>
        <w:rPr>
          <w:rFonts w:hint="eastAsia" w:ascii="宋体" w:hAnsi="宋体" w:cs="宋体"/>
          <w:color w:val="auto"/>
          <w:sz w:val="24"/>
          <w:szCs w:val="24"/>
          <w:highlight w:val="none"/>
        </w:rPr>
        <w:t>供应商不得以低于成本的报价参加投标。投标报价与市场价偏离较大，低于成本，形成不正当竞争的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有可能影响服务质量和不能诚信履约的，评标委员会可要求该供应商在规定的期限内提供书面文件予以解释说明，并提交相关证明材料；否则，投标文件视为无效。</w:t>
      </w:r>
    </w:p>
    <w:p w14:paraId="5BF57320">
      <w:pPr>
        <w:autoSpaceDE w:val="0"/>
        <w:autoSpaceDN w:val="0"/>
        <w:adjustRightInd w:val="0"/>
        <w:spacing w:line="520" w:lineRule="exact"/>
        <w:ind w:right="-168" w:firstLine="632"/>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四、投标文件的式样和签署</w:t>
      </w:r>
    </w:p>
    <w:p w14:paraId="0083BFBC">
      <w:pPr>
        <w:autoSpaceDE w:val="0"/>
        <w:autoSpaceDN w:val="0"/>
        <w:adjustRightInd w:val="0"/>
        <w:spacing w:line="520" w:lineRule="exact"/>
        <w:ind w:right="-168" w:firstLine="63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1、各供应商应参照给定的式样，</w:t>
      </w:r>
      <w:r>
        <w:rPr>
          <w:rFonts w:hint="eastAsia" w:ascii="宋体" w:hAnsi="宋体" w:cs="宋体"/>
          <w:color w:val="auto"/>
          <w:sz w:val="24"/>
          <w:szCs w:val="24"/>
          <w:highlight w:val="none"/>
        </w:rPr>
        <w:t>电子</w:t>
      </w:r>
      <w:r>
        <w:rPr>
          <w:rFonts w:hint="eastAsia" w:ascii="宋体" w:hAnsi="宋体" w:cs="宋体"/>
          <w:color w:val="auto"/>
          <w:sz w:val="24"/>
          <w:szCs w:val="24"/>
          <w:highlight w:val="none"/>
          <w:lang w:val="zh-CN"/>
        </w:rPr>
        <w:t>投标文件应</w:t>
      </w:r>
      <w:r>
        <w:rPr>
          <w:rFonts w:hint="eastAsia" w:ascii="宋体" w:hAnsi="宋体" w:cs="宋体"/>
          <w:color w:val="auto"/>
          <w:sz w:val="24"/>
          <w:szCs w:val="24"/>
          <w:highlight w:val="none"/>
        </w:rPr>
        <w:t>格式工整</w:t>
      </w:r>
      <w:r>
        <w:rPr>
          <w:rFonts w:hint="eastAsia" w:ascii="宋体" w:hAnsi="宋体" w:cs="宋体"/>
          <w:color w:val="auto"/>
          <w:sz w:val="24"/>
          <w:szCs w:val="24"/>
          <w:highlight w:val="none"/>
          <w:lang w:val="zh-CN"/>
        </w:rPr>
        <w:t>、内容齐全、数字准确。</w:t>
      </w:r>
    </w:p>
    <w:p w14:paraId="1A852F5F">
      <w:pPr>
        <w:spacing w:before="191" w:line="219" w:lineRule="auto"/>
        <w:ind w:left="510"/>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pacing w:val="-1"/>
          <w:sz w:val="24"/>
          <w:szCs w:val="24"/>
          <w:highlight w:val="none"/>
        </w:rPr>
        <w:t>电子投标文件须在文件签章规定处由法定代表人或授权代</w:t>
      </w:r>
      <w:r>
        <w:rPr>
          <w:rFonts w:ascii="宋体" w:hAnsi="宋体" w:cs="宋体"/>
          <w:color w:val="auto"/>
          <w:spacing w:val="-2"/>
          <w:sz w:val="24"/>
          <w:szCs w:val="24"/>
          <w:highlight w:val="none"/>
        </w:rPr>
        <w:t>表签字或盖章</w:t>
      </w:r>
      <w:r>
        <w:rPr>
          <w:rFonts w:hint="eastAsia" w:ascii="宋体" w:hAnsi="宋体" w:cs="宋体"/>
          <w:color w:val="auto"/>
          <w:sz w:val="24"/>
          <w:szCs w:val="24"/>
          <w:highlight w:val="none"/>
        </w:rPr>
        <w:t>。</w:t>
      </w:r>
    </w:p>
    <w:p w14:paraId="1BEC41D0">
      <w:pPr>
        <w:adjustRightInd w:val="0"/>
        <w:snapToGrid w:val="0"/>
        <w:spacing w:line="520" w:lineRule="exact"/>
        <w:ind w:firstLine="645"/>
        <w:outlineLvl w:val="0"/>
        <w:rPr>
          <w:rFonts w:ascii="宋体" w:hAnsi="宋体" w:cs="宋体"/>
          <w:b/>
          <w:color w:val="auto"/>
          <w:sz w:val="24"/>
          <w:szCs w:val="24"/>
          <w:highlight w:val="none"/>
        </w:rPr>
      </w:pPr>
      <w:r>
        <w:rPr>
          <w:rFonts w:hint="eastAsia" w:ascii="宋体" w:hAnsi="宋体" w:cs="宋体"/>
          <w:b/>
          <w:color w:val="auto"/>
          <w:sz w:val="24"/>
          <w:szCs w:val="24"/>
          <w:highlight w:val="none"/>
        </w:rPr>
        <w:t>五、投标文件的递交</w:t>
      </w:r>
    </w:p>
    <w:p w14:paraId="5C9F01D3">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1、登录全国公共资源交易中心平台（陕西省）</w:t>
      </w:r>
      <w:r>
        <w:rPr>
          <w:color w:val="auto"/>
          <w:highlight w:val="none"/>
        </w:rPr>
        <w:fldChar w:fldCharType="begin"/>
      </w:r>
      <w:r>
        <w:rPr>
          <w:color w:val="auto"/>
          <w:highlight w:val="none"/>
        </w:rPr>
        <w:instrText xml:space="preserve"> HYPERLINK "http://www.sxggzyjy.cn/" \h </w:instrText>
      </w:r>
      <w:r>
        <w:rPr>
          <w:color w:val="auto"/>
          <w:highlight w:val="none"/>
        </w:rPr>
        <w:fldChar w:fldCharType="separate"/>
      </w:r>
      <w:r>
        <w:rPr>
          <w:rFonts w:hint="eastAsia" w:ascii="宋体" w:hAnsi="宋体" w:cs="宋体"/>
          <w:color w:val="auto"/>
          <w:sz w:val="24"/>
          <w:highlight w:val="none"/>
        </w:rPr>
        <w:t>http://www.sxggzyjy.cn</w:t>
      </w:r>
      <w:r>
        <w:rPr>
          <w:rFonts w:hint="eastAsia" w:ascii="宋体" w:hAnsi="宋体" w:cs="宋体"/>
          <w:color w:val="auto"/>
          <w:sz w:val="24"/>
          <w:highlight w:val="none"/>
        </w:rPr>
        <w:fldChar w:fldCharType="end"/>
      </w:r>
      <w:r>
        <w:rPr>
          <w:rFonts w:hint="eastAsia" w:ascii="宋体" w:hAnsi="宋体" w:cs="宋体"/>
          <w:color w:val="auto"/>
          <w:sz w:val="24"/>
          <w:highlight w:val="none"/>
        </w:rPr>
        <w:t>，选择“电子交易平台→陕西政府采购交易系统→企业端”进行登录，登录后选择“交易乙方”身份进入，进入菜单“采购业务→我的项目→项目流程→上传响应文件”，上传加密的电子投标文件（*.SXSTF），上传成功后，电子化平台将予以记录。</w:t>
      </w:r>
    </w:p>
    <w:p w14:paraId="00C86D70">
      <w:pPr>
        <w:adjustRightInd w:val="0"/>
        <w:snapToGrid w:val="0"/>
        <w:spacing w:line="520" w:lineRule="exact"/>
        <w:ind w:firstLine="645"/>
        <w:outlineLvl w:val="0"/>
        <w:rPr>
          <w:rFonts w:ascii="宋体" w:hAnsi="宋体" w:cs="宋体"/>
          <w:color w:val="auto"/>
          <w:sz w:val="24"/>
          <w:highlight w:val="none"/>
        </w:rPr>
      </w:pPr>
      <w:r>
        <w:rPr>
          <w:rFonts w:hint="eastAsia" w:ascii="宋体" w:hAnsi="宋体" w:cs="宋体"/>
          <w:color w:val="auto"/>
          <w:sz w:val="24"/>
          <w:highlight w:val="none"/>
        </w:rPr>
        <w:t>2、电子投标文件在投标投标文件截止时间前，可进行撤回文件操作。撤回后，可在提交投标文件截止时间前重新提交文件。提交投标投标文件截止时间后，不能进行撤回文件操作。是否进行撤回文件操作，由投标供应商决定，责任由投标供应商自行承担。</w:t>
      </w:r>
    </w:p>
    <w:p w14:paraId="101E6B31">
      <w:pPr>
        <w:adjustRightInd w:val="0"/>
        <w:snapToGrid w:val="0"/>
        <w:spacing w:line="520" w:lineRule="exact"/>
        <w:ind w:firstLine="241" w:firstLineChars="100"/>
        <w:outlineLvl w:val="0"/>
        <w:rPr>
          <w:rFonts w:ascii="宋体" w:hAnsi="宋体" w:cs="宋体"/>
          <w:b/>
          <w:color w:val="auto"/>
          <w:sz w:val="24"/>
          <w:szCs w:val="24"/>
          <w:highlight w:val="none"/>
        </w:rPr>
      </w:pPr>
      <w:r>
        <w:rPr>
          <w:rFonts w:hint="eastAsia" w:ascii="宋体" w:hAnsi="宋体" w:cs="宋体"/>
          <w:b/>
          <w:color w:val="auto"/>
          <w:sz w:val="24"/>
          <w:szCs w:val="24"/>
          <w:highlight w:val="none"/>
        </w:rPr>
        <w:t>六、安康市公共资源交易平台全流程电子化政府采购项目内容</w:t>
      </w:r>
    </w:p>
    <w:p w14:paraId="0DAC01F5">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1、关于需要特别提醒供应商的内容</w:t>
      </w:r>
    </w:p>
    <w:p w14:paraId="39B86679">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1.1、本项目采用电子化投标方式投标供应商须使用数字认证证书对电子投标文件进行签章、加密、递交及开标时解密等相关招投标事宜。开标时</w:t>
      </w:r>
      <w:r>
        <w:rPr>
          <w:rFonts w:hint="eastAsia" w:ascii="宋体" w:hAnsi="宋体" w:cs="宋体"/>
          <w:color w:val="auto"/>
          <w:sz w:val="24"/>
          <w:szCs w:val="24"/>
          <w:highlight w:val="none"/>
          <w:lang w:eastAsia="zh-CN"/>
        </w:rPr>
        <w:t>需</w:t>
      </w:r>
      <w:r>
        <w:rPr>
          <w:rFonts w:hint="eastAsia" w:ascii="宋体" w:hAnsi="宋体" w:cs="宋体"/>
          <w:color w:val="auto"/>
          <w:sz w:val="24"/>
          <w:szCs w:val="24"/>
          <w:highlight w:val="none"/>
          <w:lang w:val="en-US" w:eastAsia="zh-CN"/>
        </w:rPr>
        <w:t>配备</w:t>
      </w:r>
      <w:r>
        <w:rPr>
          <w:rFonts w:hint="eastAsia" w:ascii="宋体" w:hAnsi="宋体" w:cs="宋体"/>
          <w:color w:val="auto"/>
          <w:sz w:val="24"/>
          <w:szCs w:val="24"/>
          <w:highlight w:val="none"/>
        </w:rPr>
        <w:t>数字认证证书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CA锁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，如因供应商自身原因造成无法解密投标文件，按无效投标对待。</w:t>
      </w:r>
    </w:p>
    <w:p w14:paraId="1FB168F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1.2、制作电子投标文件</w:t>
      </w:r>
    </w:p>
    <w:p w14:paraId="49C8C53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5DEE809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1.3、递交电子投标文件</w:t>
      </w:r>
    </w:p>
    <w:p w14:paraId="3D8DAD3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D07B335">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2、关于投标</w:t>
      </w:r>
    </w:p>
    <w:p w14:paraId="469E779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2.1、投标须知：使用捆绑省交易平台的CA锁登录电子交易平台，通过政府采购系统企业端进入，点击我要投标，完善相关投标信息；</w:t>
      </w:r>
    </w:p>
    <w:p w14:paraId="5BADDBD2">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2.2.投标确认：</w:t>
      </w:r>
      <w:r>
        <w:rPr>
          <w:rFonts w:hint="eastAsia" w:ascii="宋体" w:hAnsi="宋体" w:cs="宋体"/>
          <w:color w:val="auto"/>
          <w:sz w:val="24"/>
          <w:highlight w:val="none"/>
        </w:rPr>
        <w:t>供应商须在文件获取时间内下载扩展名为（*.SXSZF）的电子招标文件，未在招标文件获取时间内下载招标文件将导致投标被拒绝</w:t>
      </w:r>
      <w:r>
        <w:rPr>
          <w:rFonts w:hint="eastAsia" w:ascii="宋体" w:hAnsi="宋体" w:cs="宋体"/>
          <w:color w:val="auto"/>
          <w:sz w:val="24"/>
          <w:szCs w:val="24"/>
          <w:highlight w:val="none"/>
        </w:rPr>
        <w:t>；</w:t>
      </w:r>
    </w:p>
    <w:p w14:paraId="235E33DC">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highlight w:val="none"/>
        </w:rPr>
        <w:t>未完成网上投标成功的或未在网站上下载招标文件的，无法完成后续流程</w:t>
      </w:r>
      <w:r>
        <w:rPr>
          <w:rFonts w:hint="eastAsia" w:ascii="宋体" w:hAnsi="宋体" w:cs="宋体"/>
          <w:color w:val="auto"/>
          <w:sz w:val="24"/>
          <w:szCs w:val="24"/>
          <w:highlight w:val="none"/>
        </w:rPr>
        <w:t>；</w:t>
      </w:r>
    </w:p>
    <w:p w14:paraId="4EFA420B">
      <w:pPr>
        <w:spacing w:line="520" w:lineRule="exact"/>
        <w:ind w:firstLine="658"/>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2.4、</w:t>
      </w:r>
      <w:r>
        <w:rPr>
          <w:rFonts w:hint="eastAsia" w:ascii="宋体" w:hAnsi="宋体" w:cs="宋体"/>
          <w:color w:val="auto"/>
          <w:sz w:val="24"/>
          <w:highlight w:val="none"/>
        </w:rPr>
        <w:t>本项目采用电子化不见面投标的方式，相关操作流程详见全国公共资源交易平台（陕西省）网站[服务指南-下载专区]中的《陕西省公共资源交易中心政府采购项目投标指南》</w:t>
      </w:r>
      <w:r>
        <w:rPr>
          <w:rFonts w:hint="eastAsia" w:ascii="宋体" w:hAnsi="宋体" w:cs="宋体"/>
          <w:color w:val="auto"/>
          <w:sz w:val="24"/>
          <w:highlight w:val="none"/>
          <w:lang w:eastAsia="zh-CN"/>
        </w:rPr>
        <w:t>；</w:t>
      </w:r>
    </w:p>
    <w:p w14:paraId="025C1404">
      <w:pPr>
        <w:spacing w:line="520" w:lineRule="exact"/>
        <w:ind w:firstLine="658"/>
        <w:rPr>
          <w:rFonts w:hint="eastAsia" w:ascii="宋体" w:hAnsi="宋体" w:cs="宋体"/>
          <w:color w:val="auto"/>
          <w:sz w:val="24"/>
          <w:highlight w:val="none"/>
          <w:lang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w:t>
      </w:r>
      <w:r>
        <w:rPr>
          <w:rFonts w:hint="eastAsia" w:ascii="宋体" w:hAnsi="宋体" w:cs="宋体"/>
          <w:color w:val="auto"/>
          <w:sz w:val="24"/>
          <w:highlight w:val="none"/>
        </w:rPr>
        <w:t>各供应商须在</w:t>
      </w:r>
      <w:r>
        <w:rPr>
          <w:rFonts w:hint="eastAsia" w:ascii="宋体" w:hAnsi="宋体" w:cs="宋体"/>
          <w:color w:val="auto"/>
          <w:sz w:val="24"/>
          <w:highlight w:val="none"/>
          <w:lang w:val="en-US" w:eastAsia="zh-CN"/>
        </w:rPr>
        <w:t>文件获取时间</w:t>
      </w:r>
      <w:r>
        <w:rPr>
          <w:rFonts w:hint="eastAsia" w:ascii="宋体" w:hAnsi="宋体" w:cs="宋体"/>
          <w:color w:val="auto"/>
          <w:sz w:val="24"/>
          <w:highlight w:val="none"/>
        </w:rPr>
        <w:t>内下载招标文件，未下载文件的供应商将无法提交电子投标文件</w:t>
      </w:r>
      <w:r>
        <w:rPr>
          <w:rFonts w:hint="eastAsia" w:ascii="宋体" w:hAnsi="宋体" w:cs="宋体"/>
          <w:color w:val="auto"/>
          <w:sz w:val="24"/>
          <w:highlight w:val="none"/>
          <w:lang w:eastAsia="zh-CN"/>
        </w:rPr>
        <w:t>；</w:t>
      </w:r>
    </w:p>
    <w:p w14:paraId="32631BB5">
      <w:pPr>
        <w:spacing w:line="520" w:lineRule="exact"/>
        <w:ind w:firstLine="658"/>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、电子招标文件技术支持：4009280095、4009980000</w:t>
      </w:r>
      <w:r>
        <w:rPr>
          <w:rFonts w:hint="eastAsia" w:ascii="宋体" w:hAnsi="宋体" w:cs="宋体"/>
          <w:color w:val="auto"/>
          <w:sz w:val="24"/>
          <w:szCs w:val="24"/>
          <w:highlight w:val="none"/>
          <w:lang w:eastAsia="zh-CN"/>
        </w:rPr>
        <w:t>；</w:t>
      </w:r>
    </w:p>
    <w:p w14:paraId="53E5A44D">
      <w:pPr>
        <w:spacing w:line="520" w:lineRule="exact"/>
        <w:ind w:firstLine="658"/>
        <w:rPr>
          <w:rFonts w:ascii="宋体" w:hAnsi="宋体" w:cs="宋体"/>
          <w:color w:val="auto"/>
          <w:sz w:val="24"/>
          <w:szCs w:val="24"/>
          <w:highlight w:val="none"/>
        </w:rPr>
      </w:pPr>
      <w:r>
        <w:rPr>
          <w:rFonts w:hint="eastAsia" w:ascii="宋体" w:hAnsi="宋体" w:cs="宋体"/>
          <w:color w:val="auto"/>
          <w:sz w:val="24"/>
          <w:highlight w:val="none"/>
          <w:lang w:val="en-US" w:eastAsia="zh-CN"/>
        </w:rPr>
        <w:t>2.7、</w:t>
      </w:r>
      <w:r>
        <w:rPr>
          <w:rFonts w:hint="eastAsia" w:ascii="宋体" w:hAnsi="宋体" w:cs="宋体"/>
          <w:color w:val="auto"/>
          <w:sz w:val="24"/>
          <w:highlight w:val="none"/>
        </w:rPr>
        <w:t>请各供应商获取招标文件后，按照陕西省财政厅《关于政府采购供应商注册登记有关事项的通知》要求，通过陕西省政府采购网注册登记加入陕西省政府采购供应商库</w:t>
      </w:r>
      <w:r>
        <w:rPr>
          <w:rFonts w:hint="eastAsia" w:ascii="宋体" w:hAnsi="宋体" w:cs="宋体"/>
          <w:color w:val="auto"/>
          <w:sz w:val="24"/>
          <w:highlight w:val="none"/>
          <w:lang w:eastAsia="zh-CN"/>
        </w:rPr>
        <w:t>；</w:t>
      </w:r>
    </w:p>
    <w:p w14:paraId="4D981ECC">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3、关于文件的制作和签名</w:t>
      </w:r>
    </w:p>
    <w:p w14:paraId="48D8E7D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3.1.为确保采购项目顺利开展，本项目采用电子投标文件的方式。供应商在投标时须提供电子投标文件。</w:t>
      </w:r>
    </w:p>
    <w:p w14:paraId="2567C13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3.2. 编制电子投标文件时，应使用最新发布的电子招标文件及专用制作工具进行编制。并使用数字认证证书（CA）对电子投标文件进行签署、加密、递交及开标时解密等相关操作。</w:t>
      </w:r>
    </w:p>
    <w:p w14:paraId="5CD4A653">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（1）电子招标文件下载</w:t>
      </w:r>
    </w:p>
    <w:p w14:paraId="37783257">
      <w:pPr>
        <w:spacing w:line="520" w:lineRule="exact"/>
        <w:ind w:firstLine="658"/>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供应商登录全国公共资源交易平台（陕西省）网站[电子交易平台-企业端]后，在[我的项目]中点击“项目流程-交易文件下载”下载电子招标文件（*.SXSZF）</w:t>
      </w:r>
      <w:r>
        <w:rPr>
          <w:rFonts w:hint="eastAsia" w:ascii="宋体" w:hAnsi="宋体" w:cs="宋体"/>
          <w:color w:val="auto"/>
          <w:sz w:val="24"/>
          <w:szCs w:val="24"/>
          <w:highlight w:val="none"/>
          <w:lang w:eastAsia="zh-CN"/>
        </w:rPr>
        <w:t>；</w:t>
      </w:r>
    </w:p>
    <w:p w14:paraId="58B1E591">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注意：该项目如有变更文件，则应点击“项目流程&gt;答疑文件下载”下载更新后的电子招标文件（*.SXSCF），使用旧版电子招标文件制作的电子投标文件，系统将拒绝接收。</w:t>
      </w:r>
    </w:p>
    <w:p w14:paraId="7379E667">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（2）电子招标文件需要使用专用软件打开、浏览</w:t>
      </w:r>
    </w:p>
    <w:p w14:paraId="08FC76B1">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下载网址：</w:t>
      </w:r>
    </w:p>
    <w:p w14:paraId="613FCE1E">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http://www.sxggzyjy.cn/fwzn/004003/20170821/c3afa05b-f5e6-4e64-9fb0-e397ef73413d.html；</w:t>
      </w:r>
    </w:p>
    <w:p w14:paraId="4E76A52C">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（3）制作电子投标文件</w:t>
      </w:r>
    </w:p>
    <w:p w14:paraId="40101D8A">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电子投标文件同样需要使用上述软件进行编制。在编制过程中，如有技术性问题，请先翻阅操作手册或致电软件开发商，技术支持热线：4009280095、4009980000。</w:t>
      </w:r>
    </w:p>
    <w:p w14:paraId="41485C5B">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4、关于响应文件递交与解密</w:t>
      </w:r>
    </w:p>
    <w:p w14:paraId="7FEBB587">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4.1.文件递交</w:t>
      </w:r>
    </w:p>
    <w:p w14:paraId="0EDEB587">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3D9DC61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4.2.文件开启与解密</w:t>
      </w:r>
    </w:p>
    <w:p w14:paraId="2181EFBA">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开标时，供应商须使用电子投标文件加密时所用的数字认证证书（CA锁）在各自办公场所的电脑上登录安康市公共资源交易中心（不见面开标网址）http://219.145.206.209/BidOpeningHall/bidopeninghallaction/hall/login开标时间截止前完成签到，并在开标时自行解密电子投标文件。涉及到二次报价的，</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使用主</w:t>
      </w:r>
      <w:r>
        <w:rPr>
          <w:rFonts w:hint="eastAsia" w:ascii="宋体" w:hAnsi="宋体" w:cs="宋体"/>
          <w:color w:val="auto"/>
          <w:sz w:val="24"/>
          <w:szCs w:val="24"/>
          <w:highlight w:val="none"/>
        </w:rPr>
        <w:t>锁报价，只有主锁才有签章功能，二次报价才能完成。</w:t>
      </w:r>
    </w:p>
    <w:p w14:paraId="6BA4B196">
      <w:pPr>
        <w:spacing w:line="52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注意事项：</w:t>
      </w:r>
    </w:p>
    <w:p w14:paraId="35CE1CEE">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①为顺利实现不见面开标系统的远程交互，建议供应商配置的软硬件设施有：高配置电脑、高速稳定的网络、电源（不间断）、CA 锁、音视频设备（话筒、耳麦、高清摄像头、音响），浏览器要求使用 IE11 浏览器，且电脑已经正确安装了陕西省公共资源 CA 驱动。供应商需安装新点播放器，以便观看远程不见面开标直播画面（播放器下载链接为：（</w:t>
      </w:r>
      <w:r>
        <w:rPr>
          <w:color w:val="auto"/>
          <w:highlight w:val="none"/>
        </w:rPr>
        <w:fldChar w:fldCharType="begin"/>
      </w:r>
      <w:r>
        <w:rPr>
          <w:color w:val="auto"/>
          <w:highlight w:val="none"/>
        </w:rPr>
        <w:instrText xml:space="preserve"> HYPERLINK "https://download.bqpoint.com/download/downloaddetail.html?SourceFrom=Down" </w:instrText>
      </w:r>
      <w:r>
        <w:rPr>
          <w:color w:val="auto"/>
          <w:highlight w:val="none"/>
        </w:rPr>
        <w:fldChar w:fldCharType="separate"/>
      </w:r>
      <w:r>
        <w:rPr>
          <w:rFonts w:hint="eastAsia" w:ascii="宋体" w:hAnsi="宋体" w:cs="宋体"/>
          <w:color w:val="auto"/>
          <w:sz w:val="24"/>
          <w:szCs w:val="24"/>
          <w:highlight w:val="none"/>
        </w:rPr>
        <w:t>https://download.bqpoint.com/download/downloaddetail.html?SourceFrom=Down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&amp;SoftGuid=55aa4e06-c384-4005-bcb9-48932d410fd4）</w:t>
      </w:r>
    </w:p>
    <w:p w14:paraId="0F0C0590">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②建议供应商在开标前 1 小时登录不见面开标大厅，并及时签到（开标前 60 分钟即可签到），遇到问题及时联系客服 4009280000。</w:t>
      </w:r>
    </w:p>
    <w:p w14:paraId="6CA1031A">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③及时关注不见面开标大厅右侧公告及互动栏目信息。</w:t>
      </w:r>
    </w:p>
    <w:p w14:paraId="081FB43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（2）采购代理机构将在开标会议现场做开标记录。</w:t>
      </w:r>
    </w:p>
    <w:p w14:paraId="0EB20D9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（3）在开标环节出现下列情况之一的，其电子投标文件视为无效文件：</w:t>
      </w:r>
    </w:p>
    <w:p w14:paraId="6014BA9A">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a.供应商拒绝对电子投标文件进行解密的；</w:t>
      </w:r>
    </w:p>
    <w:p w14:paraId="15831346">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b.本项目采用</w:t>
      </w:r>
      <w:r>
        <w:rPr>
          <w:rFonts w:hint="eastAsia" w:ascii="宋体" w:hAnsi="宋体" w:cs="宋体"/>
          <w:color w:val="auto"/>
          <w:sz w:val="24"/>
          <w:szCs w:val="24"/>
          <w:highlight w:val="none"/>
          <w:lang w:val="en-US" w:eastAsia="zh-CN"/>
        </w:rPr>
        <w:t>全流程电子化招投标</w:t>
      </w:r>
      <w:r>
        <w:rPr>
          <w:rFonts w:hint="eastAsia" w:ascii="宋体" w:hAnsi="宋体" w:cs="宋体"/>
          <w:color w:val="auto"/>
          <w:sz w:val="24"/>
          <w:szCs w:val="24"/>
          <w:highlight w:val="none"/>
        </w:rPr>
        <w:t>及</w:t>
      </w:r>
      <w:r>
        <w:rPr>
          <w:rFonts w:hint="eastAsia" w:ascii="宋体" w:hAnsi="宋体" w:cs="宋体"/>
          <w:color w:val="auto"/>
          <w:sz w:val="24"/>
          <w:szCs w:val="24"/>
          <w:highlight w:val="none"/>
          <w:lang w:val="en-US" w:eastAsia="zh-CN"/>
        </w:rPr>
        <w:t>不见面</w:t>
      </w:r>
      <w:r>
        <w:rPr>
          <w:rFonts w:hint="eastAsia" w:ascii="宋体" w:hAnsi="宋体" w:cs="宋体"/>
          <w:color w:val="auto"/>
          <w:sz w:val="24"/>
          <w:szCs w:val="24"/>
          <w:highlight w:val="none"/>
        </w:rPr>
        <w:t>开标方式（无需提供纸质版文件，</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需到开标现场）。开标时请务必携带数字认证证书，如因供应商自身原因（如未带CA锁、或所带CA锁与制作电子投标文件使用的CA锁不一</w:t>
      </w:r>
      <w:r>
        <w:rPr>
          <w:rFonts w:hint="eastAsia" w:ascii="宋体" w:hAnsi="宋体" w:cs="宋体"/>
          <w:color w:val="auto"/>
          <w:sz w:val="24"/>
          <w:szCs w:val="24"/>
          <w:highlight w:val="none"/>
          <w:lang w:val="en-US" w:eastAsia="zh-CN"/>
        </w:rPr>
        <w:t>致（加密和解密必须为同一数字认证证书，否则将会导致解密失败）、或沿用旧版招标文件编制投标文件</w:t>
      </w:r>
      <w:r>
        <w:rPr>
          <w:rFonts w:hint="eastAsia" w:ascii="宋体" w:hAnsi="宋体" w:cs="宋体"/>
          <w:color w:val="auto"/>
          <w:sz w:val="24"/>
          <w:szCs w:val="24"/>
          <w:highlight w:val="none"/>
        </w:rPr>
        <w:t>等情形），导致在规定时间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30分钟</w:t>
      </w:r>
      <w:r>
        <w:rPr>
          <w:rFonts w:hint="eastAsia" w:ascii="宋体" w:hAnsi="宋体" w:cs="宋体"/>
          <w:color w:val="auto"/>
          <w:sz w:val="24"/>
          <w:szCs w:val="24"/>
          <w:highlight w:val="none"/>
        </w:rPr>
        <w:t>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无法解密投标文件的；</w:t>
      </w:r>
    </w:p>
    <w:p w14:paraId="2F818FC3">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c.上传的电子投标文件无法打开的</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未按招标文件要求方式解密的电子投标文件，将作为无效投标文件；</w:t>
      </w:r>
    </w:p>
    <w:p w14:paraId="3619300C">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d.</w:t>
      </w:r>
      <w:r>
        <w:rPr>
          <w:rFonts w:hint="eastAsia" w:ascii="宋体" w:hAnsi="宋体" w:cs="宋体"/>
          <w:color w:val="auto"/>
          <w:sz w:val="24"/>
          <w:szCs w:val="24"/>
          <w:highlight w:val="none"/>
        </w:rPr>
        <w:t>任何超过各</w:t>
      </w:r>
      <w:r>
        <w:rPr>
          <w:rFonts w:hint="eastAsia" w:ascii="宋体" w:hAnsi="宋体" w:cs="宋体"/>
          <w:color w:val="auto"/>
          <w:sz w:val="24"/>
          <w:szCs w:val="24"/>
          <w:highlight w:val="none"/>
          <w:lang w:val="en-US" w:eastAsia="zh-CN"/>
        </w:rPr>
        <w:t>标段</w:t>
      </w:r>
      <w:r>
        <w:rPr>
          <w:rFonts w:hint="eastAsia" w:ascii="宋体" w:hAnsi="宋体" w:cs="宋体"/>
          <w:color w:val="auto"/>
          <w:sz w:val="24"/>
          <w:szCs w:val="24"/>
          <w:highlight w:val="none"/>
          <w:lang w:eastAsia="zh-CN"/>
        </w:rPr>
        <w:t>最高限制价</w:t>
      </w:r>
      <w:r>
        <w:rPr>
          <w:rFonts w:hint="eastAsia" w:ascii="宋体" w:hAnsi="宋体" w:cs="宋体"/>
          <w:color w:val="auto"/>
          <w:sz w:val="24"/>
          <w:szCs w:val="24"/>
          <w:highlight w:val="none"/>
        </w:rPr>
        <w:t>的报价均为无效报价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任何有选择的报价将不予接受（不可修正或者另行备注报价表），否则按无效文件处理</w:t>
      </w:r>
      <w:r>
        <w:rPr>
          <w:rFonts w:hint="eastAsia" w:ascii="宋体" w:hAnsi="宋体" w:cs="宋体"/>
          <w:color w:val="auto"/>
          <w:sz w:val="24"/>
          <w:szCs w:val="24"/>
          <w:highlight w:val="none"/>
          <w:lang w:val="en-US" w:eastAsia="zh-CN"/>
        </w:rPr>
        <w:t>；</w:t>
      </w:r>
    </w:p>
    <w:p w14:paraId="38C21FF6">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e.</w:t>
      </w:r>
      <w:r>
        <w:rPr>
          <w:rFonts w:hint="eastAsia" w:ascii="宋体" w:hAnsi="宋体" w:cs="宋体"/>
          <w:color w:val="auto"/>
          <w:sz w:val="24"/>
          <w:szCs w:val="24"/>
          <w:highlight w:val="none"/>
        </w:rPr>
        <w:t>供应商必须从陕西省公共资源交易中心网站下载招标文件，供应商自行转让或复制标书视为无效</w:t>
      </w:r>
      <w:r>
        <w:rPr>
          <w:rFonts w:hint="eastAsia" w:ascii="宋体" w:hAnsi="宋体" w:cs="宋体"/>
          <w:color w:val="auto"/>
          <w:sz w:val="24"/>
          <w:szCs w:val="24"/>
          <w:highlight w:val="none"/>
          <w:lang w:eastAsia="zh-CN"/>
        </w:rPr>
        <w:t>。</w:t>
      </w:r>
    </w:p>
    <w:p w14:paraId="67455797">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f.</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不</w:t>
      </w:r>
      <w:r>
        <w:rPr>
          <w:rFonts w:hint="eastAsia" w:ascii="宋体" w:hAnsi="宋体" w:cs="宋体"/>
          <w:color w:val="auto"/>
          <w:sz w:val="24"/>
          <w:szCs w:val="24"/>
          <w:highlight w:val="none"/>
          <w:lang w:val="en-US" w:eastAsia="zh-CN"/>
        </w:rPr>
        <w:t>符合</w:t>
      </w:r>
      <w:r>
        <w:rPr>
          <w:rFonts w:hint="eastAsia" w:ascii="宋体" w:hAnsi="宋体" w:cs="宋体"/>
          <w:color w:val="auto"/>
          <w:sz w:val="24"/>
          <w:szCs w:val="24"/>
          <w:highlight w:val="none"/>
        </w:rPr>
        <w:t>招标文件中规定</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审查的</w:t>
      </w:r>
      <w:r>
        <w:rPr>
          <w:rFonts w:hint="eastAsia" w:ascii="宋体" w:hAnsi="宋体" w:cs="宋体"/>
          <w:color w:val="auto"/>
          <w:sz w:val="24"/>
          <w:szCs w:val="24"/>
          <w:highlight w:val="none"/>
        </w:rPr>
        <w:t>不得进入下一步的符合性审查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评审</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w:t>
      </w:r>
    </w:p>
    <w:p w14:paraId="1FD7D4C9">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有下列情形之一的，视为供应商相互恶意串通投标响应，其投标文件按无效处理：</w:t>
      </w:r>
    </w:p>
    <w:p w14:paraId="4E6FA5F1">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-1不同供应商的投标文件由同一单位或者个人编制；</w:t>
      </w:r>
    </w:p>
    <w:p w14:paraId="19F1A5C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-2不同供应商委托同一单位或者个人办理投标事宜；</w:t>
      </w:r>
    </w:p>
    <w:p w14:paraId="169DC6A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-3不同供应商的响应文件载明的项目管理成员为同一人；</w:t>
      </w:r>
    </w:p>
    <w:p w14:paraId="3D4FDF3C">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-4不同供应商的响应文件异常一致或者投标报价呈规律性差异；</w:t>
      </w:r>
    </w:p>
    <w:p w14:paraId="061A0F50">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在技术、服务及商务响应程度评审中，出现下列情况之一的，投标文件视为无效：</w:t>
      </w:r>
    </w:p>
    <w:p w14:paraId="6E7D19E0">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1.投标报价子目出现漏项或数量与招标文件要求不符的；</w:t>
      </w:r>
    </w:p>
    <w:p w14:paraId="632BF55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2.投标报价与市场价偏离较大，低于成本，形成不正当竞争的；</w:t>
      </w:r>
    </w:p>
    <w:p w14:paraId="6020BBD1">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3.投标内容与招标文件要求的采购标的、规格型号、采购数量、技术和服务要求等实质性内容出现重大负偏差的；</w:t>
      </w:r>
    </w:p>
    <w:p w14:paraId="342E19F6">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4.提供虚假技术性能指标的（出现技术指标前后矛盾的，以国家职能部门认定的指标为准）；</w:t>
      </w:r>
    </w:p>
    <w:p w14:paraId="49FFBEFD">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5.投标文件在款项结算、质量保证、验收条件等方面的响应与招标文件要求不一致或附加了采购人和评标委员会难以接受的条件的；</w:t>
      </w:r>
    </w:p>
    <w:p w14:paraId="5FE0A3C0">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h-6.未响应招标文件合同草案条款的；</w:t>
      </w:r>
    </w:p>
    <w:p w14:paraId="38EBD30C">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i.在投标文件资格性、有效性和完整性检查时，出现下列情况之一的，投标文件视为无效：</w:t>
      </w:r>
    </w:p>
    <w:p w14:paraId="6D3245C6">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i-1.未按照招标文件规定要求签署、盖章的；</w:t>
      </w:r>
    </w:p>
    <w:p w14:paraId="148B95AD">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i-2投标文件中无投标有效期或有效期达不到招标文件要求的</w:t>
      </w:r>
      <w:r>
        <w:rPr>
          <w:rFonts w:hint="eastAsia" w:ascii="宋体" w:hAnsi="宋体" w:cs="宋体"/>
          <w:color w:val="auto"/>
          <w:sz w:val="24"/>
          <w:szCs w:val="24"/>
          <w:highlight w:val="none"/>
        </w:rPr>
        <w:t>；</w:t>
      </w:r>
    </w:p>
    <w:p w14:paraId="52550244">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i-3投标文件的构成缺少其中一项或某项达不到招标文件要求的</w:t>
      </w:r>
      <w:r>
        <w:rPr>
          <w:rFonts w:hint="eastAsia" w:ascii="宋体" w:hAnsi="宋体" w:cs="宋体"/>
          <w:color w:val="auto"/>
          <w:sz w:val="24"/>
          <w:szCs w:val="24"/>
          <w:highlight w:val="none"/>
        </w:rPr>
        <w:t>；</w:t>
      </w:r>
    </w:p>
    <w:p w14:paraId="7185D301">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i-4供应商单位负责人为同一人或者存在直接控股、管理关系的不 同服务商，参加同一合同项下的政府采购活动的</w:t>
      </w:r>
      <w:r>
        <w:rPr>
          <w:rFonts w:hint="eastAsia" w:ascii="宋体" w:hAnsi="宋体" w:cs="宋体"/>
          <w:color w:val="auto"/>
          <w:sz w:val="24"/>
          <w:szCs w:val="24"/>
          <w:highlight w:val="none"/>
        </w:rPr>
        <w:t>；</w:t>
      </w:r>
    </w:p>
    <w:p w14:paraId="4843495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j.</w:t>
      </w:r>
      <w:r>
        <w:rPr>
          <w:rFonts w:hint="eastAsia" w:ascii="宋体" w:hAnsi="宋体" w:cs="宋体"/>
          <w:color w:val="auto"/>
          <w:sz w:val="24"/>
          <w:szCs w:val="24"/>
          <w:highlight w:val="none"/>
        </w:rPr>
        <w:t>政府采购法律法规规定的其他无效情形。</w:t>
      </w:r>
    </w:p>
    <w:p w14:paraId="13589A07">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5、投标文件的修改与撤回</w:t>
      </w:r>
    </w:p>
    <w:p w14:paraId="0DF05B6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5.1 供应商在投标文件截止时间前，可以对所提交的投标文件进行补充、修改或者撤回，并书面通知采购代理机构。补充、修改的内容应当按招标文件要求签署、盖章、</w:t>
      </w:r>
    </w:p>
    <w:p w14:paraId="5B98B3A8">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标记和递交，并作为投标文件的组成部分。</w:t>
      </w:r>
    </w:p>
    <w:p w14:paraId="65B5F772">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5.2 投标文件提交截止时间后，供应商不得对其投标文件做任何修改。</w:t>
      </w:r>
    </w:p>
    <w:p w14:paraId="0F99060D">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6、投标文件内容的真实性</w:t>
      </w:r>
    </w:p>
    <w:p w14:paraId="68BF6336">
      <w:pPr>
        <w:spacing w:line="520" w:lineRule="exact"/>
        <w:ind w:firstLine="658"/>
        <w:rPr>
          <w:rFonts w:ascii="宋体" w:hAnsi="宋体" w:cs="宋体"/>
          <w:b/>
          <w:bCs/>
          <w:color w:val="auto"/>
          <w:sz w:val="24"/>
          <w:szCs w:val="24"/>
          <w:highlight w:val="none"/>
        </w:rPr>
      </w:pPr>
      <w:r>
        <w:rPr>
          <w:rFonts w:hint="eastAsia" w:ascii="宋体" w:hAnsi="宋体" w:cs="宋体"/>
          <w:color w:val="auto"/>
          <w:sz w:val="24"/>
          <w:szCs w:val="24"/>
          <w:highlight w:val="none"/>
        </w:rPr>
        <w:t>供应商应保证其投标文件中所提供的所有投标资料、证明文件是真实的，并且来源 于合法的渠道。因投标文件中所提供的投标资料、信息不真实或者其来源不合法而导致的所有法律责任，由供应商自行承担。</w:t>
      </w:r>
    </w:p>
    <w:p w14:paraId="1999E564">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b/>
          <w:color w:val="auto"/>
          <w:sz w:val="24"/>
          <w:szCs w:val="24"/>
          <w:highlight w:val="none"/>
        </w:rPr>
        <w:t>七、开标</w:t>
      </w:r>
    </w:p>
    <w:p w14:paraId="000881B1">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1.采购代理机构按招标文件规定的时间和地点组织开标，整个过程接受监督部门的监督。</w:t>
      </w:r>
    </w:p>
    <w:p w14:paraId="69E04EC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本项目采用远程不见面开标方式进行开标，采购代理机构在规定的时间和地点组织开标，投标单位授权代表不到现场参加开标，须自行在各自办公场所，自备电脑在投标截止时间前登录不见面开标大厅，进行远程开标。</w:t>
      </w:r>
    </w:p>
    <w:p w14:paraId="15C17BAC">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 为顺利实现不见面开标系统的远程交互，建议供应商配置的软硬件设施有：高配置电脑、高速稳定的网络、电源（不间断）、CA 锁、音视频设备（话筒、耳麦、高 清摄像头、音响），</w:t>
      </w:r>
      <w:r>
        <w:rPr>
          <w:rFonts w:hint="eastAsia" w:ascii="宋体" w:hAnsi="宋体" w:cs="宋体"/>
          <w:b/>
          <w:bCs/>
          <w:color w:val="auto"/>
          <w:sz w:val="24"/>
          <w:szCs w:val="24"/>
          <w:highlight w:val="none"/>
        </w:rPr>
        <w:t>浏览器要求使用 IE11 浏览器，且电脑已经正确安装了陕西省公共资源 CA 驱动。</w:t>
      </w:r>
    </w:p>
    <w:p w14:paraId="2C0E6BA0">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4.供应商需注意解密电子投标文件时使用的 CA 锁，必须为制作投标文件的 CA锁。否则文件无法解密。不见面开标方式因供应商不到达开标现场，资格审查请按招标文件中要求，在投标文件中上传</w:t>
      </w:r>
      <w:r>
        <w:rPr>
          <w:rFonts w:hint="eastAsia" w:ascii="宋体" w:hAnsi="宋体" w:cs="宋体"/>
          <w:color w:val="auto"/>
          <w:sz w:val="24"/>
          <w:szCs w:val="24"/>
          <w:highlight w:val="none"/>
          <w:lang w:val="en-US" w:eastAsia="zh-CN"/>
        </w:rPr>
        <w:t>加盖公章的</w:t>
      </w:r>
      <w:r>
        <w:rPr>
          <w:rFonts w:hint="eastAsia" w:ascii="宋体" w:hAnsi="宋体" w:cs="宋体"/>
          <w:color w:val="auto"/>
          <w:sz w:val="24"/>
          <w:szCs w:val="24"/>
          <w:highlight w:val="none"/>
        </w:rPr>
        <w:t>电子版。</w:t>
      </w:r>
    </w:p>
    <w:p w14:paraId="7FC7B074">
      <w:pPr>
        <w:spacing w:line="520" w:lineRule="exact"/>
        <w:ind w:firstLine="658"/>
        <w:rPr>
          <w:rFonts w:ascii="宋体" w:hAnsi="宋体" w:cs="宋体"/>
          <w:b/>
          <w:bCs/>
          <w:color w:val="auto"/>
          <w:sz w:val="24"/>
          <w:szCs w:val="24"/>
          <w:highlight w:val="none"/>
        </w:rPr>
      </w:pPr>
      <w:r>
        <w:rPr>
          <w:rFonts w:hint="eastAsia" w:ascii="宋体" w:hAnsi="宋体" w:cs="宋体"/>
          <w:color w:val="auto"/>
          <w:sz w:val="24"/>
          <w:szCs w:val="24"/>
          <w:highlight w:val="none"/>
        </w:rPr>
        <w:t>5.各供应商应提前进入不见面开标大厅进行签到（开标前60分钟即可进行签到），</w:t>
      </w:r>
      <w:r>
        <w:rPr>
          <w:rFonts w:hint="eastAsia" w:ascii="宋体" w:hAnsi="宋体" w:cs="宋体"/>
          <w:b/>
          <w:bCs/>
          <w:color w:val="auto"/>
          <w:sz w:val="24"/>
          <w:szCs w:val="24"/>
          <w:highlight w:val="none"/>
        </w:rPr>
        <w:t>开标时间截止将不能签到，请各供应商提前登录不见面开标大厅进行签到。网址：http://</w:t>
      </w:r>
      <w:r>
        <w:rPr>
          <w:color w:val="auto"/>
          <w:highlight w:val="none"/>
        </w:rPr>
        <w:fldChar w:fldCharType="begin"/>
      </w:r>
      <w:r>
        <w:rPr>
          <w:color w:val="auto"/>
          <w:highlight w:val="none"/>
        </w:rPr>
        <w:instrText xml:space="preserve"> HYPERLINK "file:///D:\\Documents\\WeChat%20Files\\justxujuan\\FileStorage\\File\\2024-01\\219.145.206.209" </w:instrText>
      </w:r>
      <w:r>
        <w:rPr>
          <w:color w:val="auto"/>
          <w:highlight w:val="none"/>
        </w:rPr>
        <w:fldChar w:fldCharType="separate"/>
      </w:r>
      <w:r>
        <w:rPr>
          <w:rFonts w:hint="eastAsia" w:ascii="宋体" w:hAnsi="宋体" w:cs="宋体"/>
          <w:b/>
          <w:bCs/>
          <w:color w:val="auto"/>
          <w:sz w:val="24"/>
          <w:szCs w:val="24"/>
          <w:highlight w:val="none"/>
        </w:rPr>
        <w:t>219.145.206.209</w:t>
      </w:r>
      <w:r>
        <w:rPr>
          <w:rFonts w:hint="eastAsia" w:ascii="宋体" w:hAnsi="宋体" w:cs="宋体"/>
          <w:b/>
          <w:bCs/>
          <w:color w:val="auto"/>
          <w:sz w:val="24"/>
          <w:szCs w:val="24"/>
          <w:highlight w:val="none"/>
        </w:rPr>
        <w:fldChar w:fldCharType="end"/>
      </w:r>
      <w:r>
        <w:rPr>
          <w:rFonts w:hint="eastAsia" w:ascii="宋体" w:hAnsi="宋体" w:cs="宋体"/>
          <w:b/>
          <w:bCs/>
          <w:color w:val="auto"/>
          <w:sz w:val="24"/>
          <w:szCs w:val="24"/>
          <w:highlight w:val="none"/>
        </w:rPr>
        <w:t>/BidOpeningHall/bidopeninghallaction/hall/login），遇到问题及时联系客服 4009280095。</w:t>
      </w:r>
    </w:p>
    <w:p w14:paraId="1417D269">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6.开标时，供应商须使用电子投标文件加密时所用的数字认证证书（CA 锁）在自备电脑上自行远程解密电子投标文件，由电子交易系统进行自动唱标。</w:t>
      </w:r>
    </w:p>
    <w:p w14:paraId="71BCCED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7.供应商需在解密时间规定内完成</w:t>
      </w:r>
      <w:r>
        <w:rPr>
          <w:rFonts w:hint="eastAsia" w:ascii="宋体" w:hAnsi="宋体" w:cs="宋体"/>
          <w:color w:val="auto"/>
          <w:sz w:val="24"/>
          <w:szCs w:val="24"/>
          <w:highlight w:val="none"/>
          <w:lang w:val="en-US" w:eastAsia="zh-CN"/>
        </w:rPr>
        <w:t>电子投标文件</w:t>
      </w:r>
      <w:r>
        <w:rPr>
          <w:rFonts w:hint="eastAsia" w:ascii="宋体" w:hAnsi="宋体" w:cs="宋体"/>
          <w:color w:val="auto"/>
          <w:sz w:val="24"/>
          <w:szCs w:val="24"/>
          <w:highlight w:val="none"/>
        </w:rPr>
        <w:t>解密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30分钟内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。所有投标单位解密完成后由开标人员将投标文件导入开评标系统。</w:t>
      </w:r>
    </w:p>
    <w:p w14:paraId="5100F2A2">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8. 宣布开标结束后，进入评审阶段。供应商保持手机畅通，如遇评标委员会需要供应商澄清相关事项的，如因自身原因导致无法按时接听电话，其自行承担相关责任和后果。</w:t>
      </w:r>
    </w:p>
    <w:p w14:paraId="046C22F5">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9.评标委员会的组成及要求</w:t>
      </w:r>
    </w:p>
    <w:p w14:paraId="3A298CB7">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为确保评标工作公平、公正，依法成立评标委员会。评标委员会由采购人及有关专家组成，专家比例不少于评委总数的三分之二。专家名单由有关方面在陕西省政府采购专家库中随机抽取。评标委员会成员应当遵守并履行下列职责义务：</w:t>
      </w:r>
    </w:p>
    <w:p w14:paraId="71909B77">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9.1遵纪守法，客观、公正、认真负责地履行职责，审查投标文件是否符合招标文件的要求，并做出评价；</w:t>
      </w:r>
    </w:p>
    <w:p w14:paraId="1B61DE6C">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9.2要求供应商对投标文件有关事项作出解释或澄清；</w:t>
      </w:r>
    </w:p>
    <w:p w14:paraId="192B9FC5">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9.3按照招标文件的要求和评标标准进行评标，推荐中标候选单位名单，对评审意见承担个人责任；</w:t>
      </w:r>
    </w:p>
    <w:p w14:paraId="43004489">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9.4对评标过程和结果以及供应商的商业秘密保密；</w:t>
      </w:r>
    </w:p>
    <w:p w14:paraId="3A19E325">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9.5参与评标结果报告的起草；</w:t>
      </w:r>
    </w:p>
    <w:p w14:paraId="5EE7966F">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9.6配合</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、招标代理机构答复供应商提出的质疑；</w:t>
      </w:r>
    </w:p>
    <w:p w14:paraId="01654D12">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9.7配合有关部门处理投诉工作；</w:t>
      </w:r>
    </w:p>
    <w:p w14:paraId="1038770E">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10.开标时，招标代理机构以公开唱标的形式将投标报价表的内容公布。</w:t>
      </w:r>
    </w:p>
    <w:p w14:paraId="518442BA">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11.开标结束到向中标单位授予合同期间，凡与审查、澄清、评价和比较评标的有关资料及评审意见等内容，评标委员会均不得向供应商及与评标无关的其他人透露。</w:t>
      </w:r>
    </w:p>
    <w:p w14:paraId="2272CFB4">
      <w:pPr>
        <w:spacing w:line="520" w:lineRule="exact"/>
        <w:ind w:firstLine="645"/>
        <w:rPr>
          <w:rFonts w:ascii="宋体" w:hAnsi="宋体" w:cs="宋体"/>
          <w:b/>
          <w:color w:val="auto"/>
          <w:sz w:val="24"/>
          <w:szCs w:val="24"/>
          <w:highlight w:val="none"/>
        </w:rPr>
      </w:pPr>
      <w:r>
        <w:rPr>
          <w:rFonts w:hint="eastAsia" w:ascii="宋体" w:hAnsi="宋体" w:cs="宋体"/>
          <w:b/>
          <w:color w:val="auto"/>
          <w:sz w:val="24"/>
          <w:szCs w:val="24"/>
          <w:highlight w:val="none"/>
        </w:rPr>
        <w:t>12.最低报价不作为唯一中标原则。</w:t>
      </w:r>
    </w:p>
    <w:p w14:paraId="7A393E0F">
      <w:pPr>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rPr>
        <w:t>八、评标</w:t>
      </w:r>
    </w:p>
    <w:p w14:paraId="34C89167">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1.投标文件的资格性审查：依据法律法规和招标文件的规定，采购人或采购代理机构将审查各供应商的资格证明文件是否合格齐全等。</w:t>
      </w:r>
    </w:p>
    <w:p w14:paraId="5636A30B">
      <w:pPr>
        <w:spacing w:line="520" w:lineRule="exact"/>
        <w:ind w:firstLine="645"/>
        <w:rPr>
          <w:rFonts w:hint="eastAsia" w:ascii="宋体" w:hAnsi="宋体" w:cs="宋体"/>
          <w:color w:val="auto"/>
          <w:sz w:val="24"/>
          <w:szCs w:val="24"/>
          <w:highlight w:val="none"/>
        </w:rPr>
      </w:pPr>
      <w:r>
        <w:rPr>
          <w:rFonts w:hint="eastAsia" w:ascii="宋体" w:hAnsi="宋体" w:cs="宋体"/>
          <w:color w:val="auto"/>
          <w:sz w:val="24"/>
          <w:szCs w:val="24"/>
          <w:highlight w:val="none"/>
        </w:rPr>
        <w:t>2.不符合招标文件中规定资格条件的，在资格性审查时按照无效投标处理：</w:t>
      </w:r>
    </w:p>
    <w:p w14:paraId="2BE3704B">
      <w:pPr>
        <w:spacing w:line="520" w:lineRule="exact"/>
        <w:ind w:firstLine="645"/>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资格性审查</w:t>
      </w:r>
    </w:p>
    <w:tbl>
      <w:tblPr>
        <w:tblStyle w:val="66"/>
        <w:tblW w:w="93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2114"/>
        <w:gridCol w:w="6577"/>
      </w:tblGrid>
      <w:tr w14:paraId="6C52B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707" w:type="dxa"/>
            <w:shd w:val="clear" w:color="auto" w:fill="FDEADA" w:themeFill="accent6" w:themeFillTint="32"/>
            <w:vAlign w:val="center"/>
          </w:tcPr>
          <w:p w14:paraId="52D3960A">
            <w:pPr>
              <w:jc w:val="center"/>
              <w:rPr>
                <w:rFonts w:ascii="宋体" w:hAnsi="宋体" w:cs="宋体"/>
                <w:color w:val="auto"/>
                <w:highlight w:val="none"/>
              </w:rPr>
            </w:pPr>
            <w:r>
              <w:rPr>
                <w:rFonts w:hint="eastAsia" w:ascii="宋体" w:hAnsi="宋体" w:cs="宋体"/>
                <w:color w:val="auto"/>
                <w:highlight w:val="none"/>
              </w:rPr>
              <w:t>序号</w:t>
            </w:r>
          </w:p>
        </w:tc>
        <w:tc>
          <w:tcPr>
            <w:tcW w:w="2114" w:type="dxa"/>
            <w:shd w:val="clear" w:color="auto" w:fill="FDEADA" w:themeFill="accent6" w:themeFillTint="32"/>
            <w:vAlign w:val="center"/>
          </w:tcPr>
          <w:p w14:paraId="4B999491">
            <w:pPr>
              <w:jc w:val="center"/>
              <w:rPr>
                <w:rFonts w:ascii="宋体" w:hAnsi="宋体" w:cs="宋体"/>
                <w:color w:val="auto"/>
                <w:highlight w:val="none"/>
              </w:rPr>
            </w:pPr>
            <w:r>
              <w:rPr>
                <w:rFonts w:hint="eastAsia" w:ascii="宋体" w:hAnsi="宋体" w:cs="宋体"/>
                <w:color w:val="auto"/>
                <w:highlight w:val="none"/>
              </w:rPr>
              <w:t>评审因素</w:t>
            </w:r>
          </w:p>
        </w:tc>
        <w:tc>
          <w:tcPr>
            <w:tcW w:w="6577" w:type="dxa"/>
            <w:shd w:val="clear" w:color="auto" w:fill="FDEADA" w:themeFill="accent6" w:themeFillTint="32"/>
            <w:vAlign w:val="center"/>
          </w:tcPr>
          <w:p w14:paraId="6321E4A8">
            <w:pPr>
              <w:spacing w:before="177"/>
              <w:ind w:right="108"/>
              <w:jc w:val="center"/>
              <w:rPr>
                <w:rFonts w:ascii="宋体" w:hAnsi="宋体" w:cs="宋体"/>
                <w:color w:val="auto"/>
                <w:sz w:val="24"/>
                <w:highlight w:val="none"/>
              </w:rPr>
            </w:pPr>
            <w:r>
              <w:rPr>
                <w:rFonts w:hint="eastAsia" w:ascii="宋体" w:hAnsi="宋体" w:cs="宋体"/>
                <w:color w:val="auto"/>
                <w:highlight w:val="none"/>
              </w:rPr>
              <w:t>评审标准</w:t>
            </w:r>
          </w:p>
        </w:tc>
      </w:tr>
      <w:tr w14:paraId="1457F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07" w:type="dxa"/>
            <w:tcBorders>
              <w:bottom w:val="single" w:color="auto" w:sz="4" w:space="0"/>
            </w:tcBorders>
            <w:shd w:val="clear" w:color="auto" w:fill="FDEADA" w:themeFill="accent6" w:themeFillTint="32"/>
            <w:vAlign w:val="center"/>
          </w:tcPr>
          <w:p w14:paraId="5512522B">
            <w:pPr>
              <w:jc w:val="center"/>
              <w:rPr>
                <w:rFonts w:ascii="宋体" w:hAnsi="宋体" w:cs="宋体"/>
                <w:color w:val="auto"/>
                <w:highlight w:val="none"/>
              </w:rPr>
            </w:pPr>
            <w:r>
              <w:rPr>
                <w:rFonts w:hint="eastAsia" w:ascii="宋体" w:hAnsi="宋体" w:cs="宋体"/>
                <w:color w:val="auto"/>
                <w:highlight w:val="none"/>
              </w:rPr>
              <w:t>1</w:t>
            </w:r>
          </w:p>
        </w:tc>
        <w:tc>
          <w:tcPr>
            <w:tcW w:w="2114" w:type="dxa"/>
            <w:tcBorders>
              <w:bottom w:val="single" w:color="auto" w:sz="4" w:space="0"/>
            </w:tcBorders>
            <w:shd w:val="clear" w:color="auto" w:fill="FDEADA" w:themeFill="accent6" w:themeFillTint="32"/>
            <w:vAlign w:val="center"/>
          </w:tcPr>
          <w:p w14:paraId="141B5D2C">
            <w:pPr>
              <w:jc w:val="center"/>
              <w:rPr>
                <w:rFonts w:ascii="宋体" w:hAnsi="宋体" w:cs="宋体"/>
                <w:color w:val="auto"/>
                <w:highlight w:val="none"/>
              </w:rPr>
            </w:pPr>
            <w:r>
              <w:rPr>
                <w:rFonts w:hint="eastAsia" w:ascii="宋体" w:hAnsi="宋体" w:cs="宋体"/>
                <w:color w:val="auto"/>
                <w:highlight w:val="none"/>
              </w:rPr>
              <w:t>有效的主体资格证明</w:t>
            </w:r>
          </w:p>
        </w:tc>
        <w:tc>
          <w:tcPr>
            <w:tcW w:w="6577" w:type="dxa"/>
            <w:shd w:val="clear" w:color="auto" w:fill="EBF1DE" w:themeFill="accent3" w:themeFillTint="32"/>
            <w:vAlign w:val="center"/>
          </w:tcPr>
          <w:p w14:paraId="39191E97">
            <w:pPr>
              <w:rPr>
                <w:rFonts w:ascii="宋体" w:hAnsi="宋体" w:cs="宋体"/>
                <w:color w:val="auto"/>
                <w:highlight w:val="none"/>
              </w:rPr>
            </w:pPr>
            <w:r>
              <w:rPr>
                <w:rFonts w:hint="eastAsia" w:ascii="宋体" w:hAnsi="宋体" w:cs="宋体"/>
                <w:color w:val="auto"/>
                <w:highlight w:val="none"/>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4DB63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07" w:type="dxa"/>
            <w:tcBorders>
              <w:top w:val="single" w:color="auto" w:sz="4" w:space="0"/>
              <w:bottom w:val="single" w:color="auto" w:sz="4" w:space="0"/>
            </w:tcBorders>
            <w:shd w:val="clear" w:color="auto" w:fill="FDEADA" w:themeFill="accent6" w:themeFillTint="32"/>
            <w:vAlign w:val="center"/>
          </w:tcPr>
          <w:p w14:paraId="4F4CA738">
            <w:pPr>
              <w:jc w:val="center"/>
              <w:rPr>
                <w:rFonts w:ascii="宋体" w:hAnsi="宋体" w:cs="宋体"/>
                <w:color w:val="auto"/>
                <w:highlight w:val="none"/>
              </w:rPr>
            </w:pPr>
            <w:r>
              <w:rPr>
                <w:rFonts w:hint="eastAsia" w:ascii="宋体" w:hAnsi="宋体" w:cs="宋体"/>
                <w:color w:val="auto"/>
                <w:highlight w:val="none"/>
              </w:rPr>
              <w:t>2</w:t>
            </w:r>
          </w:p>
        </w:tc>
        <w:tc>
          <w:tcPr>
            <w:tcW w:w="2114" w:type="dxa"/>
            <w:tcBorders>
              <w:top w:val="single" w:color="auto" w:sz="4" w:space="0"/>
              <w:bottom w:val="single" w:color="auto" w:sz="4" w:space="0"/>
            </w:tcBorders>
            <w:shd w:val="clear" w:color="auto" w:fill="FDEADA" w:themeFill="accent6" w:themeFillTint="32"/>
            <w:vAlign w:val="center"/>
          </w:tcPr>
          <w:p w14:paraId="21D09409">
            <w:pPr>
              <w:jc w:val="center"/>
              <w:rPr>
                <w:rFonts w:ascii="宋体" w:hAnsi="宋体" w:cs="宋体"/>
                <w:color w:val="auto"/>
                <w:highlight w:val="none"/>
              </w:rPr>
            </w:pPr>
            <w:r>
              <w:rPr>
                <w:rFonts w:hint="eastAsia" w:ascii="宋体" w:hAnsi="宋体" w:cs="宋体"/>
                <w:color w:val="auto"/>
                <w:highlight w:val="none"/>
              </w:rPr>
              <w:t>法定代表人授权委托书</w:t>
            </w:r>
          </w:p>
        </w:tc>
        <w:tc>
          <w:tcPr>
            <w:tcW w:w="6577" w:type="dxa"/>
            <w:shd w:val="clear" w:color="auto" w:fill="EBF1DE" w:themeFill="accent3" w:themeFillTint="32"/>
            <w:vAlign w:val="center"/>
          </w:tcPr>
          <w:p w14:paraId="3890F213">
            <w:pPr>
              <w:rPr>
                <w:rFonts w:ascii="宋体" w:hAnsi="宋体" w:cs="宋体"/>
                <w:color w:val="auto"/>
                <w:highlight w:val="none"/>
              </w:rPr>
            </w:pPr>
            <w:r>
              <w:rPr>
                <w:rFonts w:hint="eastAsia" w:ascii="宋体" w:hAnsi="宋体" w:cs="宋体"/>
                <w:color w:val="auto"/>
                <w:highlight w:val="none"/>
              </w:rPr>
              <w:t>提供法定代表人授权书（附法定代表人身份证复印件）及被授权代表身份证复印件（法定代表人直接参加只须提供法定代表人身份证复印件）</w:t>
            </w:r>
          </w:p>
        </w:tc>
      </w:tr>
      <w:tr w14:paraId="1C948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707" w:type="dxa"/>
            <w:tcBorders>
              <w:top w:val="single" w:color="auto" w:sz="4" w:space="0"/>
              <w:bottom w:val="single" w:color="auto" w:sz="4" w:space="0"/>
            </w:tcBorders>
            <w:shd w:val="clear" w:color="auto" w:fill="FDEADA" w:themeFill="accent6" w:themeFillTint="32"/>
            <w:vAlign w:val="center"/>
          </w:tcPr>
          <w:p w14:paraId="54F3CD20">
            <w:pPr>
              <w:jc w:val="center"/>
              <w:rPr>
                <w:rFonts w:ascii="宋体" w:hAnsi="宋体" w:cs="宋体"/>
                <w:color w:val="auto"/>
                <w:highlight w:val="none"/>
              </w:rPr>
            </w:pPr>
            <w:r>
              <w:rPr>
                <w:rFonts w:hint="eastAsia" w:ascii="宋体" w:hAnsi="宋体" w:cs="宋体"/>
                <w:color w:val="auto"/>
                <w:highlight w:val="none"/>
              </w:rPr>
              <w:t>3</w:t>
            </w:r>
          </w:p>
        </w:tc>
        <w:tc>
          <w:tcPr>
            <w:tcW w:w="2114" w:type="dxa"/>
            <w:tcBorders>
              <w:top w:val="single" w:color="auto" w:sz="4" w:space="0"/>
            </w:tcBorders>
            <w:shd w:val="clear" w:color="auto" w:fill="FDEADA" w:themeFill="accent6" w:themeFillTint="32"/>
            <w:vAlign w:val="center"/>
          </w:tcPr>
          <w:p w14:paraId="3C8726A1">
            <w:pPr>
              <w:jc w:val="center"/>
              <w:rPr>
                <w:rFonts w:ascii="宋体" w:hAnsi="宋体" w:cs="宋体"/>
                <w:color w:val="auto"/>
                <w:highlight w:val="none"/>
              </w:rPr>
            </w:pPr>
            <w:r>
              <w:rPr>
                <w:rFonts w:hint="eastAsia" w:ascii="宋体" w:hAnsi="宋体" w:cs="宋体"/>
                <w:color w:val="auto"/>
                <w:highlight w:val="none"/>
              </w:rPr>
              <w:t>税收缴纳证明</w:t>
            </w:r>
          </w:p>
        </w:tc>
        <w:tc>
          <w:tcPr>
            <w:tcW w:w="6577" w:type="dxa"/>
            <w:shd w:val="clear" w:color="auto" w:fill="EBF1DE" w:themeFill="accent3" w:themeFillTint="32"/>
            <w:vAlign w:val="center"/>
          </w:tcPr>
          <w:p w14:paraId="5B2E22D9">
            <w:pPr>
              <w:jc w:val="left"/>
              <w:rPr>
                <w:rFonts w:ascii="宋体" w:hAnsi="宋体" w:cs="宋体"/>
                <w:color w:val="auto"/>
                <w:highlight w:val="none"/>
              </w:rPr>
            </w:pPr>
            <w:r>
              <w:rPr>
                <w:rFonts w:hint="eastAsia" w:ascii="宋体" w:hAnsi="宋体" w:cs="宋体"/>
                <w:color w:val="auto"/>
                <w:highlight w:val="none"/>
              </w:rPr>
              <w:t>自</w:t>
            </w:r>
            <w:r>
              <w:rPr>
                <w:rFonts w:hint="eastAsia" w:ascii="宋体" w:hAnsi="宋体" w:cs="宋体"/>
                <w:color w:val="auto"/>
                <w:highlight w:val="none"/>
                <w:lang w:eastAsia="zh-CN"/>
              </w:rPr>
              <w:t>2025年11月</w:t>
            </w:r>
            <w:r>
              <w:rPr>
                <w:rFonts w:hint="eastAsia" w:ascii="宋体" w:hAnsi="宋体" w:cs="宋体"/>
                <w:color w:val="auto"/>
                <w:highlight w:val="none"/>
                <w:lang w:val="en-US" w:eastAsia="zh-CN"/>
              </w:rPr>
              <w:t>至今</w:t>
            </w:r>
            <w:r>
              <w:rPr>
                <w:rFonts w:hint="eastAsia" w:ascii="宋体" w:hAnsi="宋体" w:cs="宋体"/>
                <w:color w:val="auto"/>
                <w:highlight w:val="none"/>
              </w:rPr>
              <w:t>至少</w:t>
            </w:r>
            <w:r>
              <w:rPr>
                <w:rFonts w:hint="eastAsia" w:ascii="宋体" w:hAnsi="宋体" w:cs="宋体"/>
                <w:color w:val="auto"/>
                <w:highlight w:val="none"/>
                <w:lang w:val="en-US" w:eastAsia="zh-CN"/>
              </w:rPr>
              <w:t>1</w:t>
            </w:r>
            <w:r>
              <w:rPr>
                <w:rFonts w:hint="eastAsia" w:ascii="宋体" w:hAnsi="宋体" w:cs="宋体"/>
                <w:color w:val="auto"/>
                <w:highlight w:val="none"/>
              </w:rPr>
              <w:t>个月的纳税证明或完税证明(提供增值税、企业所得税至少一种),纳税证明或完税证明上应有代收机构或税务机关的公章或业务专用章。依法免税的供应商应提供相关文件证明</w:t>
            </w:r>
          </w:p>
        </w:tc>
      </w:tr>
      <w:tr w14:paraId="386AA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707" w:type="dxa"/>
            <w:tcBorders>
              <w:top w:val="single" w:color="auto" w:sz="4" w:space="0"/>
              <w:bottom w:val="single" w:color="auto" w:sz="4" w:space="0"/>
            </w:tcBorders>
            <w:shd w:val="clear" w:color="auto" w:fill="FDEADA" w:themeFill="accent6" w:themeFillTint="32"/>
            <w:vAlign w:val="center"/>
          </w:tcPr>
          <w:p w14:paraId="44564642">
            <w:pPr>
              <w:jc w:val="center"/>
              <w:rPr>
                <w:rFonts w:ascii="宋体" w:hAnsi="宋体" w:cs="宋体"/>
                <w:color w:val="auto"/>
                <w:highlight w:val="none"/>
              </w:rPr>
            </w:pPr>
            <w:r>
              <w:rPr>
                <w:rFonts w:hint="eastAsia" w:ascii="宋体" w:hAnsi="宋体" w:cs="宋体"/>
                <w:color w:val="auto"/>
                <w:highlight w:val="none"/>
              </w:rPr>
              <w:t>4</w:t>
            </w:r>
          </w:p>
        </w:tc>
        <w:tc>
          <w:tcPr>
            <w:tcW w:w="2114" w:type="dxa"/>
            <w:tcBorders>
              <w:top w:val="single" w:color="auto" w:sz="4" w:space="0"/>
            </w:tcBorders>
            <w:shd w:val="clear" w:color="auto" w:fill="FDEADA" w:themeFill="accent6" w:themeFillTint="32"/>
            <w:vAlign w:val="center"/>
          </w:tcPr>
          <w:p w14:paraId="3AC6429F">
            <w:pPr>
              <w:jc w:val="center"/>
              <w:rPr>
                <w:rFonts w:ascii="宋体" w:hAnsi="宋体" w:cs="宋体"/>
                <w:color w:val="auto"/>
                <w:highlight w:val="none"/>
              </w:rPr>
            </w:pPr>
            <w:r>
              <w:rPr>
                <w:rFonts w:hint="eastAsia" w:ascii="宋体" w:hAnsi="宋体" w:cs="宋体"/>
                <w:color w:val="auto"/>
                <w:highlight w:val="none"/>
              </w:rPr>
              <w:t>社会保障资金缴纳证明</w:t>
            </w:r>
          </w:p>
        </w:tc>
        <w:tc>
          <w:tcPr>
            <w:tcW w:w="6577" w:type="dxa"/>
            <w:shd w:val="clear" w:color="auto" w:fill="EBF1DE" w:themeFill="accent3" w:themeFillTint="32"/>
            <w:vAlign w:val="center"/>
          </w:tcPr>
          <w:p w14:paraId="2A75C2F4">
            <w:pPr>
              <w:jc w:val="left"/>
              <w:rPr>
                <w:rFonts w:ascii="宋体" w:hAnsi="宋体" w:cs="宋体"/>
                <w:color w:val="auto"/>
                <w:highlight w:val="none"/>
              </w:rPr>
            </w:pPr>
            <w:r>
              <w:rPr>
                <w:rFonts w:hint="eastAsia" w:ascii="宋体" w:hAnsi="宋体" w:cs="宋体"/>
                <w:color w:val="auto"/>
                <w:highlight w:val="none"/>
              </w:rPr>
              <w:t>自</w:t>
            </w:r>
            <w:r>
              <w:rPr>
                <w:rFonts w:hint="eastAsia" w:ascii="宋体" w:hAnsi="宋体" w:cs="宋体"/>
                <w:color w:val="auto"/>
                <w:highlight w:val="none"/>
                <w:lang w:eastAsia="zh-CN"/>
              </w:rPr>
              <w:t>2025年11月</w:t>
            </w:r>
            <w:r>
              <w:rPr>
                <w:rFonts w:hint="eastAsia" w:ascii="宋体" w:hAnsi="宋体" w:cs="宋体"/>
                <w:color w:val="auto"/>
                <w:highlight w:val="none"/>
                <w:lang w:val="en-US" w:eastAsia="zh-CN"/>
              </w:rPr>
              <w:t>至今</w:t>
            </w:r>
            <w:r>
              <w:rPr>
                <w:rFonts w:hint="eastAsia" w:ascii="宋体" w:hAnsi="宋体" w:cs="宋体"/>
                <w:color w:val="auto"/>
                <w:highlight w:val="none"/>
              </w:rPr>
              <w:t>已缴存的至少</w:t>
            </w:r>
            <w:r>
              <w:rPr>
                <w:rFonts w:hint="eastAsia" w:ascii="宋体" w:hAnsi="宋体" w:cs="宋体"/>
                <w:color w:val="auto"/>
                <w:highlight w:val="none"/>
                <w:lang w:val="en-US" w:eastAsia="zh-CN"/>
              </w:rPr>
              <w:t>1</w:t>
            </w:r>
            <w:r>
              <w:rPr>
                <w:rFonts w:hint="eastAsia" w:ascii="宋体" w:hAnsi="宋体" w:cs="宋体"/>
                <w:color w:val="auto"/>
                <w:highlight w:val="none"/>
              </w:rPr>
              <w:t>个月的社会保障资金缴存单据或社保机构开具的社会保险参保缴费情况证明，单据或证明上应有社保机构或代收机构的印章。依法不需要缴纳社会保障资金的供应商应提供相关文件证明</w:t>
            </w:r>
          </w:p>
        </w:tc>
      </w:tr>
      <w:tr w14:paraId="2179A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707" w:type="dxa"/>
            <w:tcBorders>
              <w:top w:val="single" w:color="auto" w:sz="4" w:space="0"/>
              <w:bottom w:val="single" w:color="auto" w:sz="4" w:space="0"/>
            </w:tcBorders>
            <w:shd w:val="clear" w:color="auto" w:fill="FDEADA" w:themeFill="accent6" w:themeFillTint="32"/>
            <w:vAlign w:val="center"/>
          </w:tcPr>
          <w:p w14:paraId="6865D087">
            <w:pPr>
              <w:jc w:val="center"/>
              <w:rPr>
                <w:rFonts w:ascii="宋体" w:hAnsi="宋体" w:cs="宋体"/>
                <w:color w:val="auto"/>
                <w:highlight w:val="none"/>
              </w:rPr>
            </w:pPr>
            <w:r>
              <w:rPr>
                <w:rFonts w:hint="eastAsia" w:ascii="宋体" w:hAnsi="宋体" w:cs="宋体"/>
                <w:color w:val="auto"/>
                <w:highlight w:val="none"/>
              </w:rPr>
              <w:t>5</w:t>
            </w:r>
          </w:p>
        </w:tc>
        <w:tc>
          <w:tcPr>
            <w:tcW w:w="2114" w:type="dxa"/>
            <w:tcBorders>
              <w:bottom w:val="single" w:color="auto" w:sz="4" w:space="0"/>
            </w:tcBorders>
            <w:shd w:val="clear" w:color="auto" w:fill="FDEADA" w:themeFill="accent6" w:themeFillTint="32"/>
            <w:vAlign w:val="center"/>
          </w:tcPr>
          <w:p w14:paraId="34F444DA">
            <w:pPr>
              <w:jc w:val="center"/>
              <w:rPr>
                <w:rFonts w:ascii="宋体" w:hAnsi="宋体" w:cs="宋体"/>
                <w:color w:val="auto"/>
                <w:highlight w:val="none"/>
              </w:rPr>
            </w:pPr>
            <w:r>
              <w:rPr>
                <w:rFonts w:hint="eastAsia" w:ascii="宋体" w:hAnsi="宋体" w:cs="宋体"/>
                <w:color w:val="auto"/>
                <w:highlight w:val="none"/>
              </w:rPr>
              <w:t>财务状况报告</w:t>
            </w:r>
          </w:p>
        </w:tc>
        <w:tc>
          <w:tcPr>
            <w:tcW w:w="6577" w:type="dxa"/>
            <w:shd w:val="clear" w:color="auto" w:fill="EBF1DE" w:themeFill="accent3" w:themeFillTint="32"/>
            <w:vAlign w:val="center"/>
          </w:tcPr>
          <w:p w14:paraId="4905E672">
            <w:pPr>
              <w:jc w:val="left"/>
              <w:rPr>
                <w:rFonts w:ascii="宋体" w:hAnsi="宋体" w:cs="宋体"/>
                <w:color w:val="auto"/>
                <w:highlight w:val="none"/>
              </w:rPr>
            </w:pPr>
            <w:r>
              <w:rPr>
                <w:rFonts w:hint="eastAsia" w:ascii="宋体" w:hAnsi="宋体" w:cs="宋体"/>
                <w:color w:val="auto"/>
                <w:highlight w:val="none"/>
                <w:lang w:eastAsia="zh-CN"/>
              </w:rPr>
              <w:t>提供2023年至2025年任意一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即可或2025年度任意连续3个月的财务报表(至少应包含资产负债表、利润表和现金流量表)；</w:t>
            </w:r>
          </w:p>
        </w:tc>
      </w:tr>
      <w:tr w14:paraId="2BFBF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707" w:type="dxa"/>
            <w:tcBorders>
              <w:top w:val="single" w:color="auto" w:sz="4" w:space="0"/>
              <w:bottom w:val="single" w:color="auto" w:sz="4" w:space="0"/>
            </w:tcBorders>
            <w:shd w:val="clear" w:color="auto" w:fill="FDEADA" w:themeFill="accent6" w:themeFillTint="32"/>
            <w:vAlign w:val="center"/>
          </w:tcPr>
          <w:p w14:paraId="7DAE4C15">
            <w:pPr>
              <w:jc w:val="center"/>
              <w:rPr>
                <w:rFonts w:ascii="宋体" w:hAnsi="宋体" w:cs="宋体"/>
                <w:color w:val="auto"/>
                <w:highlight w:val="none"/>
              </w:rPr>
            </w:pPr>
            <w:r>
              <w:rPr>
                <w:rFonts w:hint="eastAsia" w:ascii="宋体" w:hAnsi="宋体" w:cs="宋体"/>
                <w:color w:val="auto"/>
                <w:highlight w:val="none"/>
              </w:rPr>
              <w:t>6</w:t>
            </w:r>
          </w:p>
        </w:tc>
        <w:tc>
          <w:tcPr>
            <w:tcW w:w="2114" w:type="dxa"/>
            <w:tcBorders>
              <w:top w:val="single" w:color="auto" w:sz="4" w:space="0"/>
              <w:bottom w:val="single" w:color="auto" w:sz="4" w:space="0"/>
            </w:tcBorders>
            <w:shd w:val="clear" w:color="auto" w:fill="FDEADA" w:themeFill="accent6" w:themeFillTint="32"/>
            <w:vAlign w:val="center"/>
          </w:tcPr>
          <w:p w14:paraId="57D865D0">
            <w:pPr>
              <w:jc w:val="center"/>
              <w:rPr>
                <w:rFonts w:ascii="宋体" w:hAnsi="宋体" w:cs="宋体"/>
                <w:color w:val="auto"/>
                <w:highlight w:val="none"/>
              </w:rPr>
            </w:pPr>
            <w:r>
              <w:rPr>
                <w:rFonts w:hint="eastAsia" w:ascii="宋体" w:hAnsi="宋体" w:cs="宋体"/>
                <w:color w:val="auto"/>
                <w:highlight w:val="none"/>
              </w:rPr>
              <w:t>无重大违法记录声明</w:t>
            </w:r>
          </w:p>
        </w:tc>
        <w:tc>
          <w:tcPr>
            <w:tcW w:w="6577" w:type="dxa"/>
            <w:shd w:val="clear" w:color="auto" w:fill="EBF1DE" w:themeFill="accent3" w:themeFillTint="32"/>
            <w:vAlign w:val="center"/>
          </w:tcPr>
          <w:p w14:paraId="0C234685">
            <w:pPr>
              <w:jc w:val="left"/>
              <w:rPr>
                <w:rFonts w:ascii="宋体" w:hAnsi="宋体" w:cs="宋体"/>
                <w:color w:val="auto"/>
                <w:highlight w:val="none"/>
              </w:rPr>
            </w:pPr>
            <w:r>
              <w:rPr>
                <w:rFonts w:hint="eastAsia" w:ascii="宋体" w:hAnsi="宋体" w:cs="宋体"/>
                <w:color w:val="auto"/>
                <w:highlight w:val="none"/>
              </w:rPr>
              <w:t>参加政府采购活动前3年内（</w:t>
            </w:r>
            <w:r>
              <w:rPr>
                <w:rFonts w:hint="eastAsia" w:ascii="宋体" w:hAnsi="宋体" w:cs="宋体"/>
                <w:color w:val="auto"/>
                <w:highlight w:val="none"/>
                <w:lang w:eastAsia="zh-CN"/>
              </w:rPr>
              <w:t>2023年1月至今</w:t>
            </w:r>
            <w:r>
              <w:rPr>
                <w:rFonts w:hint="eastAsia" w:ascii="宋体" w:hAnsi="宋体" w:cs="宋体"/>
                <w:color w:val="auto"/>
                <w:highlight w:val="none"/>
              </w:rPr>
              <w:t>）在经营活动中没有重大违法记录的书面声明（供应商自行出具声明书并加盖公章）</w:t>
            </w:r>
          </w:p>
        </w:tc>
      </w:tr>
      <w:tr w14:paraId="23B5B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707" w:type="dxa"/>
            <w:tcBorders>
              <w:top w:val="single" w:color="auto" w:sz="4" w:space="0"/>
              <w:bottom w:val="single" w:color="auto" w:sz="4" w:space="0"/>
            </w:tcBorders>
            <w:shd w:val="clear" w:color="auto" w:fill="FDEADA" w:themeFill="accent6" w:themeFillTint="32"/>
            <w:vAlign w:val="center"/>
          </w:tcPr>
          <w:p w14:paraId="5AA3C0FE">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14" w:type="dxa"/>
            <w:tcBorders>
              <w:top w:val="single" w:color="auto" w:sz="4" w:space="0"/>
              <w:bottom w:val="single" w:color="auto" w:sz="4" w:space="0"/>
            </w:tcBorders>
            <w:shd w:val="clear" w:color="auto" w:fill="FDEADA" w:themeFill="accent6" w:themeFillTint="32"/>
            <w:vAlign w:val="center"/>
          </w:tcPr>
          <w:p w14:paraId="5B57260C">
            <w:pPr>
              <w:pStyle w:val="20"/>
              <w:ind w:left="0" w:leftChars="0"/>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中小企业声明函</w:t>
            </w:r>
          </w:p>
        </w:tc>
        <w:tc>
          <w:tcPr>
            <w:tcW w:w="6577" w:type="dxa"/>
            <w:shd w:val="clear" w:color="auto" w:fill="EBF1DE" w:themeFill="accent3" w:themeFillTint="32"/>
            <w:vAlign w:val="center"/>
          </w:tcPr>
          <w:p w14:paraId="17596BEB">
            <w:pPr>
              <w:spacing w:line="240" w:lineRule="atLeast"/>
              <w:jc w:val="left"/>
              <w:rPr>
                <w:rFonts w:ascii="宋体" w:hAnsi="宋体" w:cs="宋体"/>
                <w:color w:val="auto"/>
                <w:highlight w:val="none"/>
              </w:rPr>
            </w:pPr>
            <w:r>
              <w:rPr>
                <w:rFonts w:hint="eastAsia" w:ascii="宋体" w:hAnsi="宋体" w:eastAsia="宋体" w:cs="宋体"/>
                <w:b w:val="0"/>
                <w:bCs w:val="0"/>
                <w:color w:val="auto"/>
                <w:sz w:val="21"/>
                <w:highlight w:val="none"/>
                <w:lang w:eastAsia="zh-CN"/>
              </w:rPr>
              <w:t>本项目</w:t>
            </w:r>
            <w:r>
              <w:rPr>
                <w:rFonts w:hint="eastAsia" w:ascii="宋体" w:hAnsi="宋体" w:eastAsia="宋体" w:cs="宋体"/>
                <w:b w:val="0"/>
                <w:bCs w:val="0"/>
                <w:color w:val="auto"/>
                <w:sz w:val="21"/>
                <w:highlight w:val="none"/>
                <w:lang w:val="en-US" w:eastAsia="zh-CN"/>
              </w:rPr>
              <w:t>专门</w:t>
            </w:r>
            <w:r>
              <w:rPr>
                <w:rFonts w:hint="eastAsia" w:ascii="宋体" w:hAnsi="宋体" w:eastAsia="宋体" w:cs="宋体"/>
                <w:b w:val="0"/>
                <w:bCs w:val="0"/>
                <w:color w:val="auto"/>
                <w:sz w:val="21"/>
                <w:highlight w:val="none"/>
                <w:lang w:eastAsia="zh-CN"/>
              </w:rPr>
              <w:t>面向中小企业</w:t>
            </w:r>
            <w:r>
              <w:rPr>
                <w:rFonts w:hint="eastAsia" w:ascii="宋体" w:hAnsi="宋体" w:eastAsia="宋体" w:cs="宋体"/>
                <w:b w:val="0"/>
                <w:bCs w:val="0"/>
                <w:color w:val="auto"/>
                <w:sz w:val="21"/>
                <w:highlight w:val="none"/>
                <w:lang w:val="en-US" w:eastAsia="zh-CN"/>
              </w:rPr>
              <w:t>采购</w:t>
            </w:r>
            <w:r>
              <w:rPr>
                <w:rFonts w:hint="eastAsia" w:ascii="宋体" w:hAnsi="宋体" w:eastAsia="宋体" w:cs="宋体"/>
                <w:b w:val="0"/>
                <w:bCs w:val="0"/>
                <w:color w:val="auto"/>
                <w:sz w:val="21"/>
                <w:highlight w:val="none"/>
                <w:lang w:eastAsia="zh-CN"/>
              </w:rPr>
              <w:t>，</w:t>
            </w:r>
            <w:r>
              <w:rPr>
                <w:rFonts w:hint="eastAsia" w:ascii="宋体" w:hAnsi="宋体" w:eastAsia="宋体" w:cs="宋体"/>
                <w:color w:val="auto"/>
                <w:sz w:val="21"/>
                <w:szCs w:val="22"/>
                <w:highlight w:val="none"/>
                <w:lang w:eastAsia="zh-CN"/>
              </w:rPr>
              <w:t>所属行</w:t>
            </w:r>
            <w:r>
              <w:rPr>
                <w:rFonts w:hint="eastAsia" w:ascii="宋体" w:hAnsi="宋体" w:eastAsia="宋体" w:cs="宋体"/>
                <w:b w:val="0"/>
                <w:bCs w:val="0"/>
                <w:color w:val="auto"/>
                <w:sz w:val="21"/>
                <w:szCs w:val="22"/>
                <w:highlight w:val="none"/>
                <w:lang w:eastAsia="zh-CN"/>
              </w:rPr>
              <w:t>业名称为</w:t>
            </w:r>
            <w:r>
              <w:rPr>
                <w:rFonts w:hint="eastAsia" w:ascii="宋体" w:hAnsi="宋体" w:eastAsia="宋体" w:cs="宋体"/>
                <w:b w:val="0"/>
                <w:bCs w:val="0"/>
                <w:color w:val="auto"/>
                <w:sz w:val="21"/>
                <w:highlight w:val="none"/>
                <w:lang w:eastAsia="zh-CN"/>
              </w:rPr>
              <w:t>农、林、牧、渔行业</w:t>
            </w:r>
            <w:r>
              <w:rPr>
                <w:rFonts w:hint="eastAsia" w:ascii="宋体" w:hAnsi="宋体" w:eastAsia="宋体" w:cs="宋体"/>
                <w:color w:val="auto"/>
                <w:sz w:val="21"/>
                <w:highlight w:val="none"/>
              </w:rPr>
              <w:t>。</w:t>
            </w:r>
            <w:r>
              <w:rPr>
                <w:rFonts w:hint="eastAsia" w:ascii="宋体" w:hAnsi="宋体" w:eastAsia="宋体" w:cs="宋体"/>
                <w:color w:val="auto"/>
                <w:spacing w:val="0"/>
                <w:sz w:val="21"/>
                <w:szCs w:val="22"/>
                <w:highlight w:val="none"/>
                <w:lang w:eastAsia="zh-CN"/>
              </w:rPr>
              <w:t>供应商</w:t>
            </w:r>
            <w:r>
              <w:rPr>
                <w:rFonts w:hint="eastAsia" w:ascii="宋体" w:hAnsi="宋体" w:eastAsia="宋体" w:cs="宋体"/>
                <w:color w:val="auto"/>
                <w:spacing w:val="0"/>
                <w:sz w:val="21"/>
                <w:szCs w:val="22"/>
                <w:highlight w:val="none"/>
              </w:rPr>
              <w:t>应为</w:t>
            </w:r>
            <w:r>
              <w:rPr>
                <w:rFonts w:hint="eastAsia" w:ascii="宋体" w:hAnsi="宋体" w:eastAsia="宋体" w:cs="宋体"/>
                <w:color w:val="auto"/>
                <w:spacing w:val="0"/>
                <w:sz w:val="21"/>
                <w:szCs w:val="22"/>
                <w:highlight w:val="none"/>
                <w:lang w:val="en-US" w:eastAsia="zh-CN"/>
              </w:rPr>
              <w:t>中型企业、</w:t>
            </w:r>
            <w:r>
              <w:rPr>
                <w:rFonts w:hint="eastAsia" w:ascii="宋体" w:hAnsi="宋体" w:eastAsia="宋体" w:cs="宋体"/>
                <w:color w:val="auto"/>
                <w:spacing w:val="0"/>
                <w:sz w:val="21"/>
                <w:szCs w:val="22"/>
                <w:highlight w:val="none"/>
              </w:rPr>
              <w:t>小型企业、微型企业或监狱企业或残疾人福利性单位。</w:t>
            </w:r>
            <w:r>
              <w:rPr>
                <w:rFonts w:hint="eastAsia" w:ascii="宋体" w:hAnsi="宋体" w:eastAsia="宋体" w:cs="宋体"/>
                <w:color w:val="auto"/>
                <w:spacing w:val="0"/>
                <w:sz w:val="21"/>
                <w:szCs w:val="22"/>
                <w:highlight w:val="none"/>
                <w:lang w:eastAsia="zh-CN"/>
              </w:rPr>
              <w:t>供应商</w:t>
            </w:r>
            <w:r>
              <w:rPr>
                <w:rFonts w:hint="eastAsia" w:ascii="宋体" w:hAnsi="宋体" w:eastAsia="宋体" w:cs="宋体"/>
                <w:color w:val="auto"/>
                <w:spacing w:val="0"/>
                <w:sz w:val="21"/>
                <w:szCs w:val="22"/>
                <w:highlight w:val="none"/>
                <w:lang w:val="en-US" w:eastAsia="zh-CN"/>
              </w:rPr>
              <w:t>须</w:t>
            </w:r>
            <w:r>
              <w:rPr>
                <w:rFonts w:hint="eastAsia" w:ascii="宋体" w:hAnsi="宋体" w:eastAsia="宋体" w:cs="宋体"/>
                <w:color w:val="auto"/>
                <w:spacing w:val="0"/>
                <w:sz w:val="21"/>
                <w:szCs w:val="22"/>
                <w:highlight w:val="none"/>
              </w:rPr>
              <w:t>提供中小企业声明函（注：若</w:t>
            </w:r>
            <w:r>
              <w:rPr>
                <w:rFonts w:hint="eastAsia" w:ascii="宋体" w:hAnsi="宋体" w:eastAsia="宋体" w:cs="宋体"/>
                <w:color w:val="auto"/>
                <w:spacing w:val="0"/>
                <w:sz w:val="21"/>
                <w:szCs w:val="22"/>
                <w:highlight w:val="none"/>
                <w:lang w:eastAsia="zh-CN"/>
              </w:rPr>
              <w:t>供应商</w:t>
            </w:r>
            <w:r>
              <w:rPr>
                <w:rFonts w:hint="eastAsia" w:ascii="宋体" w:hAnsi="宋体" w:eastAsia="宋体" w:cs="宋体"/>
                <w:color w:val="auto"/>
                <w:spacing w:val="0"/>
                <w:sz w:val="21"/>
                <w:szCs w:val="22"/>
                <w:highlight w:val="none"/>
              </w:rPr>
              <w:t>为残疾人福利性单 位的，提供《残疾人福利性单位声明函》；若</w:t>
            </w:r>
            <w:r>
              <w:rPr>
                <w:rFonts w:hint="eastAsia" w:ascii="宋体" w:hAnsi="宋体" w:eastAsia="宋体" w:cs="宋体"/>
                <w:color w:val="auto"/>
                <w:spacing w:val="0"/>
                <w:sz w:val="21"/>
                <w:szCs w:val="22"/>
                <w:highlight w:val="none"/>
                <w:lang w:eastAsia="zh-CN"/>
              </w:rPr>
              <w:t>供应商</w:t>
            </w:r>
            <w:r>
              <w:rPr>
                <w:rFonts w:hint="eastAsia" w:ascii="宋体" w:hAnsi="宋体" w:eastAsia="宋体" w:cs="宋体"/>
                <w:color w:val="auto"/>
                <w:spacing w:val="0"/>
                <w:sz w:val="21"/>
                <w:szCs w:val="22"/>
                <w:highlight w:val="none"/>
              </w:rPr>
              <w:t>为监狱企业的，提供由省级以上监</w:t>
            </w:r>
            <w:r>
              <w:rPr>
                <w:rFonts w:hint="eastAsia" w:ascii="宋体" w:hAnsi="宋体" w:eastAsia="宋体" w:cs="宋体"/>
                <w:color w:val="auto"/>
                <w:sz w:val="21"/>
                <w:szCs w:val="22"/>
                <w:highlight w:val="none"/>
              </w:rPr>
              <w:t>狱管理局、戒毒管理局（含新疆生产建设兵团）出具的属</w:t>
            </w:r>
            <w:r>
              <w:rPr>
                <w:rFonts w:hint="eastAsia" w:ascii="宋体" w:hAnsi="宋体" w:eastAsia="宋体" w:cs="宋体"/>
                <w:color w:val="auto"/>
                <w:spacing w:val="0"/>
                <w:sz w:val="21"/>
                <w:szCs w:val="22"/>
                <w:highlight w:val="none"/>
              </w:rPr>
              <w:t>于监狱企业的证明文件）</w:t>
            </w:r>
          </w:p>
        </w:tc>
      </w:tr>
      <w:tr w14:paraId="558DF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07" w:type="dxa"/>
            <w:tcBorders>
              <w:top w:val="single" w:color="auto" w:sz="4" w:space="0"/>
              <w:bottom w:val="single" w:color="auto" w:sz="4" w:space="0"/>
            </w:tcBorders>
            <w:shd w:val="clear" w:color="auto" w:fill="FDEADA" w:themeFill="accent6" w:themeFillTint="32"/>
            <w:vAlign w:val="center"/>
          </w:tcPr>
          <w:p w14:paraId="56DC13EF">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14" w:type="dxa"/>
            <w:tcBorders>
              <w:top w:val="single" w:color="auto" w:sz="4" w:space="0"/>
            </w:tcBorders>
            <w:shd w:val="clear" w:color="auto" w:fill="FDEADA" w:themeFill="accent6" w:themeFillTint="32"/>
            <w:vAlign w:val="center"/>
          </w:tcPr>
          <w:p w14:paraId="74A53F37">
            <w:pPr>
              <w:jc w:val="center"/>
              <w:rPr>
                <w:rFonts w:ascii="宋体" w:hAnsi="宋体" w:cs="宋体"/>
                <w:color w:val="auto"/>
                <w:highlight w:val="none"/>
              </w:rPr>
            </w:pPr>
            <w:r>
              <w:rPr>
                <w:rFonts w:hint="eastAsia" w:ascii="宋体" w:hAnsi="宋体" w:cs="宋体"/>
                <w:color w:val="auto"/>
                <w:highlight w:val="none"/>
              </w:rPr>
              <w:t>非联合体投标</w:t>
            </w:r>
          </w:p>
        </w:tc>
        <w:tc>
          <w:tcPr>
            <w:tcW w:w="6577" w:type="dxa"/>
            <w:shd w:val="clear" w:color="auto" w:fill="EBF1DE" w:themeFill="accent3" w:themeFillTint="32"/>
            <w:vAlign w:val="center"/>
          </w:tcPr>
          <w:p w14:paraId="75761DDA">
            <w:pPr>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本项目不接受联合体投标</w:t>
            </w:r>
          </w:p>
        </w:tc>
      </w:tr>
    </w:tbl>
    <w:p w14:paraId="7BE0B22B">
      <w:pPr>
        <w:spacing w:line="52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关于信用记录的查询和使用</w:t>
      </w:r>
    </w:p>
    <w:p w14:paraId="3076340B">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采购人及评标委员会将通过【信用中国（www.creditchina.go v.cn）】、【中国政府采购网（www.ccgp.gov.cn）】、【国家企业信用信息公示系统（www.gsxt.gov.cn）】等网站对资质、响应文件中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6E953D5C">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①</w:t>
      </w:r>
      <w:r>
        <w:rPr>
          <w:rFonts w:hint="eastAsia" w:ascii="宋体" w:hAnsi="宋体" w:cs="宋体"/>
          <w:color w:val="auto"/>
          <w:sz w:val="24"/>
          <w:szCs w:val="24"/>
          <w:highlight w:val="none"/>
        </w:rPr>
        <w:t>查询渠道：评审小组通过“信用中国 ”网站(www.creditch ina.gov.cn)、中国政府采购网(www.ccgp.gov.cn)、国家企业信用信息公示系统（www.gsxt.gov.cn）等渠道查询相关主体信用记录；</w:t>
      </w:r>
    </w:p>
    <w:p w14:paraId="366D053A">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rPr>
        <w:t>查询截止时点：开、评标截止时间前；</w:t>
      </w:r>
    </w:p>
    <w:p w14:paraId="1B9F878C">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③</w:t>
      </w:r>
      <w:r>
        <w:rPr>
          <w:rFonts w:hint="eastAsia" w:ascii="宋体" w:hAnsi="宋体" w:cs="宋体"/>
          <w:color w:val="auto"/>
          <w:sz w:val="24"/>
          <w:szCs w:val="24"/>
          <w:highlight w:val="none"/>
        </w:rPr>
        <w:t>查询记录和证据留存方式：投标人提供在网站查询的截图（加盖响应单位鲜章），并附在投标文件中；</w:t>
      </w:r>
    </w:p>
    <w:p w14:paraId="6F912F3C">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④</w:t>
      </w:r>
      <w:r>
        <w:rPr>
          <w:rFonts w:hint="eastAsia" w:ascii="宋体" w:hAnsi="宋体" w:cs="宋体"/>
          <w:color w:val="auto"/>
          <w:sz w:val="24"/>
          <w:szCs w:val="24"/>
          <w:highlight w:val="none"/>
        </w:rPr>
        <w:t>使用规则：对列入失信被执行人、重大税收违法案件当事人名单、政府采购严重违法失信行为记录名单的投标人，其投标无效；</w:t>
      </w:r>
    </w:p>
    <w:p w14:paraId="7D6DD4D2">
      <w:pPr>
        <w:spacing w:line="520" w:lineRule="exact"/>
        <w:ind w:firstLine="645"/>
        <w:rPr>
          <w:rFonts w:hint="eastAsia" w:ascii="宋体" w:hAnsi="宋体" w:cs="宋体"/>
          <w:b/>
          <w:color w:val="auto"/>
          <w:sz w:val="24"/>
          <w:szCs w:val="24"/>
          <w:highlight w:val="none"/>
        </w:rPr>
      </w:pPr>
      <w:r>
        <w:rPr>
          <w:rFonts w:hint="eastAsia" w:ascii="宋体" w:hAnsi="宋体" w:cs="宋体"/>
          <w:color w:val="auto"/>
          <w:sz w:val="24"/>
          <w:szCs w:val="24"/>
          <w:highlight w:val="none"/>
          <w:lang w:val="en-US" w:eastAsia="zh-CN"/>
        </w:rPr>
        <w:t>⑤</w:t>
      </w:r>
      <w:r>
        <w:rPr>
          <w:rFonts w:hint="eastAsia" w:ascii="宋体" w:hAnsi="宋体" w:cs="宋体"/>
          <w:color w:val="auto"/>
          <w:sz w:val="24"/>
          <w:szCs w:val="24"/>
          <w:highlight w:val="none"/>
        </w:rPr>
        <w:t>供应商在参加政府采购活动前 3 年内因违法经营被禁止在一定期限内参加政府采购活动，期限届满的，可以参加政府采购活动的，但供应商应提供相关证明材料。</w:t>
      </w:r>
    </w:p>
    <w:p w14:paraId="307C957D">
      <w:pPr>
        <w:spacing w:line="520" w:lineRule="exact"/>
        <w:ind w:firstLine="645"/>
        <w:rPr>
          <w:rFonts w:ascii="宋体" w:hAnsi="宋体" w:cs="宋体"/>
          <w:color w:val="auto"/>
          <w:sz w:val="24"/>
          <w:szCs w:val="24"/>
          <w:highlight w:val="none"/>
          <w:u w:val="single"/>
        </w:rPr>
      </w:pP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符合性审查</w:t>
      </w:r>
    </w:p>
    <w:p w14:paraId="6B9F5416">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依据招标文件的规定，从响应文件的完整性、有效性和对招标文件的响应程度等进行审查，以确定是否对招标文件的实质性要求作出响应（采购人可根据具体项目的情况对实质性要求作特别的具体规定）。按照以下内容对投标响应文件进行审查，一项不合格其投标即为无效响应。</w:t>
      </w:r>
    </w:p>
    <w:p w14:paraId="4FA8D245">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符合性审查按下表进行：</w:t>
      </w:r>
    </w:p>
    <w:tbl>
      <w:tblPr>
        <w:tblStyle w:val="26"/>
        <w:tblpPr w:leftFromText="180" w:rightFromText="180" w:vertAnchor="text" w:horzAnchor="page" w:tblpX="1532" w:tblpY="258"/>
        <w:tblOverlap w:val="never"/>
        <w:tblW w:w="9022" w:type="dxa"/>
        <w:tblInd w:w="0" w:type="dxa"/>
        <w:tblLayout w:type="fixed"/>
        <w:tblCellMar>
          <w:top w:w="0" w:type="dxa"/>
          <w:left w:w="30" w:type="dxa"/>
          <w:bottom w:w="0" w:type="dxa"/>
          <w:right w:w="30" w:type="dxa"/>
        </w:tblCellMar>
      </w:tblPr>
      <w:tblGrid>
        <w:gridCol w:w="3422"/>
        <w:gridCol w:w="5600"/>
      </w:tblGrid>
      <w:tr w14:paraId="5B188E74">
        <w:tblPrEx>
          <w:tblCellMar>
            <w:top w:w="0" w:type="dxa"/>
            <w:left w:w="30" w:type="dxa"/>
            <w:bottom w:w="0" w:type="dxa"/>
            <w:right w:w="30" w:type="dxa"/>
          </w:tblCellMar>
        </w:tblPrEx>
        <w:trPr>
          <w:trHeight w:val="383" w:hRule="atLeast"/>
        </w:trPr>
        <w:tc>
          <w:tcPr>
            <w:tcW w:w="3422"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5E6E71FE">
            <w:pPr>
              <w:jc w:val="center"/>
              <w:rPr>
                <w:rFonts w:ascii="宋体" w:hAnsi="宋体" w:cs="宋体"/>
                <w:color w:val="auto"/>
                <w:highlight w:val="none"/>
              </w:rPr>
            </w:pPr>
            <w:r>
              <w:rPr>
                <w:rFonts w:hint="eastAsia" w:ascii="宋体" w:hAnsi="宋体" w:cs="宋体"/>
                <w:color w:val="auto"/>
                <w:highlight w:val="none"/>
              </w:rPr>
              <w:t>供应商名称</w:t>
            </w:r>
          </w:p>
        </w:tc>
        <w:tc>
          <w:tcPr>
            <w:tcW w:w="5600" w:type="dxa"/>
            <w:tcBorders>
              <w:top w:val="single" w:color="auto" w:sz="4" w:space="0"/>
              <w:left w:val="single" w:color="auto" w:sz="6" w:space="0"/>
              <w:bottom w:val="single" w:color="auto" w:sz="6" w:space="0"/>
              <w:right w:val="single" w:color="auto" w:sz="4" w:space="0"/>
            </w:tcBorders>
            <w:shd w:val="clear" w:color="auto" w:fill="EBF1DE" w:themeFill="accent3" w:themeFillTint="32"/>
            <w:vAlign w:val="center"/>
          </w:tcPr>
          <w:p w14:paraId="177E6AEC">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与</w:t>
            </w:r>
            <w:r>
              <w:rPr>
                <w:rFonts w:hint="eastAsia" w:ascii="宋体" w:hAnsi="宋体" w:eastAsia="宋体" w:cs="宋体"/>
                <w:color w:val="auto"/>
                <w:highlight w:val="none"/>
              </w:rPr>
              <w:t>营业执照、税务登记证、组织机构代码证或登载有统一社会信用代码的营业执照</w:t>
            </w:r>
            <w:r>
              <w:rPr>
                <w:rFonts w:hint="eastAsia" w:ascii="宋体" w:hAnsi="宋体" w:eastAsia="宋体" w:cs="宋体"/>
                <w:color w:val="auto"/>
                <w:highlight w:val="none"/>
                <w:lang w:val="en-US" w:eastAsia="zh-CN"/>
              </w:rPr>
              <w:t>名称保持一致</w:t>
            </w:r>
          </w:p>
        </w:tc>
      </w:tr>
      <w:tr w14:paraId="0FF2866A">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5C98A769">
            <w:pPr>
              <w:jc w:val="center"/>
              <w:rPr>
                <w:rFonts w:ascii="宋体" w:hAnsi="宋体" w:cs="宋体"/>
                <w:color w:val="auto"/>
                <w:highlight w:val="none"/>
              </w:rPr>
            </w:pPr>
            <w:r>
              <w:rPr>
                <w:rFonts w:hint="eastAsia" w:ascii="宋体" w:hAnsi="宋体" w:cs="宋体"/>
                <w:color w:val="auto"/>
                <w:highlight w:val="none"/>
              </w:rPr>
              <w:t>响应文件标注、签字、盖章</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1D7E6371">
            <w:pPr>
              <w:jc w:val="center"/>
              <w:rPr>
                <w:rFonts w:ascii="宋体" w:hAnsi="宋体" w:cs="宋体"/>
                <w:color w:val="auto"/>
                <w:highlight w:val="none"/>
              </w:rPr>
            </w:pPr>
            <w:r>
              <w:rPr>
                <w:rFonts w:hint="eastAsia" w:ascii="宋体" w:hAnsi="宋体" w:cs="宋体"/>
                <w:color w:val="auto"/>
                <w:highlight w:val="none"/>
              </w:rPr>
              <w:t>符合招标文件要求，签字盖章无遗漏</w:t>
            </w:r>
          </w:p>
        </w:tc>
      </w:tr>
      <w:tr w14:paraId="171F41D9">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FEAB449">
            <w:pPr>
              <w:jc w:val="center"/>
              <w:rPr>
                <w:rFonts w:ascii="宋体" w:hAnsi="宋体" w:cs="宋体"/>
                <w:color w:val="auto"/>
                <w:highlight w:val="none"/>
              </w:rPr>
            </w:pPr>
            <w:r>
              <w:rPr>
                <w:rFonts w:hint="eastAsia" w:ascii="宋体" w:hAnsi="宋体" w:cs="宋体"/>
                <w:color w:val="auto"/>
                <w:highlight w:val="none"/>
              </w:rPr>
              <w:t>响应文件格式</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22D4AB61">
            <w:pPr>
              <w:jc w:val="center"/>
              <w:rPr>
                <w:rFonts w:ascii="宋体" w:hAnsi="宋体" w:cs="宋体"/>
                <w:color w:val="auto"/>
                <w:highlight w:val="none"/>
              </w:rPr>
            </w:pPr>
            <w:r>
              <w:rPr>
                <w:rFonts w:hint="eastAsia" w:ascii="宋体" w:hAnsi="宋体" w:cs="宋体"/>
                <w:color w:val="auto"/>
                <w:highlight w:val="none"/>
              </w:rPr>
              <w:t>符合招标文件要求</w:t>
            </w:r>
          </w:p>
        </w:tc>
      </w:tr>
      <w:tr w14:paraId="415FAB35">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24605DB">
            <w:pPr>
              <w:jc w:val="center"/>
              <w:rPr>
                <w:rFonts w:ascii="宋体" w:hAnsi="宋体" w:cs="宋体"/>
                <w:color w:val="auto"/>
                <w:highlight w:val="none"/>
              </w:rPr>
            </w:pPr>
            <w:r>
              <w:rPr>
                <w:rFonts w:hint="eastAsia" w:ascii="宋体" w:hAnsi="宋体" w:cs="宋体"/>
                <w:color w:val="auto"/>
                <w:highlight w:val="none"/>
              </w:rPr>
              <w:t>报价唯一</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4FF27E76">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只能有一个有效报价且投标报价不超过采购预算金额</w:t>
            </w:r>
          </w:p>
        </w:tc>
      </w:tr>
      <w:tr w14:paraId="7539BA6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2352D02">
            <w:pPr>
              <w:jc w:val="center"/>
              <w:rPr>
                <w:rFonts w:ascii="宋体" w:hAnsi="宋体" w:cs="宋体"/>
                <w:color w:val="auto"/>
                <w:highlight w:val="none"/>
              </w:rPr>
            </w:pPr>
            <w:r>
              <w:rPr>
                <w:rFonts w:hint="eastAsia" w:ascii="宋体" w:hAnsi="宋体" w:cs="宋体"/>
                <w:color w:val="auto"/>
                <w:highlight w:val="none"/>
              </w:rPr>
              <w:t>投标内容</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0838A553">
            <w:pPr>
              <w:jc w:val="center"/>
              <w:rPr>
                <w:rFonts w:ascii="宋体" w:hAnsi="宋体" w:cs="宋体"/>
                <w:color w:val="auto"/>
                <w:highlight w:val="none"/>
              </w:rPr>
            </w:pPr>
            <w:r>
              <w:rPr>
                <w:rFonts w:hint="eastAsia" w:ascii="宋体" w:hAnsi="宋体" w:cs="宋体"/>
                <w:color w:val="auto"/>
                <w:highlight w:val="none"/>
              </w:rPr>
              <w:t>符合招标文件规定</w:t>
            </w:r>
          </w:p>
        </w:tc>
      </w:tr>
      <w:tr w14:paraId="537B6DC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164A4139">
            <w:pPr>
              <w:jc w:val="center"/>
              <w:rPr>
                <w:rFonts w:ascii="宋体" w:hAnsi="宋体" w:cs="宋体"/>
                <w:color w:val="auto"/>
                <w:highlight w:val="none"/>
              </w:rPr>
            </w:pPr>
            <w:r>
              <w:rPr>
                <w:rFonts w:hint="eastAsia" w:ascii="宋体" w:hAnsi="宋体" w:cs="宋体"/>
                <w:color w:val="auto"/>
                <w:highlight w:val="none"/>
              </w:rPr>
              <w:t>投标有效期</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3FC10C97">
            <w:pPr>
              <w:jc w:val="center"/>
              <w:rPr>
                <w:rFonts w:ascii="宋体" w:hAnsi="宋体" w:cs="宋体"/>
                <w:color w:val="auto"/>
                <w:highlight w:val="none"/>
              </w:rPr>
            </w:pPr>
            <w:r>
              <w:rPr>
                <w:rFonts w:hint="eastAsia" w:ascii="宋体" w:hAnsi="宋体" w:cs="宋体"/>
                <w:color w:val="auto"/>
                <w:highlight w:val="none"/>
              </w:rPr>
              <w:t>符合招标文件规定</w:t>
            </w:r>
          </w:p>
        </w:tc>
      </w:tr>
      <w:tr w14:paraId="21E1E016">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399F2686">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技术响应</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7BE62EB8">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招标文件中花卉清单的规格不可出现负偏离</w:t>
            </w:r>
          </w:p>
        </w:tc>
      </w:tr>
      <w:tr w14:paraId="09E0CE38">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4" w:space="0"/>
              <w:right w:val="single" w:color="auto" w:sz="6" w:space="0"/>
            </w:tcBorders>
            <w:shd w:val="clear" w:color="auto" w:fill="FDEADA" w:themeFill="accent6" w:themeFillTint="32"/>
            <w:vAlign w:val="center"/>
          </w:tcPr>
          <w:p w14:paraId="21A8E1DD">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采购预算单价</w:t>
            </w:r>
          </w:p>
        </w:tc>
        <w:tc>
          <w:tcPr>
            <w:tcW w:w="5600" w:type="dxa"/>
            <w:tcBorders>
              <w:top w:val="single" w:color="auto" w:sz="6" w:space="0"/>
              <w:left w:val="single" w:color="auto" w:sz="6" w:space="0"/>
              <w:bottom w:val="single" w:color="auto" w:sz="4" w:space="0"/>
              <w:right w:val="single" w:color="auto" w:sz="4" w:space="0"/>
            </w:tcBorders>
            <w:shd w:val="clear" w:color="auto" w:fill="EBF1DE" w:themeFill="accent3" w:themeFillTint="32"/>
            <w:vAlign w:val="center"/>
          </w:tcPr>
          <w:p w14:paraId="65107BB3">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分项报价表中的单价</w:t>
            </w:r>
            <w:r>
              <w:rPr>
                <w:rFonts w:hint="eastAsia" w:ascii="宋体" w:hAnsi="宋体" w:cs="宋体"/>
                <w:color w:val="auto"/>
                <w:highlight w:val="none"/>
                <w:lang w:eastAsia="zh-CN"/>
              </w:rPr>
              <w:t>不</w:t>
            </w:r>
            <w:r>
              <w:rPr>
                <w:rFonts w:hint="eastAsia" w:ascii="宋体" w:hAnsi="宋体" w:cs="宋体"/>
                <w:color w:val="auto"/>
                <w:highlight w:val="none"/>
                <w:lang w:val="en-US" w:eastAsia="zh-CN"/>
              </w:rPr>
              <w:t>得</w:t>
            </w:r>
            <w:r>
              <w:rPr>
                <w:rFonts w:hint="eastAsia" w:ascii="宋体" w:hAnsi="宋体" w:cs="宋体"/>
                <w:color w:val="auto"/>
                <w:highlight w:val="none"/>
                <w:lang w:eastAsia="zh-CN"/>
              </w:rPr>
              <w:t>超过</w:t>
            </w:r>
            <w:r>
              <w:rPr>
                <w:rFonts w:hint="eastAsia" w:ascii="宋体" w:hAnsi="宋体" w:cs="宋体"/>
                <w:color w:val="auto"/>
                <w:highlight w:val="none"/>
                <w:lang w:val="en-US" w:eastAsia="zh-CN"/>
              </w:rPr>
              <w:t>采购预算单价</w:t>
            </w:r>
            <w:r>
              <w:rPr>
                <w:rFonts w:hint="eastAsia" w:ascii="宋体" w:hAnsi="宋体" w:cs="宋体"/>
                <w:color w:val="auto"/>
                <w:highlight w:val="none"/>
                <w:lang w:eastAsia="zh-CN"/>
              </w:rPr>
              <w:t>金额</w:t>
            </w:r>
          </w:p>
        </w:tc>
      </w:tr>
    </w:tbl>
    <w:p w14:paraId="35ECBC32">
      <w:pPr>
        <w:spacing w:line="520" w:lineRule="exact"/>
        <w:ind w:firstLine="645"/>
        <w:rPr>
          <w:rFonts w:ascii="宋体" w:hAnsi="宋体" w:cs="宋体"/>
          <w:color w:val="auto"/>
          <w:sz w:val="24"/>
          <w:szCs w:val="24"/>
          <w:highlight w:val="none"/>
          <w:u w:val="single"/>
        </w:rPr>
      </w:pPr>
      <w:r>
        <w:rPr>
          <w:rFonts w:hint="eastAsia" w:ascii="宋体" w:hAnsi="宋体" w:cs="宋体"/>
          <w:color w:val="auto"/>
          <w:sz w:val="24"/>
          <w:szCs w:val="24"/>
          <w:highlight w:val="none"/>
        </w:rPr>
        <w:t>在上一步评审中被作无效响应处理者，不得进入下一步的评审。</w:t>
      </w:r>
    </w:p>
    <w:p w14:paraId="3444B3E2">
      <w:pPr>
        <w:adjustRightInd w:val="0"/>
        <w:snapToGrid w:val="0"/>
        <w:spacing w:line="52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有下列情形之一的，其投标文件按无效处理：</w:t>
      </w:r>
    </w:p>
    <w:p w14:paraId="6011433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a.供应商拒绝对电子投标文件进行解密的；</w:t>
      </w:r>
    </w:p>
    <w:p w14:paraId="40D3B5C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b.本项目采用</w:t>
      </w:r>
      <w:r>
        <w:rPr>
          <w:rFonts w:hint="eastAsia" w:ascii="宋体" w:hAnsi="宋体" w:cs="宋体"/>
          <w:color w:val="auto"/>
          <w:sz w:val="24"/>
          <w:szCs w:val="24"/>
          <w:highlight w:val="none"/>
          <w:lang w:val="en-US" w:eastAsia="zh-CN"/>
        </w:rPr>
        <w:t>全流程电子化招投标</w:t>
      </w:r>
      <w:r>
        <w:rPr>
          <w:rFonts w:hint="eastAsia" w:ascii="宋体" w:hAnsi="宋体" w:cs="宋体"/>
          <w:color w:val="auto"/>
          <w:sz w:val="24"/>
          <w:szCs w:val="24"/>
          <w:highlight w:val="none"/>
        </w:rPr>
        <w:t>及</w:t>
      </w:r>
      <w:r>
        <w:rPr>
          <w:rFonts w:hint="eastAsia" w:ascii="宋体" w:hAnsi="宋体" w:cs="宋体"/>
          <w:color w:val="auto"/>
          <w:sz w:val="24"/>
          <w:szCs w:val="24"/>
          <w:highlight w:val="none"/>
          <w:lang w:val="en-US" w:eastAsia="zh-CN"/>
        </w:rPr>
        <w:t>不见面</w:t>
      </w:r>
      <w:r>
        <w:rPr>
          <w:rFonts w:hint="eastAsia" w:ascii="宋体" w:hAnsi="宋体" w:cs="宋体"/>
          <w:color w:val="auto"/>
          <w:sz w:val="24"/>
          <w:szCs w:val="24"/>
          <w:highlight w:val="none"/>
        </w:rPr>
        <w:t>开标方式（无需提供纸质版文件，</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需到开标现场）。开标时请务必携带数字认证证书，如因供应商自身原因（如未带CA锁、或所带CA锁与制作电子投标文件使用的CA锁不一</w:t>
      </w:r>
      <w:r>
        <w:rPr>
          <w:rFonts w:hint="eastAsia" w:ascii="宋体" w:hAnsi="宋体" w:cs="宋体"/>
          <w:color w:val="auto"/>
          <w:sz w:val="24"/>
          <w:szCs w:val="24"/>
          <w:highlight w:val="none"/>
          <w:lang w:val="en-US" w:eastAsia="zh-CN"/>
        </w:rPr>
        <w:t>致（加密和解密必须为同一数字认证证书，否则将会导致解密失败）、或沿用旧版招标文件编制投标文件</w:t>
      </w:r>
      <w:r>
        <w:rPr>
          <w:rFonts w:hint="eastAsia" w:ascii="宋体" w:hAnsi="宋体" w:cs="宋体"/>
          <w:color w:val="auto"/>
          <w:sz w:val="24"/>
          <w:szCs w:val="24"/>
          <w:highlight w:val="none"/>
        </w:rPr>
        <w:t>等情形），导致在规定时间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30分钟</w:t>
      </w:r>
      <w:r>
        <w:rPr>
          <w:rFonts w:hint="eastAsia" w:ascii="宋体" w:hAnsi="宋体" w:cs="宋体"/>
          <w:color w:val="auto"/>
          <w:sz w:val="24"/>
          <w:szCs w:val="24"/>
          <w:highlight w:val="none"/>
        </w:rPr>
        <w:t>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无法解密投标文件的；</w:t>
      </w:r>
    </w:p>
    <w:p w14:paraId="606AE37F">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c.上传的电子投标文件无法打开的</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未按招标文件要求方式解密的电子投标文件，将作为无效投标文件；</w:t>
      </w:r>
    </w:p>
    <w:p w14:paraId="75FF2772">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d.</w:t>
      </w:r>
      <w:r>
        <w:rPr>
          <w:rFonts w:hint="eastAsia" w:ascii="宋体" w:hAnsi="宋体" w:cs="宋体"/>
          <w:color w:val="auto"/>
          <w:sz w:val="24"/>
          <w:szCs w:val="24"/>
          <w:highlight w:val="none"/>
        </w:rPr>
        <w:t>任何超过各</w:t>
      </w:r>
      <w:r>
        <w:rPr>
          <w:rFonts w:hint="eastAsia" w:ascii="宋体" w:hAnsi="宋体" w:cs="宋体"/>
          <w:color w:val="auto"/>
          <w:sz w:val="24"/>
          <w:szCs w:val="24"/>
          <w:highlight w:val="none"/>
          <w:lang w:val="en-US" w:eastAsia="zh-CN"/>
        </w:rPr>
        <w:t>标段</w:t>
      </w:r>
      <w:r>
        <w:rPr>
          <w:rFonts w:hint="eastAsia" w:ascii="宋体" w:hAnsi="宋体" w:cs="宋体"/>
          <w:color w:val="auto"/>
          <w:sz w:val="24"/>
          <w:szCs w:val="24"/>
          <w:highlight w:val="none"/>
          <w:lang w:eastAsia="zh-CN"/>
        </w:rPr>
        <w:t>最高限制价</w:t>
      </w:r>
      <w:r>
        <w:rPr>
          <w:rFonts w:hint="eastAsia" w:ascii="宋体" w:hAnsi="宋体" w:cs="宋体"/>
          <w:color w:val="auto"/>
          <w:sz w:val="24"/>
          <w:szCs w:val="24"/>
          <w:highlight w:val="none"/>
        </w:rPr>
        <w:t>的报价均为无效报价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任何有选择的报价将不予接受（不可修正或者另行备注报价表），否则按无效文件处理</w:t>
      </w:r>
      <w:r>
        <w:rPr>
          <w:rFonts w:hint="eastAsia" w:ascii="宋体" w:hAnsi="宋体" w:cs="宋体"/>
          <w:color w:val="auto"/>
          <w:sz w:val="24"/>
          <w:szCs w:val="24"/>
          <w:highlight w:val="none"/>
          <w:lang w:val="en-US" w:eastAsia="zh-CN"/>
        </w:rPr>
        <w:t>；</w:t>
      </w:r>
    </w:p>
    <w:p w14:paraId="2CE3FB4D">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e.</w:t>
      </w:r>
      <w:r>
        <w:rPr>
          <w:rFonts w:hint="eastAsia" w:ascii="宋体" w:hAnsi="宋体" w:cs="宋体"/>
          <w:color w:val="auto"/>
          <w:sz w:val="24"/>
          <w:szCs w:val="24"/>
          <w:highlight w:val="none"/>
        </w:rPr>
        <w:t>供应商必须从陕西省公共资源交易中心网站下载招标文件，供应商自行转让或复制标书视为无效</w:t>
      </w:r>
      <w:r>
        <w:rPr>
          <w:rFonts w:hint="eastAsia" w:ascii="宋体" w:hAnsi="宋体" w:cs="宋体"/>
          <w:color w:val="auto"/>
          <w:sz w:val="24"/>
          <w:szCs w:val="24"/>
          <w:highlight w:val="none"/>
          <w:lang w:eastAsia="zh-CN"/>
        </w:rPr>
        <w:t>。</w:t>
      </w:r>
    </w:p>
    <w:p w14:paraId="31388D1A">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f.</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不</w:t>
      </w:r>
      <w:r>
        <w:rPr>
          <w:rFonts w:hint="eastAsia" w:ascii="宋体" w:hAnsi="宋体" w:cs="宋体"/>
          <w:color w:val="auto"/>
          <w:sz w:val="24"/>
          <w:szCs w:val="24"/>
          <w:highlight w:val="none"/>
          <w:lang w:val="en-US" w:eastAsia="zh-CN"/>
        </w:rPr>
        <w:t>符合</w:t>
      </w:r>
      <w:r>
        <w:rPr>
          <w:rFonts w:hint="eastAsia" w:ascii="宋体" w:hAnsi="宋体" w:cs="宋体"/>
          <w:color w:val="auto"/>
          <w:sz w:val="24"/>
          <w:szCs w:val="24"/>
          <w:highlight w:val="none"/>
        </w:rPr>
        <w:t>招标文件中规定</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审查的</w:t>
      </w:r>
      <w:r>
        <w:rPr>
          <w:rFonts w:hint="eastAsia" w:ascii="宋体" w:hAnsi="宋体" w:cs="宋体"/>
          <w:color w:val="auto"/>
          <w:sz w:val="24"/>
          <w:szCs w:val="24"/>
          <w:highlight w:val="none"/>
        </w:rPr>
        <w:t>不得进入下一步的符合性审查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评审</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w:t>
      </w:r>
    </w:p>
    <w:p w14:paraId="3A2183BC">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有下列情形之一的，视为供应商相互恶意串通投标响应，其投标文件按无效处理：</w:t>
      </w:r>
    </w:p>
    <w:p w14:paraId="48EED306">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-1不同供应商的投标文件由同一单位或者个人编制；</w:t>
      </w:r>
    </w:p>
    <w:p w14:paraId="0218E54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-2不同供应商委托同一单位或者个人办理投标事宜；</w:t>
      </w:r>
    </w:p>
    <w:p w14:paraId="55B06F81">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-3不同供应商的响应文件载明的项目管理成员为同一人；</w:t>
      </w:r>
    </w:p>
    <w:p w14:paraId="57616A01">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-4不同供应商的响应文件异常一致或者投标报价呈规律性差异；</w:t>
      </w:r>
    </w:p>
    <w:p w14:paraId="6581736E">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在技术、服务及商务响应程度评审中，出现下列情况之一的，投标文件视为无效：</w:t>
      </w:r>
    </w:p>
    <w:p w14:paraId="25F29E5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1.投标报价</w:t>
      </w:r>
      <w:r>
        <w:rPr>
          <w:rFonts w:hint="eastAsia" w:ascii="宋体" w:hAnsi="宋体" w:cs="宋体"/>
          <w:color w:val="auto"/>
          <w:sz w:val="24"/>
          <w:szCs w:val="24"/>
          <w:highlight w:val="none"/>
          <w:lang w:val="en-US" w:eastAsia="zh-CN"/>
        </w:rPr>
        <w:t>清单</w:t>
      </w:r>
      <w:r>
        <w:rPr>
          <w:rFonts w:hint="eastAsia" w:ascii="宋体" w:hAnsi="宋体" w:cs="宋体"/>
          <w:color w:val="auto"/>
          <w:sz w:val="24"/>
          <w:szCs w:val="24"/>
          <w:highlight w:val="none"/>
        </w:rPr>
        <w:t>出现漏项或数量与招标文件要求不符的；</w:t>
      </w:r>
    </w:p>
    <w:p w14:paraId="2735316F">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2.投标报价与市场价偏离较大，低于成本，形成不正当竞争的；</w:t>
      </w:r>
    </w:p>
    <w:p w14:paraId="3872887C">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3.投标内容与招标文件要求的采购标的、规格型号、采购数量、技术和服务要求等实质性内容出现重大负偏差的；</w:t>
      </w:r>
    </w:p>
    <w:p w14:paraId="1BC3651D">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4.提供虚假技术性能指标的（出现技术指标前后矛盾的，以国家职能部门认定的指标为准）；</w:t>
      </w:r>
    </w:p>
    <w:p w14:paraId="55A7433F">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5.投标文件在款项结算、质量保证、验收条件等方面的响应与招标文件要求不一致或附加了采购人和评标委员会难以接受的条件的；</w:t>
      </w:r>
    </w:p>
    <w:p w14:paraId="222530AC">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h-6.未响应招标文件合同草案条款的；</w:t>
      </w:r>
    </w:p>
    <w:p w14:paraId="4DEEDED4">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i.在投标文件资格性、有效性和完整性检查时，出现下列情况之一的，投标文件视为无效：</w:t>
      </w:r>
    </w:p>
    <w:p w14:paraId="7110248F">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i-1.未按照招标文件规定要求签署、盖章的；</w:t>
      </w:r>
    </w:p>
    <w:p w14:paraId="13A5A2BD">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i-2投标文件中无投标有效期或有效期达不到招标文件要求的</w:t>
      </w:r>
      <w:r>
        <w:rPr>
          <w:rFonts w:hint="eastAsia" w:ascii="宋体" w:hAnsi="宋体" w:cs="宋体"/>
          <w:color w:val="auto"/>
          <w:sz w:val="24"/>
          <w:szCs w:val="24"/>
          <w:highlight w:val="none"/>
        </w:rPr>
        <w:t>；</w:t>
      </w:r>
    </w:p>
    <w:p w14:paraId="710D9482">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i-3投标文件的构成缺少其中一项或某项达不到招标文件要求的</w:t>
      </w:r>
      <w:r>
        <w:rPr>
          <w:rFonts w:hint="eastAsia" w:ascii="宋体" w:hAnsi="宋体" w:cs="宋体"/>
          <w:color w:val="auto"/>
          <w:sz w:val="24"/>
          <w:szCs w:val="24"/>
          <w:highlight w:val="none"/>
        </w:rPr>
        <w:t>；</w:t>
      </w:r>
    </w:p>
    <w:p w14:paraId="65787D5D">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i-4供应商单位负责人为同一人或者存在直接控股、管理关系的不 同服务商，参加同一合同项下的政府采购活动的</w:t>
      </w:r>
      <w:r>
        <w:rPr>
          <w:rFonts w:hint="eastAsia" w:ascii="宋体" w:hAnsi="宋体" w:cs="宋体"/>
          <w:color w:val="auto"/>
          <w:sz w:val="24"/>
          <w:szCs w:val="24"/>
          <w:highlight w:val="none"/>
        </w:rPr>
        <w:t>；</w:t>
      </w:r>
    </w:p>
    <w:p w14:paraId="7068178C">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j.</w:t>
      </w:r>
      <w:r>
        <w:rPr>
          <w:rFonts w:hint="eastAsia" w:ascii="宋体" w:hAnsi="宋体" w:cs="宋体"/>
          <w:color w:val="auto"/>
          <w:sz w:val="24"/>
          <w:szCs w:val="24"/>
          <w:highlight w:val="none"/>
        </w:rPr>
        <w:t>政府采购法律法规规定的其他无效情形。</w:t>
      </w:r>
    </w:p>
    <w:p w14:paraId="1A15CAFD">
      <w:pPr>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询标</w:t>
      </w:r>
    </w:p>
    <w:p w14:paraId="269510B2">
      <w:pPr>
        <w:spacing w:line="520" w:lineRule="exact"/>
        <w:ind w:firstLine="660"/>
        <w:jc w:val="left"/>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-1为了有助于评标委员会对投标文件进行审查、分析和比较，评标委员会可分别要求经过以上步骤评审合格的供应商，对其投标文件有疑义不清楚的内容进行现场询标澄清，有关询标澄清、补正、说明的内容应以书面形式提交。</w:t>
      </w:r>
    </w:p>
    <w:p w14:paraId="6896DC9B">
      <w:pPr>
        <w:spacing w:line="520" w:lineRule="exact"/>
        <w:ind w:firstLine="660"/>
        <w:jc w:val="left"/>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-2招标文件、投标文件作为评标的依据，澄清、补正、说明的内容只作为评标参考。询标澄清时供应商只作说明和解释，不得借此对投标报价、服务期、主要技术参数、设备配置等实质性内容做任何修改。如澄清、补正、说明的内容与投标文件内容有重大相悖或矛盾，将被认定为无效标。</w:t>
      </w:r>
    </w:p>
    <w:p w14:paraId="4F56A852">
      <w:pPr>
        <w:spacing w:line="52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rPr>
        <w:t>评标办法及内容</w:t>
      </w:r>
    </w:p>
    <w:p w14:paraId="123A3C39">
      <w:pPr>
        <w:snapToGrid w:val="0"/>
        <w:spacing w:line="520" w:lineRule="exact"/>
        <w:ind w:firstLine="580"/>
        <w:rPr>
          <w:rFonts w:hint="eastAsia" w:ascii="宋体" w:hAnsi="宋体" w:cs="宋体"/>
          <w:color w:val="auto"/>
          <w:sz w:val="24"/>
          <w:szCs w:val="24"/>
          <w:highlight w:val="none"/>
        </w:rPr>
      </w:pPr>
      <w:r>
        <w:rPr>
          <w:rFonts w:hint="eastAsia" w:ascii="宋体" w:hAnsi="宋体" w:cs="宋体"/>
          <w:color w:val="auto"/>
          <w:sz w:val="24"/>
          <w:szCs w:val="24"/>
          <w:highlight w:val="none"/>
        </w:rPr>
        <w:t>采用综合评分法，即在最大限度地满足招标文件实质性要求前提下，按照招标文件中规定的各项因素进行综合评审后，以评审总得分顺序推荐中标候选人。具体评审因素和分值如下。</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4"/>
        <w:gridCol w:w="881"/>
        <w:gridCol w:w="7286"/>
      </w:tblGrid>
      <w:tr w14:paraId="1836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center"/>
          </w:tcPr>
          <w:p w14:paraId="1A69078D">
            <w:pPr>
              <w:jc w:val="center"/>
              <w:rPr>
                <w:color w:val="auto"/>
                <w:highlight w:val="none"/>
                <w:vertAlign w:val="baseline"/>
              </w:rPr>
            </w:pPr>
            <w:r>
              <w:rPr>
                <w:rFonts w:hint="eastAsia"/>
                <w:color w:val="auto"/>
                <w:highlight w:val="none"/>
              </w:rPr>
              <w:t>评审内容</w:t>
            </w:r>
          </w:p>
        </w:tc>
        <w:tc>
          <w:tcPr>
            <w:tcW w:w="881" w:type="dxa"/>
            <w:shd w:val="clear" w:color="auto" w:fill="FDEADA" w:themeFill="accent6" w:themeFillTint="32"/>
            <w:vAlign w:val="center"/>
          </w:tcPr>
          <w:p w14:paraId="202AD4CE">
            <w:pPr>
              <w:jc w:val="center"/>
              <w:rPr>
                <w:color w:val="auto"/>
                <w:highlight w:val="none"/>
                <w:vertAlign w:val="baseline"/>
              </w:rPr>
            </w:pPr>
            <w:r>
              <w:rPr>
                <w:rFonts w:hint="eastAsia"/>
                <w:color w:val="auto"/>
                <w:highlight w:val="none"/>
              </w:rPr>
              <w:t>分值</w:t>
            </w:r>
          </w:p>
        </w:tc>
        <w:tc>
          <w:tcPr>
            <w:tcW w:w="7286" w:type="dxa"/>
            <w:shd w:val="clear" w:color="auto" w:fill="FDEADA" w:themeFill="accent6" w:themeFillTint="32"/>
            <w:vAlign w:val="center"/>
          </w:tcPr>
          <w:p w14:paraId="20965B50">
            <w:pPr>
              <w:jc w:val="center"/>
              <w:rPr>
                <w:color w:val="auto"/>
                <w:highlight w:val="none"/>
                <w:vertAlign w:val="baseline"/>
              </w:rPr>
            </w:pPr>
            <w:r>
              <w:rPr>
                <w:rFonts w:hint="eastAsia"/>
                <w:color w:val="auto"/>
                <w:highlight w:val="none"/>
              </w:rPr>
              <w:t>评审原则及标准</w:t>
            </w:r>
          </w:p>
        </w:tc>
      </w:tr>
      <w:tr w14:paraId="1D475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center"/>
          </w:tcPr>
          <w:p w14:paraId="421266F8">
            <w:pPr>
              <w:jc w:val="center"/>
              <w:rPr>
                <w:color w:val="auto"/>
                <w:highlight w:val="none"/>
                <w:vertAlign w:val="baseline"/>
              </w:rPr>
            </w:pPr>
            <w:r>
              <w:rPr>
                <w:rFonts w:hint="eastAsia"/>
                <w:color w:val="auto"/>
                <w:highlight w:val="none"/>
              </w:rPr>
              <w:t>报价</w:t>
            </w:r>
          </w:p>
        </w:tc>
        <w:tc>
          <w:tcPr>
            <w:tcW w:w="881" w:type="dxa"/>
            <w:shd w:val="clear" w:color="auto" w:fill="FDEADA" w:themeFill="accent6" w:themeFillTint="32"/>
            <w:vAlign w:val="center"/>
          </w:tcPr>
          <w:p w14:paraId="2669A8B8">
            <w:pPr>
              <w:jc w:val="center"/>
              <w:rPr>
                <w:color w:val="auto"/>
                <w:highlight w:val="none"/>
                <w:vertAlign w:val="baseline"/>
              </w:rPr>
            </w:pPr>
            <w:r>
              <w:rPr>
                <w:rFonts w:hint="eastAsia"/>
                <w:color w:val="auto"/>
                <w:highlight w:val="none"/>
              </w:rPr>
              <w:t>30分</w:t>
            </w:r>
          </w:p>
        </w:tc>
        <w:tc>
          <w:tcPr>
            <w:tcW w:w="7286" w:type="dxa"/>
            <w:shd w:val="clear" w:color="auto" w:fill="EBF1DE" w:themeFill="accent3" w:themeFillTint="32"/>
            <w:vAlign w:val="center"/>
          </w:tcPr>
          <w:p w14:paraId="6CCB9889">
            <w:pPr>
              <w:rPr>
                <w:rFonts w:hint="eastAsia"/>
                <w:color w:val="auto"/>
                <w:highlight w:val="none"/>
              </w:rPr>
            </w:pPr>
            <w:r>
              <w:rPr>
                <w:rFonts w:hint="eastAsia"/>
                <w:color w:val="auto"/>
                <w:highlight w:val="none"/>
              </w:rPr>
              <w:t>满足招标文件要求且投标价格最低的投标报价为评标基准价，其价格分为满分。其他投标供应商的价格分统一按照下列公式计算：投标报价得分=（评标基准价/投标报价）×价格权值×100。</w:t>
            </w:r>
          </w:p>
          <w:p w14:paraId="139D25AC">
            <w:pPr>
              <w:rPr>
                <w:color w:val="auto"/>
                <w:highlight w:val="none"/>
                <w:vertAlign w:val="baseline"/>
              </w:rPr>
            </w:pPr>
            <w:r>
              <w:rPr>
                <w:rFonts w:hint="eastAsia"/>
                <w:color w:val="auto"/>
                <w:highlight w:val="none"/>
              </w:rPr>
              <w:t>投标报价明显低于其他供应商，经评标委员会质询后不能在规定时间内说明理由，或说明理由但评标委员会认为理由不能成立的，客观上形成不良竞争，按无效标</w:t>
            </w:r>
            <w:r>
              <w:rPr>
                <w:rFonts w:hint="eastAsia"/>
                <w:color w:val="auto"/>
                <w:highlight w:val="none"/>
                <w:lang w:val="en-US" w:eastAsia="zh-CN"/>
              </w:rPr>
              <w:t>书</w:t>
            </w:r>
            <w:r>
              <w:rPr>
                <w:rFonts w:hint="eastAsia"/>
                <w:color w:val="auto"/>
                <w:highlight w:val="none"/>
              </w:rPr>
              <w:t>处理。</w:t>
            </w:r>
          </w:p>
        </w:tc>
      </w:tr>
      <w:tr w14:paraId="6EAC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top"/>
          </w:tcPr>
          <w:p w14:paraId="43083167">
            <w:pPr>
              <w:jc w:val="center"/>
              <w:rPr>
                <w:rFonts w:hint="eastAsia"/>
                <w:color w:val="auto"/>
                <w:highlight w:val="none"/>
              </w:rPr>
            </w:pPr>
          </w:p>
          <w:p w14:paraId="6E1574C7">
            <w:pPr>
              <w:jc w:val="center"/>
              <w:rPr>
                <w:rFonts w:hint="eastAsia"/>
                <w:color w:val="auto"/>
                <w:highlight w:val="none"/>
              </w:rPr>
            </w:pPr>
          </w:p>
          <w:p w14:paraId="429EA5BB">
            <w:pPr>
              <w:jc w:val="center"/>
              <w:rPr>
                <w:rFonts w:hint="eastAsia"/>
                <w:color w:val="auto"/>
                <w:highlight w:val="none"/>
              </w:rPr>
            </w:pPr>
          </w:p>
          <w:p w14:paraId="3AAF4840">
            <w:pPr>
              <w:jc w:val="center"/>
              <w:rPr>
                <w:rFonts w:hint="eastAsia"/>
                <w:color w:val="auto"/>
                <w:highlight w:val="none"/>
              </w:rPr>
            </w:pPr>
          </w:p>
          <w:p w14:paraId="280922EF">
            <w:pPr>
              <w:jc w:val="center"/>
              <w:rPr>
                <w:rFonts w:hint="eastAsia"/>
                <w:color w:val="auto"/>
                <w:highlight w:val="none"/>
              </w:rPr>
            </w:pPr>
            <w:r>
              <w:rPr>
                <w:rFonts w:hint="eastAsia"/>
                <w:color w:val="auto"/>
                <w:highlight w:val="none"/>
              </w:rPr>
              <w:t>总体</w:t>
            </w:r>
          </w:p>
          <w:p w14:paraId="4059C257">
            <w:pPr>
              <w:jc w:val="center"/>
              <w:rPr>
                <w:color w:val="auto"/>
                <w:highlight w:val="none"/>
                <w:vertAlign w:val="baseline"/>
              </w:rPr>
            </w:pPr>
            <w:r>
              <w:rPr>
                <w:rFonts w:hint="eastAsia"/>
                <w:color w:val="auto"/>
                <w:highlight w:val="none"/>
              </w:rPr>
              <w:t>方案</w:t>
            </w:r>
          </w:p>
        </w:tc>
        <w:tc>
          <w:tcPr>
            <w:tcW w:w="881" w:type="dxa"/>
            <w:shd w:val="clear" w:color="auto" w:fill="FDEADA" w:themeFill="accent6" w:themeFillTint="32"/>
            <w:vAlign w:val="top"/>
          </w:tcPr>
          <w:p w14:paraId="3770D9D1">
            <w:pPr>
              <w:jc w:val="center"/>
              <w:rPr>
                <w:rFonts w:hint="eastAsia"/>
                <w:color w:val="auto"/>
                <w:highlight w:val="none"/>
              </w:rPr>
            </w:pPr>
          </w:p>
          <w:p w14:paraId="49802862">
            <w:pPr>
              <w:jc w:val="center"/>
              <w:rPr>
                <w:rFonts w:hint="eastAsia"/>
                <w:color w:val="auto"/>
                <w:highlight w:val="none"/>
              </w:rPr>
            </w:pPr>
          </w:p>
          <w:p w14:paraId="6CB0CABD">
            <w:pPr>
              <w:jc w:val="center"/>
              <w:rPr>
                <w:rFonts w:hint="eastAsia"/>
                <w:color w:val="auto"/>
                <w:highlight w:val="none"/>
              </w:rPr>
            </w:pPr>
          </w:p>
          <w:p w14:paraId="21B390C8">
            <w:pPr>
              <w:jc w:val="center"/>
              <w:rPr>
                <w:rFonts w:hint="eastAsia"/>
                <w:color w:val="auto"/>
                <w:highlight w:val="none"/>
              </w:rPr>
            </w:pPr>
          </w:p>
          <w:p w14:paraId="2E2ED04D">
            <w:pPr>
              <w:jc w:val="center"/>
              <w:rPr>
                <w:rFonts w:hint="eastAsia"/>
                <w:color w:val="auto"/>
                <w:highlight w:val="none"/>
              </w:rPr>
            </w:pPr>
            <w:r>
              <w:rPr>
                <w:rFonts w:hint="eastAsia"/>
                <w:color w:val="auto"/>
                <w:highlight w:val="none"/>
              </w:rPr>
              <w:t>4.5</w:t>
            </w:r>
          </w:p>
          <w:p w14:paraId="0946711A">
            <w:pPr>
              <w:jc w:val="center"/>
              <w:rPr>
                <w:color w:val="auto"/>
                <w:highlight w:val="none"/>
                <w:vertAlign w:val="baseline"/>
              </w:rPr>
            </w:pPr>
            <w:r>
              <w:rPr>
                <w:rFonts w:hint="eastAsia"/>
                <w:color w:val="auto"/>
                <w:highlight w:val="none"/>
              </w:rPr>
              <w:t>分</w:t>
            </w:r>
          </w:p>
        </w:tc>
        <w:tc>
          <w:tcPr>
            <w:tcW w:w="7286" w:type="dxa"/>
            <w:shd w:val="clear" w:color="auto" w:fill="EBF1DE" w:themeFill="accent3" w:themeFillTint="32"/>
            <w:vAlign w:val="top"/>
          </w:tcPr>
          <w:p w14:paraId="1796B7B2">
            <w:pPr>
              <w:rPr>
                <w:rFonts w:hint="eastAsia"/>
                <w:color w:val="auto"/>
                <w:highlight w:val="none"/>
                <w:lang w:val="en-US" w:eastAsia="zh-CN"/>
              </w:rPr>
            </w:pPr>
            <w:r>
              <w:rPr>
                <w:rFonts w:hint="eastAsia"/>
                <w:color w:val="auto"/>
                <w:highlight w:val="none"/>
                <w:lang w:val="en-US" w:eastAsia="zh-CN"/>
              </w:rPr>
              <w:t>一、评审内容</w:t>
            </w:r>
          </w:p>
          <w:p w14:paraId="48A0425B">
            <w:pPr>
              <w:rPr>
                <w:rFonts w:hint="eastAsia"/>
                <w:color w:val="auto"/>
                <w:highlight w:val="none"/>
              </w:rPr>
            </w:pPr>
            <w:r>
              <w:rPr>
                <w:rFonts w:hint="eastAsia"/>
                <w:color w:val="auto"/>
                <w:highlight w:val="none"/>
              </w:rPr>
              <w:t>提出针对于本项目的总体方案，内容包括：①</w:t>
            </w:r>
            <w:r>
              <w:rPr>
                <w:rFonts w:hint="eastAsia"/>
                <w:color w:val="auto"/>
                <w:highlight w:val="none"/>
                <w:lang w:val="en-US" w:eastAsia="zh-CN"/>
              </w:rPr>
              <w:t>项目的理解与分析</w:t>
            </w:r>
            <w:r>
              <w:rPr>
                <w:rFonts w:hint="eastAsia"/>
                <w:color w:val="auto"/>
                <w:highlight w:val="none"/>
                <w:lang w:eastAsia="zh-CN"/>
              </w:rPr>
              <w:t>；</w:t>
            </w:r>
            <w:r>
              <w:rPr>
                <w:rFonts w:hint="eastAsia"/>
                <w:color w:val="auto"/>
                <w:highlight w:val="none"/>
              </w:rPr>
              <w:t>②</w:t>
            </w:r>
            <w:r>
              <w:rPr>
                <w:rFonts w:hint="eastAsia"/>
                <w:color w:val="auto"/>
                <w:highlight w:val="none"/>
                <w:lang w:val="en-US" w:eastAsia="zh-CN"/>
              </w:rPr>
              <w:t>项目目标分析；</w:t>
            </w:r>
            <w:r>
              <w:rPr>
                <w:rFonts w:hint="eastAsia"/>
                <w:color w:val="auto"/>
                <w:highlight w:val="none"/>
              </w:rPr>
              <w:t>③</w:t>
            </w:r>
            <w:r>
              <w:rPr>
                <w:rFonts w:hint="eastAsia"/>
                <w:color w:val="auto"/>
                <w:highlight w:val="none"/>
                <w:lang w:val="en-US" w:eastAsia="zh-CN"/>
              </w:rPr>
              <w:t>项目需求分析</w:t>
            </w:r>
            <w:r>
              <w:rPr>
                <w:rFonts w:hint="eastAsia"/>
                <w:color w:val="auto"/>
                <w:highlight w:val="none"/>
              </w:rPr>
              <w:t>。</w:t>
            </w:r>
          </w:p>
          <w:p w14:paraId="53AD7768">
            <w:pPr>
              <w:rPr>
                <w:rFonts w:hint="eastAsia"/>
                <w:color w:val="auto"/>
                <w:highlight w:val="none"/>
                <w:lang w:val="en-US" w:eastAsia="zh-CN"/>
              </w:rPr>
            </w:pPr>
            <w:r>
              <w:rPr>
                <w:rFonts w:hint="eastAsia"/>
                <w:color w:val="auto"/>
                <w:highlight w:val="none"/>
                <w:lang w:val="en-US" w:eastAsia="zh-CN"/>
              </w:rPr>
              <w:t>二、评审标准</w:t>
            </w:r>
          </w:p>
          <w:p w14:paraId="11DAC909">
            <w:pPr>
              <w:rPr>
                <w:rFonts w:hint="eastAsia"/>
                <w:color w:val="auto"/>
                <w:highlight w:val="none"/>
              </w:rPr>
            </w:pPr>
            <w:r>
              <w:rPr>
                <w:rFonts w:hint="eastAsia"/>
                <w:color w:val="auto"/>
                <w:highlight w:val="none"/>
              </w:rPr>
              <w:t>①方案须全面，对评审内容中的各项要求有详细描述及说明；</w:t>
            </w:r>
          </w:p>
          <w:p w14:paraId="30B5FDE4">
            <w:pPr>
              <w:rPr>
                <w:rFonts w:hint="eastAsia"/>
                <w:color w:val="auto"/>
                <w:highlight w:val="none"/>
              </w:rPr>
            </w:pPr>
            <w:r>
              <w:rPr>
                <w:rFonts w:hint="eastAsia"/>
                <w:color w:val="auto"/>
                <w:highlight w:val="none"/>
              </w:rPr>
              <w:t>②切合本项目实际情况，</w:t>
            </w:r>
            <w:r>
              <w:rPr>
                <w:rFonts w:hint="eastAsia"/>
                <w:color w:val="auto"/>
                <w:highlight w:val="none"/>
                <w:lang w:val="en-US" w:eastAsia="zh-CN"/>
              </w:rPr>
              <w:t>各项分析</w:t>
            </w:r>
            <w:r>
              <w:rPr>
                <w:rFonts w:hint="eastAsia"/>
                <w:color w:val="auto"/>
                <w:highlight w:val="none"/>
              </w:rPr>
              <w:t>清晰合理；</w:t>
            </w:r>
          </w:p>
          <w:p w14:paraId="338ABBAD">
            <w:pPr>
              <w:rPr>
                <w:rFonts w:hint="eastAsia"/>
                <w:color w:val="auto"/>
                <w:highlight w:val="none"/>
              </w:rPr>
            </w:pPr>
            <w:r>
              <w:rPr>
                <w:rFonts w:hint="eastAsia"/>
                <w:color w:val="auto"/>
                <w:highlight w:val="none"/>
              </w:rPr>
              <w:t>③方案能够紧扣项目实际情况，内容科学合理。</w:t>
            </w:r>
          </w:p>
          <w:p w14:paraId="5E0F30A7">
            <w:pPr>
              <w:rPr>
                <w:rFonts w:hint="eastAsia"/>
                <w:color w:val="auto"/>
                <w:highlight w:val="none"/>
                <w:lang w:val="en-US" w:eastAsia="zh-CN"/>
              </w:rPr>
            </w:pPr>
            <w:r>
              <w:rPr>
                <w:rFonts w:hint="eastAsia"/>
                <w:color w:val="auto"/>
                <w:highlight w:val="none"/>
                <w:lang w:val="en-US" w:eastAsia="zh-CN"/>
              </w:rPr>
              <w:t>三、赋分标准（满分4.5分）</w:t>
            </w:r>
          </w:p>
          <w:p w14:paraId="3BC640BD">
            <w:pPr>
              <w:rPr>
                <w:rFonts w:hint="eastAsia"/>
                <w:color w:val="auto"/>
                <w:highlight w:val="none"/>
              </w:rPr>
            </w:pPr>
            <w:r>
              <w:rPr>
                <w:rFonts w:hint="eastAsia"/>
                <w:color w:val="auto"/>
                <w:highlight w:val="none"/>
              </w:rPr>
              <w:t>①</w:t>
            </w:r>
            <w:r>
              <w:rPr>
                <w:rFonts w:hint="eastAsia"/>
                <w:color w:val="auto"/>
                <w:highlight w:val="none"/>
                <w:lang w:val="en-US" w:eastAsia="zh-CN"/>
              </w:rPr>
              <w:t>项目的理解与分析</w:t>
            </w:r>
            <w:r>
              <w:rPr>
                <w:rFonts w:hint="eastAsia"/>
                <w:color w:val="auto"/>
                <w:highlight w:val="none"/>
              </w:rPr>
              <w:t>：每完全满足一项评审标准</w:t>
            </w:r>
            <w:r>
              <w:rPr>
                <w:rFonts w:hint="eastAsia"/>
                <w:color w:val="auto"/>
                <w:highlight w:val="none"/>
                <w:lang w:val="en-US" w:eastAsia="zh-CN"/>
              </w:rPr>
              <w:t>得</w:t>
            </w:r>
            <w:r>
              <w:rPr>
                <w:rFonts w:hint="eastAsia"/>
                <w:color w:val="auto"/>
                <w:highlight w:val="none"/>
              </w:rPr>
              <w:t>0.5分，满分1.5分；</w:t>
            </w:r>
          </w:p>
          <w:p w14:paraId="30B0F4FD">
            <w:pPr>
              <w:rPr>
                <w:rFonts w:hint="eastAsia"/>
                <w:color w:val="auto"/>
                <w:highlight w:val="none"/>
              </w:rPr>
            </w:pPr>
            <w:r>
              <w:rPr>
                <w:rFonts w:hint="eastAsia"/>
                <w:color w:val="auto"/>
                <w:highlight w:val="none"/>
              </w:rPr>
              <w:t>②</w:t>
            </w:r>
            <w:r>
              <w:rPr>
                <w:rFonts w:hint="eastAsia"/>
                <w:color w:val="auto"/>
                <w:highlight w:val="none"/>
                <w:lang w:val="en-US" w:eastAsia="zh-CN"/>
              </w:rPr>
              <w:t>项目目标分析</w:t>
            </w:r>
            <w:r>
              <w:rPr>
                <w:rFonts w:hint="eastAsia"/>
                <w:color w:val="auto"/>
                <w:highlight w:val="none"/>
              </w:rPr>
              <w:t>:每完全满足一项评审标准得0.5分，满分1.5分；</w:t>
            </w:r>
          </w:p>
          <w:p w14:paraId="3F527CD5">
            <w:pPr>
              <w:rPr>
                <w:color w:val="auto"/>
                <w:highlight w:val="none"/>
                <w:vertAlign w:val="baseline"/>
              </w:rPr>
            </w:pPr>
            <w:r>
              <w:rPr>
                <w:rFonts w:hint="eastAsia"/>
                <w:color w:val="auto"/>
                <w:highlight w:val="none"/>
              </w:rPr>
              <w:t>③</w:t>
            </w:r>
            <w:r>
              <w:rPr>
                <w:rFonts w:hint="eastAsia"/>
                <w:color w:val="auto"/>
                <w:highlight w:val="none"/>
                <w:lang w:val="en-US" w:eastAsia="zh-CN"/>
              </w:rPr>
              <w:t>项目需求分析</w:t>
            </w:r>
            <w:r>
              <w:rPr>
                <w:rFonts w:hint="eastAsia"/>
                <w:color w:val="auto"/>
                <w:highlight w:val="none"/>
              </w:rPr>
              <w:t>:每完全满足一项评审标准得0.5分，满分1.5分。</w:t>
            </w:r>
          </w:p>
        </w:tc>
      </w:tr>
      <w:tr w14:paraId="7CD8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top"/>
          </w:tcPr>
          <w:p w14:paraId="766CB510">
            <w:pPr>
              <w:jc w:val="center"/>
              <w:rPr>
                <w:rFonts w:hint="eastAsia"/>
                <w:color w:val="auto"/>
                <w:highlight w:val="none"/>
                <w:lang w:val="en-US" w:eastAsia="zh-CN"/>
              </w:rPr>
            </w:pPr>
          </w:p>
          <w:p w14:paraId="450D971F">
            <w:pPr>
              <w:jc w:val="center"/>
              <w:rPr>
                <w:rFonts w:hint="eastAsia"/>
                <w:color w:val="auto"/>
                <w:highlight w:val="none"/>
                <w:lang w:val="en-US" w:eastAsia="zh-CN"/>
              </w:rPr>
            </w:pPr>
          </w:p>
          <w:p w14:paraId="28BC4C64">
            <w:pPr>
              <w:jc w:val="center"/>
              <w:rPr>
                <w:rFonts w:hint="eastAsia"/>
                <w:color w:val="auto"/>
                <w:highlight w:val="none"/>
                <w:lang w:val="en-US" w:eastAsia="zh-CN"/>
              </w:rPr>
            </w:pPr>
          </w:p>
          <w:p w14:paraId="068438C5">
            <w:pPr>
              <w:jc w:val="center"/>
              <w:rPr>
                <w:rFonts w:hint="eastAsia"/>
                <w:color w:val="auto"/>
                <w:highlight w:val="none"/>
                <w:lang w:val="en-US" w:eastAsia="zh-CN"/>
              </w:rPr>
            </w:pPr>
          </w:p>
          <w:p w14:paraId="2F000D3C">
            <w:pPr>
              <w:jc w:val="center"/>
              <w:rPr>
                <w:rFonts w:hint="eastAsia"/>
                <w:color w:val="auto"/>
                <w:highlight w:val="none"/>
                <w:lang w:val="en-US" w:eastAsia="zh-CN"/>
              </w:rPr>
            </w:pPr>
            <w:r>
              <w:rPr>
                <w:rFonts w:hint="eastAsia"/>
                <w:color w:val="auto"/>
                <w:highlight w:val="none"/>
                <w:lang w:val="en-US" w:eastAsia="zh-CN"/>
              </w:rPr>
              <w:t>组织</w:t>
            </w:r>
          </w:p>
          <w:p w14:paraId="240913B4">
            <w:pPr>
              <w:jc w:val="center"/>
              <w:rPr>
                <w:color w:val="auto"/>
                <w:highlight w:val="none"/>
                <w:vertAlign w:val="baseline"/>
              </w:rPr>
            </w:pPr>
            <w:r>
              <w:rPr>
                <w:rFonts w:hint="eastAsia"/>
                <w:color w:val="auto"/>
                <w:highlight w:val="none"/>
                <w:lang w:val="en-US" w:eastAsia="zh-CN"/>
              </w:rPr>
              <w:t>机构</w:t>
            </w:r>
          </w:p>
        </w:tc>
        <w:tc>
          <w:tcPr>
            <w:tcW w:w="881" w:type="dxa"/>
            <w:shd w:val="clear" w:color="auto" w:fill="FDEADA" w:themeFill="accent6" w:themeFillTint="32"/>
            <w:vAlign w:val="top"/>
          </w:tcPr>
          <w:p w14:paraId="70F6767D">
            <w:pPr>
              <w:jc w:val="center"/>
              <w:rPr>
                <w:rFonts w:hint="eastAsia"/>
                <w:color w:val="auto"/>
                <w:highlight w:val="none"/>
              </w:rPr>
            </w:pPr>
          </w:p>
          <w:p w14:paraId="1EFB18E6">
            <w:pPr>
              <w:jc w:val="center"/>
              <w:rPr>
                <w:rFonts w:hint="eastAsia"/>
                <w:color w:val="auto"/>
                <w:highlight w:val="none"/>
              </w:rPr>
            </w:pPr>
          </w:p>
          <w:p w14:paraId="73CF953B">
            <w:pPr>
              <w:jc w:val="center"/>
              <w:rPr>
                <w:rFonts w:hint="eastAsia"/>
                <w:color w:val="auto"/>
                <w:highlight w:val="none"/>
              </w:rPr>
            </w:pPr>
          </w:p>
          <w:p w14:paraId="74B7825A">
            <w:pPr>
              <w:jc w:val="center"/>
              <w:rPr>
                <w:rFonts w:hint="eastAsia"/>
                <w:color w:val="auto"/>
                <w:highlight w:val="none"/>
              </w:rPr>
            </w:pPr>
          </w:p>
          <w:p w14:paraId="5E2F7EE3">
            <w:pPr>
              <w:jc w:val="center"/>
              <w:rPr>
                <w:color w:val="auto"/>
                <w:highlight w:val="none"/>
                <w:vertAlign w:val="baseline"/>
              </w:rPr>
            </w:pPr>
            <w:r>
              <w:rPr>
                <w:rFonts w:hint="eastAsia"/>
                <w:color w:val="auto"/>
                <w:highlight w:val="none"/>
                <w:lang w:val="en-US" w:eastAsia="zh-CN"/>
              </w:rPr>
              <w:t>4.5分</w:t>
            </w:r>
          </w:p>
        </w:tc>
        <w:tc>
          <w:tcPr>
            <w:tcW w:w="7286" w:type="dxa"/>
            <w:shd w:val="clear" w:color="auto" w:fill="EBF1DE" w:themeFill="accent3" w:themeFillTint="32"/>
            <w:vAlign w:val="top"/>
          </w:tcPr>
          <w:p w14:paraId="2103425E">
            <w:pPr>
              <w:rPr>
                <w:rFonts w:hint="eastAsia"/>
                <w:color w:val="auto"/>
                <w:highlight w:val="none"/>
                <w:lang w:val="en-US" w:eastAsia="zh-CN"/>
              </w:rPr>
            </w:pPr>
            <w:r>
              <w:rPr>
                <w:rFonts w:hint="eastAsia"/>
                <w:color w:val="auto"/>
                <w:highlight w:val="none"/>
                <w:lang w:val="en-US" w:eastAsia="zh-CN"/>
              </w:rPr>
              <w:t>一、评审内容</w:t>
            </w:r>
          </w:p>
          <w:p w14:paraId="3909EE62">
            <w:pPr>
              <w:rPr>
                <w:rFonts w:hint="eastAsia"/>
                <w:color w:val="auto"/>
                <w:highlight w:val="none"/>
                <w:lang w:val="en-US" w:eastAsia="zh-CN"/>
              </w:rPr>
            </w:pPr>
            <w:r>
              <w:rPr>
                <w:rFonts w:hint="eastAsia"/>
                <w:color w:val="auto"/>
                <w:highlight w:val="none"/>
              </w:rPr>
              <w:t>针对本项目</w:t>
            </w:r>
            <w:r>
              <w:rPr>
                <w:rFonts w:hint="eastAsia"/>
                <w:color w:val="auto"/>
                <w:highlight w:val="none"/>
                <w:lang w:val="en-US" w:eastAsia="zh-CN"/>
              </w:rPr>
              <w:t>成立组织机构</w:t>
            </w:r>
            <w:r>
              <w:rPr>
                <w:rFonts w:hint="eastAsia"/>
                <w:color w:val="auto"/>
                <w:highlight w:val="none"/>
              </w:rPr>
              <w:t>，</w:t>
            </w:r>
            <w:r>
              <w:rPr>
                <w:rFonts w:hint="eastAsia"/>
                <w:color w:val="auto"/>
                <w:highlight w:val="none"/>
                <w:lang w:val="en-US" w:eastAsia="zh-CN"/>
              </w:rPr>
              <w:t>内容包括①组织机构框架；②</w:t>
            </w:r>
            <w:r>
              <w:rPr>
                <w:rFonts w:hint="eastAsia" w:ascii="宋体" w:eastAsia="宋体" w:cs="Times New Roman"/>
                <w:color w:val="auto"/>
                <w:szCs w:val="21"/>
                <w:highlight w:val="none"/>
                <w:lang w:val="en-US" w:eastAsia="zh-CN"/>
              </w:rPr>
              <w:t>项目部组成及岗位设置</w:t>
            </w:r>
            <w:r>
              <w:rPr>
                <w:rFonts w:hint="eastAsia"/>
                <w:color w:val="auto"/>
                <w:highlight w:val="none"/>
                <w:lang w:val="en-US" w:eastAsia="zh-CN"/>
              </w:rPr>
              <w:t>；③</w:t>
            </w:r>
            <w:r>
              <w:rPr>
                <w:rFonts w:hint="eastAsia" w:ascii="宋体" w:eastAsia="宋体" w:cs="Times New Roman"/>
                <w:color w:val="auto"/>
                <w:szCs w:val="21"/>
                <w:highlight w:val="none"/>
                <w:lang w:val="en-US" w:eastAsia="zh-CN"/>
              </w:rPr>
              <w:t>部门职责及分工</w:t>
            </w:r>
            <w:r>
              <w:rPr>
                <w:rFonts w:hint="eastAsia"/>
                <w:color w:val="auto"/>
                <w:highlight w:val="none"/>
                <w:lang w:val="en-US" w:eastAsia="zh-CN"/>
              </w:rPr>
              <w:t>。</w:t>
            </w:r>
          </w:p>
          <w:p w14:paraId="08CB8E89">
            <w:pPr>
              <w:rPr>
                <w:rFonts w:hint="eastAsia"/>
                <w:color w:val="auto"/>
                <w:highlight w:val="none"/>
                <w:lang w:val="en-US" w:eastAsia="zh-CN"/>
              </w:rPr>
            </w:pPr>
            <w:r>
              <w:rPr>
                <w:rFonts w:hint="eastAsia"/>
                <w:color w:val="auto"/>
                <w:highlight w:val="none"/>
                <w:lang w:val="en-US" w:eastAsia="zh-CN"/>
              </w:rPr>
              <w:t>二、评审标准</w:t>
            </w:r>
          </w:p>
          <w:p w14:paraId="42CE6857">
            <w:pPr>
              <w:rPr>
                <w:rFonts w:hint="eastAsia"/>
                <w:color w:val="auto"/>
                <w:highlight w:val="none"/>
                <w:lang w:val="en-US" w:eastAsia="zh-CN"/>
              </w:rPr>
            </w:pPr>
            <w:r>
              <w:rPr>
                <w:rFonts w:hint="eastAsia"/>
                <w:color w:val="auto"/>
                <w:highlight w:val="none"/>
                <w:lang w:val="en-US" w:eastAsia="zh-CN"/>
              </w:rPr>
              <w:t>①</w:t>
            </w:r>
            <w:r>
              <w:rPr>
                <w:rFonts w:hint="eastAsia"/>
                <w:color w:val="auto"/>
                <w:highlight w:val="none"/>
              </w:rPr>
              <w:t>方案须全面，对评审内容中的各项要求有详细描述及说明</w:t>
            </w:r>
            <w:r>
              <w:rPr>
                <w:rFonts w:hint="eastAsia"/>
                <w:color w:val="auto"/>
                <w:highlight w:val="none"/>
                <w:lang w:val="en-US" w:eastAsia="zh-CN"/>
              </w:rPr>
              <w:t>。</w:t>
            </w:r>
          </w:p>
          <w:p w14:paraId="7EEEE4E7">
            <w:pPr>
              <w:rPr>
                <w:rFonts w:hint="eastAsia"/>
                <w:color w:val="auto"/>
                <w:highlight w:val="none"/>
                <w:lang w:val="en-US" w:eastAsia="zh-CN"/>
              </w:rPr>
            </w:pPr>
            <w:r>
              <w:rPr>
                <w:rFonts w:hint="eastAsia"/>
                <w:color w:val="auto"/>
                <w:highlight w:val="none"/>
                <w:lang w:val="en-US" w:eastAsia="zh-CN"/>
              </w:rPr>
              <w:t>②项目部构成切合实际，满足本次采购需求。</w:t>
            </w:r>
          </w:p>
          <w:p w14:paraId="2D4CEE46">
            <w:pPr>
              <w:rPr>
                <w:rFonts w:hint="eastAsia"/>
                <w:color w:val="auto"/>
                <w:highlight w:val="none"/>
                <w:lang w:val="en-US"/>
              </w:rPr>
            </w:pPr>
            <w:r>
              <w:rPr>
                <w:rFonts w:hint="eastAsia"/>
                <w:color w:val="auto"/>
                <w:highlight w:val="none"/>
                <w:lang w:val="en-US" w:eastAsia="zh-CN"/>
              </w:rPr>
              <w:t>③</w:t>
            </w:r>
            <w:r>
              <w:rPr>
                <w:rFonts w:hint="eastAsia"/>
                <w:color w:val="auto"/>
                <w:highlight w:val="none"/>
              </w:rPr>
              <w:t>方案能够紧扣项目实际情况，内容科学合理</w:t>
            </w:r>
            <w:r>
              <w:rPr>
                <w:rFonts w:hint="eastAsia"/>
                <w:color w:val="auto"/>
                <w:highlight w:val="none"/>
                <w:lang w:val="en-US" w:eastAsia="zh-CN"/>
              </w:rPr>
              <w:t>。</w:t>
            </w:r>
          </w:p>
          <w:p w14:paraId="6F821C44">
            <w:pPr>
              <w:rPr>
                <w:rFonts w:hint="eastAsia"/>
                <w:color w:val="auto"/>
                <w:highlight w:val="none"/>
                <w:lang w:val="en-US" w:eastAsia="zh-CN"/>
              </w:rPr>
            </w:pPr>
            <w:r>
              <w:rPr>
                <w:rFonts w:hint="eastAsia"/>
                <w:color w:val="auto"/>
                <w:highlight w:val="none"/>
                <w:lang w:val="en-US" w:eastAsia="zh-CN"/>
              </w:rPr>
              <w:t>三、赋分标准（满分4.5分）</w:t>
            </w:r>
          </w:p>
          <w:p w14:paraId="4FFEDBF3">
            <w:pPr>
              <w:rPr>
                <w:rFonts w:hint="eastAsia"/>
                <w:color w:val="auto"/>
                <w:highlight w:val="none"/>
                <w:lang w:val="en-US" w:eastAsia="zh-CN"/>
              </w:rPr>
            </w:pPr>
            <w:r>
              <w:rPr>
                <w:rFonts w:hint="eastAsia"/>
                <w:color w:val="auto"/>
                <w:highlight w:val="none"/>
                <w:lang w:val="en-US" w:eastAsia="zh-CN"/>
              </w:rPr>
              <w:t>①组织机构框架：</w:t>
            </w:r>
            <w:r>
              <w:rPr>
                <w:rFonts w:hint="eastAsia"/>
                <w:color w:val="auto"/>
                <w:highlight w:val="none"/>
              </w:rPr>
              <w:t>每完全满足一项评审标准</w:t>
            </w:r>
            <w:r>
              <w:rPr>
                <w:rFonts w:hint="eastAsia"/>
                <w:color w:val="auto"/>
                <w:highlight w:val="none"/>
                <w:lang w:val="en-US" w:eastAsia="zh-CN"/>
              </w:rPr>
              <w:t>得</w:t>
            </w:r>
            <w:r>
              <w:rPr>
                <w:rFonts w:hint="eastAsia"/>
                <w:color w:val="auto"/>
                <w:highlight w:val="none"/>
              </w:rPr>
              <w:t>0.5分，满分1.5分；</w:t>
            </w:r>
          </w:p>
          <w:p w14:paraId="5F1805F8">
            <w:pPr>
              <w:rPr>
                <w:rFonts w:hint="eastAsia"/>
                <w:color w:val="auto"/>
                <w:highlight w:val="none"/>
                <w:lang w:val="en-US" w:eastAsia="zh-CN"/>
              </w:rPr>
            </w:pPr>
            <w:r>
              <w:rPr>
                <w:rFonts w:hint="eastAsia"/>
                <w:color w:val="auto"/>
                <w:highlight w:val="none"/>
                <w:lang w:val="en-US" w:eastAsia="zh-CN"/>
              </w:rPr>
              <w:t>②</w:t>
            </w:r>
            <w:r>
              <w:rPr>
                <w:rFonts w:hint="eastAsia" w:ascii="宋体" w:eastAsia="宋体" w:cs="Times New Roman"/>
                <w:color w:val="auto"/>
                <w:szCs w:val="21"/>
                <w:highlight w:val="none"/>
                <w:lang w:val="en-US" w:eastAsia="zh-CN"/>
              </w:rPr>
              <w:t>项目部组成及岗位设置</w:t>
            </w:r>
            <w:r>
              <w:rPr>
                <w:rFonts w:hint="eastAsia"/>
                <w:color w:val="auto"/>
                <w:highlight w:val="none"/>
                <w:lang w:val="en-US" w:eastAsia="zh-CN"/>
              </w:rPr>
              <w:t>：</w:t>
            </w:r>
            <w:r>
              <w:rPr>
                <w:rFonts w:hint="eastAsia"/>
                <w:color w:val="auto"/>
                <w:highlight w:val="none"/>
              </w:rPr>
              <w:t>每完全满足一项评审标准</w:t>
            </w:r>
            <w:r>
              <w:rPr>
                <w:rFonts w:hint="eastAsia"/>
                <w:color w:val="auto"/>
                <w:highlight w:val="none"/>
                <w:lang w:val="en-US" w:eastAsia="zh-CN"/>
              </w:rPr>
              <w:t>得</w:t>
            </w:r>
            <w:r>
              <w:rPr>
                <w:rFonts w:hint="eastAsia"/>
                <w:color w:val="auto"/>
                <w:highlight w:val="none"/>
              </w:rPr>
              <w:t>0.5分，满分1.5分；</w:t>
            </w:r>
          </w:p>
          <w:p w14:paraId="21374FB8">
            <w:pPr>
              <w:rPr>
                <w:color w:val="auto"/>
                <w:highlight w:val="none"/>
                <w:vertAlign w:val="baseline"/>
              </w:rPr>
            </w:pPr>
            <w:r>
              <w:rPr>
                <w:rFonts w:hint="eastAsia"/>
                <w:color w:val="auto"/>
                <w:highlight w:val="none"/>
                <w:lang w:val="en-US" w:eastAsia="zh-CN"/>
              </w:rPr>
              <w:t>③</w:t>
            </w:r>
            <w:r>
              <w:rPr>
                <w:rFonts w:hint="eastAsia" w:ascii="宋体" w:eastAsia="宋体" w:cs="Times New Roman"/>
                <w:color w:val="auto"/>
                <w:szCs w:val="21"/>
                <w:highlight w:val="none"/>
                <w:lang w:val="en-US" w:eastAsia="zh-CN"/>
              </w:rPr>
              <w:t>部门职责及分工</w:t>
            </w:r>
            <w:r>
              <w:rPr>
                <w:rFonts w:hint="eastAsia"/>
                <w:color w:val="auto"/>
                <w:highlight w:val="none"/>
                <w:lang w:val="en-US" w:eastAsia="zh-CN"/>
              </w:rPr>
              <w:t>：</w:t>
            </w:r>
            <w:r>
              <w:rPr>
                <w:rFonts w:hint="eastAsia"/>
                <w:color w:val="auto"/>
                <w:highlight w:val="none"/>
              </w:rPr>
              <w:t>每完全满足一项评审标准0.5分，满分1.5分；</w:t>
            </w:r>
          </w:p>
        </w:tc>
      </w:tr>
      <w:tr w14:paraId="3831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center"/>
          </w:tcPr>
          <w:p w14:paraId="3659A736">
            <w:pPr>
              <w:jc w:val="center"/>
              <w:rPr>
                <w:rFonts w:hint="eastAsia"/>
                <w:color w:val="auto"/>
                <w:highlight w:val="none"/>
                <w:lang w:val="en-US" w:eastAsia="zh-CN"/>
              </w:rPr>
            </w:pPr>
            <w:r>
              <w:rPr>
                <w:rFonts w:hint="eastAsia"/>
                <w:color w:val="auto"/>
                <w:highlight w:val="none"/>
                <w:lang w:val="en-US" w:eastAsia="zh-CN"/>
              </w:rPr>
              <w:t>项目</w:t>
            </w:r>
          </w:p>
          <w:p w14:paraId="0AE44D4F">
            <w:pPr>
              <w:jc w:val="center"/>
              <w:rPr>
                <w:color w:val="auto"/>
                <w:highlight w:val="none"/>
                <w:vertAlign w:val="baseline"/>
              </w:rPr>
            </w:pPr>
            <w:r>
              <w:rPr>
                <w:rFonts w:hint="eastAsia"/>
                <w:color w:val="auto"/>
                <w:highlight w:val="none"/>
                <w:lang w:val="en-US" w:eastAsia="zh-CN"/>
              </w:rPr>
              <w:t>负责人</w:t>
            </w:r>
          </w:p>
        </w:tc>
        <w:tc>
          <w:tcPr>
            <w:tcW w:w="881" w:type="dxa"/>
            <w:shd w:val="clear" w:color="auto" w:fill="FDEADA" w:themeFill="accent6" w:themeFillTint="32"/>
            <w:vAlign w:val="center"/>
          </w:tcPr>
          <w:p w14:paraId="66163765">
            <w:pPr>
              <w:jc w:val="center"/>
              <w:rPr>
                <w:color w:val="auto"/>
                <w:highlight w:val="none"/>
                <w:vertAlign w:val="baseline"/>
              </w:rPr>
            </w:pPr>
            <w:r>
              <w:rPr>
                <w:rFonts w:hint="eastAsia"/>
                <w:color w:val="auto"/>
                <w:highlight w:val="none"/>
                <w:lang w:val="en-US" w:eastAsia="zh-CN"/>
              </w:rPr>
              <w:t>4分</w:t>
            </w:r>
          </w:p>
        </w:tc>
        <w:tc>
          <w:tcPr>
            <w:tcW w:w="7286" w:type="dxa"/>
            <w:shd w:val="clear" w:color="auto" w:fill="EBF1DE" w:themeFill="accent3" w:themeFillTint="32"/>
            <w:vAlign w:val="top"/>
          </w:tcPr>
          <w:p w14:paraId="7C5FD6A3">
            <w:pPr>
              <w:rPr>
                <w:rFonts w:hint="eastAsia"/>
                <w:color w:val="auto"/>
                <w:highlight w:val="none"/>
                <w:lang w:val="en-US" w:eastAsia="zh-CN"/>
              </w:rPr>
            </w:pPr>
            <w:r>
              <w:rPr>
                <w:rFonts w:hint="eastAsia"/>
                <w:color w:val="auto"/>
                <w:highlight w:val="none"/>
                <w:lang w:val="en-US" w:eastAsia="zh-CN"/>
              </w:rPr>
              <w:t>经验要求（满分4分）</w:t>
            </w:r>
          </w:p>
          <w:p w14:paraId="7D808FA4">
            <w:pPr>
              <w:rPr>
                <w:rFonts w:hint="eastAsia"/>
                <w:color w:val="auto"/>
                <w:highlight w:val="none"/>
              </w:rPr>
            </w:pPr>
            <w:r>
              <w:rPr>
                <w:rFonts w:hint="eastAsia"/>
                <w:color w:val="auto"/>
                <w:highlight w:val="none"/>
              </w:rPr>
              <w:t>项目</w:t>
            </w:r>
            <w:r>
              <w:rPr>
                <w:rFonts w:hint="eastAsia"/>
                <w:color w:val="auto"/>
                <w:highlight w:val="none"/>
                <w:lang w:val="en-US" w:eastAsia="zh-CN"/>
              </w:rPr>
              <w:t>负责人</w:t>
            </w:r>
            <w:r>
              <w:rPr>
                <w:rFonts w:hint="eastAsia"/>
                <w:color w:val="auto"/>
                <w:highlight w:val="none"/>
              </w:rPr>
              <w:t>具有</w:t>
            </w:r>
            <w:r>
              <w:rPr>
                <w:rFonts w:hint="eastAsia"/>
                <w:color w:val="auto"/>
                <w:highlight w:val="none"/>
                <w:lang w:val="en-US" w:eastAsia="zh-CN"/>
              </w:rPr>
              <w:t>类似业绩的</w:t>
            </w:r>
            <w:r>
              <w:rPr>
                <w:rFonts w:hint="eastAsia"/>
                <w:color w:val="auto"/>
                <w:highlight w:val="none"/>
              </w:rPr>
              <w:t>，</w:t>
            </w:r>
            <w:r>
              <w:rPr>
                <w:rFonts w:hint="eastAsia"/>
                <w:color w:val="auto"/>
                <w:highlight w:val="none"/>
                <w:lang w:val="en-US" w:eastAsia="zh-CN"/>
              </w:rPr>
              <w:t>每个项目</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r>
              <w:rPr>
                <w:rFonts w:hint="eastAsia"/>
                <w:color w:val="auto"/>
                <w:highlight w:val="none"/>
              </w:rPr>
              <w:t>满分</w:t>
            </w:r>
            <w:r>
              <w:rPr>
                <w:rFonts w:hint="eastAsia"/>
                <w:color w:val="auto"/>
                <w:highlight w:val="none"/>
                <w:lang w:val="en-US" w:eastAsia="zh-CN"/>
              </w:rPr>
              <w:t>4</w:t>
            </w:r>
            <w:r>
              <w:rPr>
                <w:rFonts w:hint="eastAsia"/>
                <w:color w:val="auto"/>
                <w:highlight w:val="none"/>
              </w:rPr>
              <w:t>分。</w:t>
            </w:r>
          </w:p>
          <w:p w14:paraId="4F483752">
            <w:pPr>
              <w:rPr>
                <w:color w:val="auto"/>
                <w:highlight w:val="none"/>
                <w:vertAlign w:val="baseline"/>
              </w:rPr>
            </w:pPr>
            <w:r>
              <w:rPr>
                <w:rFonts w:hint="eastAsia"/>
                <w:color w:val="auto"/>
                <w:highlight w:val="none"/>
                <w:lang w:val="en-US" w:eastAsia="zh-CN"/>
              </w:rPr>
              <w:t>赋分依据：</w:t>
            </w:r>
            <w:r>
              <w:rPr>
                <w:rFonts w:hint="eastAsia"/>
                <w:color w:val="auto"/>
                <w:highlight w:val="none"/>
              </w:rPr>
              <w:t>需提供</w:t>
            </w:r>
            <w:r>
              <w:rPr>
                <w:rFonts w:hint="eastAsia"/>
                <w:color w:val="auto"/>
                <w:highlight w:val="none"/>
                <w:lang w:val="en-US" w:eastAsia="zh-CN"/>
              </w:rPr>
              <w:t>包含项目负责人姓名的合同或中标通知书</w:t>
            </w:r>
            <w:r>
              <w:rPr>
                <w:rFonts w:hint="eastAsia"/>
                <w:color w:val="auto"/>
                <w:highlight w:val="none"/>
              </w:rPr>
              <w:t>，不提供</w:t>
            </w:r>
            <w:r>
              <w:rPr>
                <w:rFonts w:hint="eastAsia"/>
                <w:color w:val="auto"/>
                <w:highlight w:val="none"/>
                <w:lang w:eastAsia="zh-CN"/>
              </w:rPr>
              <w:t>的</w:t>
            </w:r>
            <w:r>
              <w:rPr>
                <w:rFonts w:hint="eastAsia"/>
                <w:color w:val="auto"/>
                <w:highlight w:val="none"/>
              </w:rPr>
              <w:t>不得分。</w:t>
            </w:r>
          </w:p>
        </w:tc>
      </w:tr>
      <w:tr w14:paraId="78D6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top"/>
          </w:tcPr>
          <w:p w14:paraId="197AAD2E">
            <w:pPr>
              <w:jc w:val="center"/>
              <w:rPr>
                <w:rFonts w:hint="eastAsia"/>
                <w:color w:val="auto"/>
                <w:highlight w:val="none"/>
              </w:rPr>
            </w:pPr>
          </w:p>
          <w:p w14:paraId="620AAEF3">
            <w:pPr>
              <w:jc w:val="center"/>
              <w:rPr>
                <w:rFonts w:hint="eastAsia"/>
                <w:color w:val="auto"/>
                <w:highlight w:val="none"/>
              </w:rPr>
            </w:pPr>
          </w:p>
          <w:p w14:paraId="3723C2CF">
            <w:pPr>
              <w:jc w:val="center"/>
              <w:rPr>
                <w:rFonts w:hint="eastAsia"/>
                <w:color w:val="auto"/>
                <w:highlight w:val="none"/>
              </w:rPr>
            </w:pPr>
          </w:p>
          <w:p w14:paraId="40D5EE3D">
            <w:pPr>
              <w:jc w:val="center"/>
              <w:rPr>
                <w:rFonts w:hint="eastAsia"/>
                <w:color w:val="auto"/>
                <w:highlight w:val="none"/>
              </w:rPr>
            </w:pPr>
          </w:p>
          <w:p w14:paraId="30EF23F0">
            <w:pPr>
              <w:jc w:val="center"/>
              <w:rPr>
                <w:rFonts w:hint="eastAsia"/>
                <w:color w:val="auto"/>
                <w:highlight w:val="none"/>
              </w:rPr>
            </w:pPr>
          </w:p>
          <w:p w14:paraId="2A0ADF4A">
            <w:pPr>
              <w:jc w:val="center"/>
              <w:rPr>
                <w:rFonts w:hint="eastAsia"/>
                <w:color w:val="auto"/>
                <w:highlight w:val="none"/>
              </w:rPr>
            </w:pPr>
          </w:p>
          <w:p w14:paraId="5E05DCBA">
            <w:pPr>
              <w:jc w:val="center"/>
              <w:rPr>
                <w:rFonts w:hint="eastAsia"/>
                <w:color w:val="auto"/>
                <w:highlight w:val="none"/>
              </w:rPr>
            </w:pPr>
          </w:p>
          <w:p w14:paraId="17981C7E">
            <w:pPr>
              <w:jc w:val="center"/>
              <w:rPr>
                <w:rFonts w:hint="eastAsia"/>
                <w:color w:val="auto"/>
                <w:highlight w:val="none"/>
              </w:rPr>
            </w:pPr>
            <w:r>
              <w:rPr>
                <w:rFonts w:hint="eastAsia"/>
                <w:color w:val="auto"/>
                <w:highlight w:val="none"/>
              </w:rPr>
              <w:t>其他</w:t>
            </w:r>
          </w:p>
          <w:p w14:paraId="22B2A28B">
            <w:pPr>
              <w:jc w:val="center"/>
              <w:rPr>
                <w:color w:val="auto"/>
                <w:highlight w:val="none"/>
                <w:vertAlign w:val="baseline"/>
              </w:rPr>
            </w:pPr>
            <w:r>
              <w:rPr>
                <w:rFonts w:hint="eastAsia"/>
                <w:color w:val="auto"/>
                <w:highlight w:val="none"/>
              </w:rPr>
              <w:t>人员</w:t>
            </w:r>
          </w:p>
        </w:tc>
        <w:tc>
          <w:tcPr>
            <w:tcW w:w="881" w:type="dxa"/>
            <w:shd w:val="clear" w:color="auto" w:fill="FDEADA" w:themeFill="accent6" w:themeFillTint="32"/>
            <w:vAlign w:val="top"/>
          </w:tcPr>
          <w:p w14:paraId="0E18F5ED">
            <w:pPr>
              <w:jc w:val="center"/>
              <w:rPr>
                <w:rFonts w:hint="eastAsia"/>
                <w:color w:val="auto"/>
                <w:highlight w:val="none"/>
              </w:rPr>
            </w:pPr>
          </w:p>
          <w:p w14:paraId="15F1207E">
            <w:pPr>
              <w:jc w:val="center"/>
              <w:rPr>
                <w:rFonts w:hint="eastAsia"/>
                <w:color w:val="auto"/>
                <w:highlight w:val="none"/>
              </w:rPr>
            </w:pPr>
          </w:p>
          <w:p w14:paraId="730A296F">
            <w:pPr>
              <w:jc w:val="center"/>
              <w:rPr>
                <w:rFonts w:hint="eastAsia"/>
                <w:color w:val="auto"/>
                <w:highlight w:val="none"/>
              </w:rPr>
            </w:pPr>
          </w:p>
          <w:p w14:paraId="492FE8C0">
            <w:pPr>
              <w:jc w:val="center"/>
              <w:rPr>
                <w:rFonts w:hint="eastAsia"/>
                <w:color w:val="auto"/>
                <w:highlight w:val="none"/>
              </w:rPr>
            </w:pPr>
          </w:p>
          <w:p w14:paraId="10CD4C49">
            <w:pPr>
              <w:jc w:val="center"/>
              <w:rPr>
                <w:rFonts w:hint="eastAsia"/>
                <w:color w:val="auto"/>
                <w:highlight w:val="none"/>
              </w:rPr>
            </w:pPr>
          </w:p>
          <w:p w14:paraId="3E441A13">
            <w:pPr>
              <w:jc w:val="center"/>
              <w:rPr>
                <w:rFonts w:hint="eastAsia"/>
                <w:color w:val="auto"/>
                <w:highlight w:val="none"/>
              </w:rPr>
            </w:pPr>
          </w:p>
          <w:p w14:paraId="223336FB">
            <w:pPr>
              <w:jc w:val="center"/>
              <w:rPr>
                <w:rFonts w:hint="eastAsia"/>
                <w:color w:val="auto"/>
                <w:highlight w:val="none"/>
              </w:rPr>
            </w:pPr>
          </w:p>
          <w:p w14:paraId="781B9344">
            <w:pPr>
              <w:jc w:val="center"/>
              <w:rPr>
                <w:rFonts w:hint="eastAsia"/>
                <w:color w:val="auto"/>
                <w:highlight w:val="none"/>
              </w:rPr>
            </w:pPr>
          </w:p>
          <w:p w14:paraId="419625FA">
            <w:pPr>
              <w:jc w:val="center"/>
              <w:rPr>
                <w:color w:val="auto"/>
                <w:highlight w:val="none"/>
                <w:vertAlign w:val="baseline"/>
              </w:rPr>
            </w:pPr>
            <w:r>
              <w:rPr>
                <w:rFonts w:hint="eastAsia"/>
                <w:color w:val="auto"/>
                <w:highlight w:val="none"/>
                <w:lang w:val="en-US" w:eastAsia="zh-CN"/>
              </w:rPr>
              <w:t>6</w:t>
            </w:r>
            <w:r>
              <w:rPr>
                <w:rFonts w:hint="eastAsia"/>
                <w:color w:val="auto"/>
                <w:highlight w:val="none"/>
              </w:rPr>
              <w:t>分</w:t>
            </w:r>
          </w:p>
        </w:tc>
        <w:tc>
          <w:tcPr>
            <w:tcW w:w="7286" w:type="dxa"/>
            <w:shd w:val="clear" w:color="auto" w:fill="EBF1DE" w:themeFill="accent3" w:themeFillTint="32"/>
            <w:vAlign w:val="top"/>
          </w:tcPr>
          <w:p w14:paraId="625044D4">
            <w:pPr>
              <w:rPr>
                <w:rFonts w:hint="eastAsia"/>
                <w:color w:val="auto"/>
                <w:highlight w:val="none"/>
                <w:lang w:val="en-US" w:eastAsia="zh-CN"/>
              </w:rPr>
            </w:pPr>
            <w:r>
              <w:rPr>
                <w:rFonts w:hint="eastAsia"/>
                <w:color w:val="auto"/>
                <w:highlight w:val="none"/>
                <w:lang w:val="en-US" w:eastAsia="zh-CN"/>
              </w:rPr>
              <w:t>一、实施组主管（满分1.5分）</w:t>
            </w:r>
          </w:p>
          <w:p w14:paraId="5F18F40F">
            <w:pPr>
              <w:rPr>
                <w:rFonts w:hint="eastAsia"/>
                <w:color w:val="auto"/>
                <w:highlight w:val="none"/>
              </w:rPr>
            </w:pPr>
            <w:r>
              <w:rPr>
                <w:rFonts w:hint="eastAsia"/>
                <w:color w:val="auto"/>
                <w:highlight w:val="none"/>
              </w:rPr>
              <w:t>具有</w:t>
            </w:r>
            <w:r>
              <w:rPr>
                <w:rFonts w:hint="eastAsia"/>
                <w:color w:val="auto"/>
                <w:highlight w:val="none"/>
                <w:lang w:val="en-US" w:eastAsia="zh-CN"/>
              </w:rPr>
              <w:t>2</w:t>
            </w:r>
            <w:r>
              <w:rPr>
                <w:rFonts w:hint="eastAsia"/>
                <w:color w:val="auto"/>
                <w:highlight w:val="none"/>
              </w:rPr>
              <w:t>年及以上类似</w:t>
            </w:r>
            <w:r>
              <w:rPr>
                <w:rFonts w:hint="eastAsia"/>
                <w:color w:val="auto"/>
                <w:highlight w:val="none"/>
                <w:lang w:val="en-US" w:eastAsia="zh-CN"/>
              </w:rPr>
              <w:t>花卉栽植或摆放管理经验的</w:t>
            </w:r>
            <w:r>
              <w:rPr>
                <w:rFonts w:hint="eastAsia"/>
                <w:color w:val="auto"/>
                <w:highlight w:val="none"/>
              </w:rPr>
              <w:t>，得</w:t>
            </w:r>
            <w:r>
              <w:rPr>
                <w:rFonts w:hint="eastAsia"/>
                <w:color w:val="auto"/>
                <w:highlight w:val="none"/>
                <w:lang w:val="en-US" w:eastAsia="zh-CN"/>
              </w:rPr>
              <w:t>1.5</w:t>
            </w:r>
            <w:r>
              <w:rPr>
                <w:rFonts w:hint="eastAsia"/>
                <w:color w:val="auto"/>
                <w:highlight w:val="none"/>
              </w:rPr>
              <w:t>分。</w:t>
            </w:r>
          </w:p>
          <w:p w14:paraId="06167B43">
            <w:pPr>
              <w:rPr>
                <w:rFonts w:hint="eastAsia"/>
                <w:color w:val="auto"/>
                <w:highlight w:val="none"/>
              </w:rPr>
            </w:pPr>
            <w:r>
              <w:rPr>
                <w:rFonts w:hint="eastAsia"/>
                <w:color w:val="auto"/>
                <w:highlight w:val="none"/>
                <w:lang w:val="en-US" w:eastAsia="zh-CN"/>
              </w:rPr>
              <w:t>赋分依据：</w:t>
            </w:r>
            <w:r>
              <w:rPr>
                <w:rFonts w:hint="eastAsia"/>
                <w:color w:val="auto"/>
                <w:highlight w:val="none"/>
              </w:rPr>
              <w:t>需提供相关工作证明文件或被服务单</w:t>
            </w:r>
            <w:r>
              <w:rPr>
                <w:rFonts w:hint="eastAsia"/>
                <w:color w:val="auto"/>
                <w:highlight w:val="none"/>
                <w:lang w:val="en-US" w:eastAsia="zh-CN"/>
              </w:rPr>
              <w:t>位</w:t>
            </w:r>
            <w:r>
              <w:rPr>
                <w:rFonts w:hint="eastAsia"/>
                <w:color w:val="auto"/>
                <w:highlight w:val="none"/>
              </w:rPr>
              <w:t>加盖公章的证明材料</w:t>
            </w:r>
            <w:r>
              <w:rPr>
                <w:rFonts w:hint="eastAsia"/>
                <w:color w:val="auto"/>
                <w:highlight w:val="none"/>
                <w:lang w:eastAsia="zh-CN"/>
              </w:rPr>
              <w:t>，</w:t>
            </w:r>
            <w:r>
              <w:rPr>
                <w:rFonts w:hint="eastAsia"/>
                <w:color w:val="auto"/>
                <w:highlight w:val="none"/>
              </w:rPr>
              <w:t>不提供</w:t>
            </w:r>
            <w:r>
              <w:rPr>
                <w:rFonts w:hint="eastAsia"/>
                <w:color w:val="auto"/>
                <w:highlight w:val="none"/>
                <w:lang w:eastAsia="zh-CN"/>
              </w:rPr>
              <w:t>的</w:t>
            </w:r>
            <w:r>
              <w:rPr>
                <w:rFonts w:hint="eastAsia"/>
                <w:color w:val="auto"/>
                <w:highlight w:val="none"/>
              </w:rPr>
              <w:t>不得分。</w:t>
            </w:r>
          </w:p>
          <w:p w14:paraId="20ED03DB">
            <w:pPr>
              <w:rPr>
                <w:rFonts w:hint="eastAsia"/>
                <w:color w:val="auto"/>
                <w:highlight w:val="none"/>
                <w:lang w:val="en-US" w:eastAsia="zh-CN"/>
              </w:rPr>
            </w:pPr>
            <w:r>
              <w:rPr>
                <w:rFonts w:hint="eastAsia"/>
                <w:color w:val="auto"/>
                <w:highlight w:val="none"/>
                <w:lang w:val="en-US" w:eastAsia="zh-CN"/>
              </w:rPr>
              <w:t>二、养护组主管（满分1.5分）</w:t>
            </w:r>
          </w:p>
          <w:p w14:paraId="3803C6AE">
            <w:pPr>
              <w:rPr>
                <w:rFonts w:hint="eastAsia"/>
                <w:color w:val="auto"/>
                <w:highlight w:val="none"/>
              </w:rPr>
            </w:pPr>
            <w:r>
              <w:rPr>
                <w:rFonts w:hint="eastAsia"/>
                <w:color w:val="auto"/>
                <w:highlight w:val="none"/>
              </w:rPr>
              <w:t>具有</w:t>
            </w:r>
            <w:r>
              <w:rPr>
                <w:rFonts w:hint="eastAsia"/>
                <w:color w:val="auto"/>
                <w:highlight w:val="none"/>
                <w:lang w:val="en-US" w:eastAsia="zh-CN"/>
              </w:rPr>
              <w:t>2</w:t>
            </w:r>
            <w:r>
              <w:rPr>
                <w:rFonts w:hint="eastAsia"/>
                <w:color w:val="auto"/>
                <w:highlight w:val="none"/>
              </w:rPr>
              <w:t>年及以上类似项目绿化</w:t>
            </w:r>
            <w:r>
              <w:rPr>
                <w:rFonts w:hint="eastAsia"/>
                <w:color w:val="auto"/>
                <w:highlight w:val="none"/>
                <w:lang w:val="en-US" w:eastAsia="zh-CN"/>
              </w:rPr>
              <w:t>养护</w:t>
            </w:r>
            <w:r>
              <w:rPr>
                <w:rFonts w:hint="eastAsia"/>
                <w:color w:val="auto"/>
                <w:highlight w:val="none"/>
              </w:rPr>
              <w:t>服务管理经验</w:t>
            </w:r>
            <w:r>
              <w:rPr>
                <w:rFonts w:hint="eastAsia"/>
                <w:color w:val="auto"/>
                <w:highlight w:val="none"/>
                <w:lang w:val="en-US" w:eastAsia="zh-CN"/>
              </w:rPr>
              <w:t>的</w:t>
            </w:r>
            <w:r>
              <w:rPr>
                <w:rFonts w:hint="eastAsia"/>
                <w:color w:val="auto"/>
                <w:highlight w:val="none"/>
              </w:rPr>
              <w:t>，得</w:t>
            </w:r>
            <w:r>
              <w:rPr>
                <w:rFonts w:hint="eastAsia"/>
                <w:color w:val="auto"/>
                <w:highlight w:val="none"/>
                <w:lang w:val="en-US" w:eastAsia="zh-CN"/>
              </w:rPr>
              <w:t>1.5</w:t>
            </w:r>
            <w:r>
              <w:rPr>
                <w:rFonts w:hint="eastAsia"/>
                <w:color w:val="auto"/>
                <w:highlight w:val="none"/>
              </w:rPr>
              <w:t>分。</w:t>
            </w:r>
          </w:p>
          <w:p w14:paraId="5B863211">
            <w:pPr>
              <w:rPr>
                <w:rFonts w:hint="eastAsia"/>
                <w:color w:val="auto"/>
                <w:highlight w:val="none"/>
              </w:rPr>
            </w:pPr>
            <w:r>
              <w:rPr>
                <w:rFonts w:hint="eastAsia"/>
                <w:color w:val="auto"/>
                <w:highlight w:val="none"/>
                <w:lang w:val="en-US" w:eastAsia="zh-CN"/>
              </w:rPr>
              <w:t>赋分依据：</w:t>
            </w:r>
            <w:r>
              <w:rPr>
                <w:rFonts w:hint="eastAsia"/>
                <w:color w:val="auto"/>
                <w:highlight w:val="none"/>
              </w:rPr>
              <w:t>需提供相关工作证明文件或被服务单</w:t>
            </w:r>
            <w:r>
              <w:rPr>
                <w:rFonts w:hint="eastAsia"/>
                <w:color w:val="auto"/>
                <w:highlight w:val="none"/>
                <w:lang w:val="en-US" w:eastAsia="zh-CN"/>
              </w:rPr>
              <w:t>位</w:t>
            </w:r>
            <w:r>
              <w:rPr>
                <w:rFonts w:hint="eastAsia"/>
                <w:color w:val="auto"/>
                <w:highlight w:val="none"/>
              </w:rPr>
              <w:t>加盖公章的证明材料</w:t>
            </w:r>
            <w:r>
              <w:rPr>
                <w:rFonts w:hint="eastAsia"/>
                <w:color w:val="auto"/>
                <w:highlight w:val="none"/>
                <w:lang w:eastAsia="zh-CN"/>
              </w:rPr>
              <w:t>，</w:t>
            </w:r>
            <w:r>
              <w:rPr>
                <w:rFonts w:hint="eastAsia"/>
                <w:color w:val="auto"/>
                <w:highlight w:val="none"/>
              </w:rPr>
              <w:t>不提供</w:t>
            </w:r>
            <w:r>
              <w:rPr>
                <w:rFonts w:hint="eastAsia"/>
                <w:color w:val="auto"/>
                <w:highlight w:val="none"/>
                <w:lang w:eastAsia="zh-CN"/>
              </w:rPr>
              <w:t>的</w:t>
            </w:r>
            <w:r>
              <w:rPr>
                <w:rFonts w:hint="eastAsia"/>
                <w:color w:val="auto"/>
                <w:highlight w:val="none"/>
              </w:rPr>
              <w:t>不得分。</w:t>
            </w:r>
          </w:p>
          <w:p w14:paraId="7F355D8C">
            <w:pPr>
              <w:rPr>
                <w:rFonts w:hint="eastAsia"/>
                <w:color w:val="auto"/>
                <w:highlight w:val="none"/>
                <w:lang w:val="en-US" w:eastAsia="zh-CN"/>
              </w:rPr>
            </w:pPr>
            <w:r>
              <w:rPr>
                <w:rFonts w:hint="eastAsia"/>
                <w:color w:val="auto"/>
                <w:highlight w:val="none"/>
                <w:lang w:val="en-US" w:eastAsia="zh-CN"/>
              </w:rPr>
              <w:t>三、作业人员（3分）</w:t>
            </w:r>
          </w:p>
          <w:p w14:paraId="662C6726">
            <w:pPr>
              <w:rPr>
                <w:rFonts w:hint="eastAsia"/>
                <w:color w:val="auto"/>
                <w:highlight w:val="none"/>
                <w:lang w:val="en-US" w:eastAsia="zh-CN"/>
              </w:rPr>
            </w:pPr>
            <w:r>
              <w:rPr>
                <w:rFonts w:hint="eastAsia"/>
                <w:color w:val="auto"/>
                <w:highlight w:val="none"/>
                <w:lang w:val="en-US" w:eastAsia="zh-CN"/>
              </w:rPr>
              <w:t>每提供一名</w:t>
            </w:r>
            <w:r>
              <w:rPr>
                <w:rFonts w:hint="eastAsia"/>
                <w:color w:val="auto"/>
                <w:highlight w:val="none"/>
              </w:rPr>
              <w:t>具有</w:t>
            </w:r>
            <w:r>
              <w:rPr>
                <w:rFonts w:hint="eastAsia"/>
                <w:color w:val="auto"/>
                <w:highlight w:val="none"/>
                <w:lang w:val="en-US" w:eastAsia="zh-CN"/>
              </w:rPr>
              <w:t>1</w:t>
            </w:r>
            <w:r>
              <w:rPr>
                <w:rFonts w:hint="eastAsia"/>
                <w:color w:val="auto"/>
                <w:highlight w:val="none"/>
              </w:rPr>
              <w:t>年及以上类似</w:t>
            </w:r>
            <w:r>
              <w:rPr>
                <w:rFonts w:hint="eastAsia"/>
                <w:color w:val="auto"/>
                <w:highlight w:val="none"/>
                <w:lang w:val="en-US" w:eastAsia="zh-CN"/>
              </w:rPr>
              <w:t>花卉栽植、摆放或养护相关</w:t>
            </w:r>
            <w:r>
              <w:rPr>
                <w:rFonts w:hint="eastAsia"/>
                <w:color w:val="auto"/>
                <w:highlight w:val="none"/>
              </w:rPr>
              <w:t>经验</w:t>
            </w:r>
            <w:r>
              <w:rPr>
                <w:rFonts w:hint="eastAsia"/>
                <w:color w:val="auto"/>
                <w:highlight w:val="none"/>
                <w:lang w:val="en-US" w:eastAsia="zh-CN"/>
              </w:rPr>
              <w:t>的</w:t>
            </w:r>
            <w:r>
              <w:rPr>
                <w:rFonts w:hint="eastAsia"/>
                <w:color w:val="auto"/>
                <w:highlight w:val="none"/>
              </w:rPr>
              <w:t>，得</w:t>
            </w:r>
            <w:r>
              <w:rPr>
                <w:rFonts w:hint="eastAsia"/>
                <w:color w:val="auto"/>
                <w:highlight w:val="none"/>
                <w:lang w:val="en-US" w:eastAsia="zh-CN"/>
              </w:rPr>
              <w:t>0.5</w:t>
            </w:r>
            <w:r>
              <w:rPr>
                <w:rFonts w:hint="eastAsia"/>
                <w:color w:val="auto"/>
                <w:highlight w:val="none"/>
              </w:rPr>
              <w:t>分</w:t>
            </w:r>
            <w:r>
              <w:rPr>
                <w:rFonts w:hint="eastAsia"/>
                <w:color w:val="auto"/>
                <w:highlight w:val="none"/>
                <w:lang w:eastAsia="zh-CN"/>
              </w:rPr>
              <w:t>，</w:t>
            </w:r>
            <w:r>
              <w:rPr>
                <w:rFonts w:hint="eastAsia"/>
                <w:color w:val="auto"/>
                <w:highlight w:val="none"/>
                <w:lang w:val="en-US" w:eastAsia="zh-CN"/>
              </w:rPr>
              <w:t>满分3分。</w:t>
            </w:r>
          </w:p>
          <w:p w14:paraId="177811D3">
            <w:pPr>
              <w:rPr>
                <w:color w:val="auto"/>
                <w:highlight w:val="none"/>
                <w:vertAlign w:val="baseline"/>
              </w:rPr>
            </w:pPr>
            <w:r>
              <w:rPr>
                <w:rFonts w:hint="eastAsia"/>
                <w:color w:val="auto"/>
                <w:highlight w:val="none"/>
                <w:lang w:val="en-US" w:eastAsia="zh-CN"/>
              </w:rPr>
              <w:t>赋分依据：</w:t>
            </w:r>
            <w:r>
              <w:rPr>
                <w:rFonts w:hint="eastAsia"/>
                <w:color w:val="auto"/>
                <w:highlight w:val="none"/>
              </w:rPr>
              <w:t>需提供相关工作证明文件或被服务单</w:t>
            </w:r>
            <w:r>
              <w:rPr>
                <w:rFonts w:hint="eastAsia"/>
                <w:color w:val="auto"/>
                <w:highlight w:val="none"/>
                <w:lang w:val="en-US" w:eastAsia="zh-CN"/>
              </w:rPr>
              <w:t>位</w:t>
            </w:r>
            <w:r>
              <w:rPr>
                <w:rFonts w:hint="eastAsia"/>
                <w:color w:val="auto"/>
                <w:highlight w:val="none"/>
              </w:rPr>
              <w:t>加盖公章的证明材料</w:t>
            </w:r>
            <w:r>
              <w:rPr>
                <w:rFonts w:hint="eastAsia"/>
                <w:color w:val="auto"/>
                <w:highlight w:val="none"/>
                <w:lang w:eastAsia="zh-CN"/>
              </w:rPr>
              <w:t>，</w:t>
            </w:r>
            <w:r>
              <w:rPr>
                <w:rFonts w:hint="eastAsia"/>
                <w:color w:val="auto"/>
                <w:highlight w:val="none"/>
              </w:rPr>
              <w:t>不提供</w:t>
            </w:r>
            <w:r>
              <w:rPr>
                <w:rFonts w:hint="eastAsia"/>
                <w:color w:val="auto"/>
                <w:highlight w:val="none"/>
                <w:lang w:eastAsia="zh-CN"/>
              </w:rPr>
              <w:t>的</w:t>
            </w:r>
            <w:r>
              <w:rPr>
                <w:rFonts w:hint="eastAsia"/>
                <w:color w:val="auto"/>
                <w:highlight w:val="none"/>
              </w:rPr>
              <w:t>不得分。</w:t>
            </w:r>
          </w:p>
        </w:tc>
      </w:tr>
      <w:tr w14:paraId="5BF61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top"/>
          </w:tcPr>
          <w:p w14:paraId="5290685A">
            <w:pPr>
              <w:jc w:val="center"/>
              <w:rPr>
                <w:rFonts w:hint="eastAsia"/>
                <w:color w:val="auto"/>
                <w:highlight w:val="none"/>
              </w:rPr>
            </w:pPr>
          </w:p>
          <w:p w14:paraId="749DD8D9">
            <w:pPr>
              <w:jc w:val="center"/>
              <w:rPr>
                <w:rFonts w:hint="eastAsia"/>
                <w:color w:val="auto"/>
                <w:highlight w:val="none"/>
              </w:rPr>
            </w:pPr>
          </w:p>
          <w:p w14:paraId="2E73FFCC">
            <w:pPr>
              <w:jc w:val="center"/>
              <w:rPr>
                <w:rFonts w:hint="eastAsia"/>
                <w:color w:val="auto"/>
                <w:highlight w:val="none"/>
              </w:rPr>
            </w:pPr>
          </w:p>
          <w:p w14:paraId="57044A7D">
            <w:pPr>
              <w:jc w:val="center"/>
              <w:rPr>
                <w:rFonts w:hint="eastAsia"/>
                <w:color w:val="auto"/>
                <w:highlight w:val="none"/>
              </w:rPr>
            </w:pPr>
          </w:p>
          <w:p w14:paraId="5E65B8C1">
            <w:pPr>
              <w:jc w:val="center"/>
              <w:rPr>
                <w:rFonts w:hint="eastAsia"/>
                <w:color w:val="auto"/>
                <w:highlight w:val="none"/>
              </w:rPr>
            </w:pPr>
          </w:p>
          <w:p w14:paraId="1B351F2F">
            <w:pPr>
              <w:jc w:val="center"/>
              <w:rPr>
                <w:rFonts w:hint="eastAsia"/>
                <w:color w:val="auto"/>
                <w:highlight w:val="none"/>
              </w:rPr>
            </w:pPr>
          </w:p>
          <w:p w14:paraId="7FB027A8">
            <w:pPr>
              <w:jc w:val="center"/>
              <w:rPr>
                <w:rFonts w:hint="eastAsia"/>
                <w:color w:val="auto"/>
                <w:highlight w:val="none"/>
              </w:rPr>
            </w:pPr>
            <w:r>
              <w:rPr>
                <w:rFonts w:hint="eastAsia"/>
                <w:color w:val="auto"/>
                <w:highlight w:val="none"/>
              </w:rPr>
              <w:t>管理</w:t>
            </w:r>
          </w:p>
          <w:p w14:paraId="76600E13">
            <w:pPr>
              <w:jc w:val="center"/>
              <w:rPr>
                <w:color w:val="auto"/>
                <w:highlight w:val="none"/>
                <w:vertAlign w:val="baseline"/>
              </w:rPr>
            </w:pPr>
            <w:r>
              <w:rPr>
                <w:rFonts w:hint="eastAsia"/>
                <w:color w:val="auto"/>
                <w:highlight w:val="none"/>
              </w:rPr>
              <w:t>制度</w:t>
            </w:r>
          </w:p>
        </w:tc>
        <w:tc>
          <w:tcPr>
            <w:tcW w:w="881" w:type="dxa"/>
            <w:shd w:val="clear" w:color="auto" w:fill="FDEADA" w:themeFill="accent6" w:themeFillTint="32"/>
            <w:vAlign w:val="top"/>
          </w:tcPr>
          <w:p w14:paraId="19899B8E">
            <w:pPr>
              <w:jc w:val="center"/>
              <w:rPr>
                <w:rFonts w:hint="eastAsia"/>
                <w:color w:val="auto"/>
                <w:highlight w:val="none"/>
              </w:rPr>
            </w:pPr>
          </w:p>
          <w:p w14:paraId="39EE0B68">
            <w:pPr>
              <w:jc w:val="center"/>
              <w:rPr>
                <w:rFonts w:hint="eastAsia"/>
                <w:color w:val="auto"/>
                <w:highlight w:val="none"/>
              </w:rPr>
            </w:pPr>
          </w:p>
          <w:p w14:paraId="0C5A5778">
            <w:pPr>
              <w:jc w:val="center"/>
              <w:rPr>
                <w:rFonts w:hint="eastAsia"/>
                <w:color w:val="auto"/>
                <w:highlight w:val="none"/>
              </w:rPr>
            </w:pPr>
          </w:p>
          <w:p w14:paraId="5C2FA0BB">
            <w:pPr>
              <w:jc w:val="center"/>
              <w:rPr>
                <w:rFonts w:hint="eastAsia"/>
                <w:color w:val="auto"/>
                <w:highlight w:val="none"/>
              </w:rPr>
            </w:pPr>
          </w:p>
          <w:p w14:paraId="7860DE92">
            <w:pPr>
              <w:jc w:val="center"/>
              <w:rPr>
                <w:rFonts w:hint="eastAsia"/>
                <w:color w:val="auto"/>
                <w:highlight w:val="none"/>
              </w:rPr>
            </w:pPr>
          </w:p>
          <w:p w14:paraId="6F12793A">
            <w:pPr>
              <w:jc w:val="center"/>
              <w:rPr>
                <w:rFonts w:hint="eastAsia"/>
                <w:color w:val="auto"/>
                <w:highlight w:val="none"/>
              </w:rPr>
            </w:pPr>
          </w:p>
          <w:p w14:paraId="7AEB0BFE">
            <w:pPr>
              <w:jc w:val="center"/>
              <w:rPr>
                <w:rFonts w:hint="eastAsia"/>
                <w:color w:val="auto"/>
                <w:highlight w:val="none"/>
              </w:rPr>
            </w:pPr>
            <w:r>
              <w:rPr>
                <w:rFonts w:hint="eastAsia"/>
                <w:color w:val="auto"/>
                <w:highlight w:val="none"/>
              </w:rPr>
              <w:t>4.5</w:t>
            </w:r>
          </w:p>
          <w:p w14:paraId="7BAE0499">
            <w:pPr>
              <w:jc w:val="center"/>
              <w:rPr>
                <w:color w:val="auto"/>
                <w:highlight w:val="none"/>
                <w:vertAlign w:val="baseline"/>
              </w:rPr>
            </w:pPr>
            <w:r>
              <w:rPr>
                <w:rFonts w:hint="eastAsia"/>
                <w:color w:val="auto"/>
                <w:highlight w:val="none"/>
              </w:rPr>
              <w:t>分</w:t>
            </w:r>
          </w:p>
        </w:tc>
        <w:tc>
          <w:tcPr>
            <w:tcW w:w="7286" w:type="dxa"/>
            <w:shd w:val="clear" w:color="auto" w:fill="EBF1DE" w:themeFill="accent3" w:themeFillTint="32"/>
            <w:vAlign w:val="top"/>
          </w:tcPr>
          <w:p w14:paraId="210204E9">
            <w:pPr>
              <w:rPr>
                <w:rFonts w:hint="eastAsia"/>
                <w:color w:val="auto"/>
                <w:highlight w:val="none"/>
                <w:lang w:val="en-US" w:eastAsia="zh-CN"/>
              </w:rPr>
            </w:pPr>
            <w:r>
              <w:rPr>
                <w:rFonts w:hint="eastAsia"/>
                <w:color w:val="auto"/>
                <w:highlight w:val="none"/>
                <w:lang w:val="en-US" w:eastAsia="zh-CN"/>
              </w:rPr>
              <w:t>一、评审内容</w:t>
            </w:r>
          </w:p>
          <w:p w14:paraId="58198CA1">
            <w:pPr>
              <w:rPr>
                <w:rFonts w:hint="eastAsia"/>
                <w:color w:val="auto"/>
                <w:highlight w:val="none"/>
              </w:rPr>
            </w:pPr>
            <w:r>
              <w:rPr>
                <w:rFonts w:hint="eastAsia"/>
                <w:color w:val="auto"/>
                <w:highlight w:val="none"/>
              </w:rPr>
              <w:t>针对本项目具有良好的管理制度，内容包括：①岗位制度：具有岗位</w:t>
            </w:r>
            <w:r>
              <w:rPr>
                <w:rFonts w:hint="eastAsia"/>
                <w:color w:val="auto"/>
                <w:highlight w:val="none"/>
                <w:lang w:val="en-US" w:eastAsia="zh-CN"/>
              </w:rPr>
              <w:t>职责、</w:t>
            </w:r>
            <w:r>
              <w:rPr>
                <w:rFonts w:hint="eastAsia"/>
                <w:color w:val="auto"/>
                <w:highlight w:val="none"/>
              </w:rPr>
              <w:t>岗位制度、作业流程</w:t>
            </w:r>
            <w:r>
              <w:rPr>
                <w:rFonts w:hint="eastAsia"/>
                <w:color w:val="auto"/>
                <w:highlight w:val="none"/>
                <w:lang w:eastAsia="zh-CN"/>
              </w:rPr>
              <w:t>；</w:t>
            </w:r>
            <w:r>
              <w:rPr>
                <w:rFonts w:hint="eastAsia"/>
                <w:color w:val="auto"/>
                <w:highlight w:val="none"/>
              </w:rPr>
              <w:t>②内控制度：具有管理组织机构、内部管理制度</w:t>
            </w:r>
            <w:r>
              <w:rPr>
                <w:rFonts w:hint="eastAsia"/>
                <w:color w:val="auto"/>
                <w:highlight w:val="none"/>
                <w:lang w:eastAsia="zh-CN"/>
              </w:rPr>
              <w:t>；</w:t>
            </w:r>
            <w:r>
              <w:rPr>
                <w:rFonts w:hint="eastAsia"/>
                <w:color w:val="auto"/>
                <w:highlight w:val="none"/>
              </w:rPr>
              <w:t>③人员管理制度：具有员工日常管理</w:t>
            </w:r>
            <w:r>
              <w:rPr>
                <w:rFonts w:hint="eastAsia"/>
                <w:color w:val="auto"/>
                <w:highlight w:val="none"/>
                <w:lang w:val="en-US" w:eastAsia="zh-CN"/>
              </w:rPr>
              <w:t>制度</w:t>
            </w:r>
            <w:r>
              <w:rPr>
                <w:rFonts w:hint="eastAsia"/>
                <w:color w:val="auto"/>
                <w:highlight w:val="none"/>
              </w:rPr>
              <w:t>、奖惩措施</w:t>
            </w:r>
            <w:r>
              <w:rPr>
                <w:rFonts w:hint="eastAsia"/>
                <w:color w:val="auto"/>
                <w:highlight w:val="none"/>
                <w:lang w:val="en-US" w:eastAsia="zh-CN"/>
              </w:rPr>
              <w:t>等</w:t>
            </w:r>
            <w:r>
              <w:rPr>
                <w:rFonts w:hint="eastAsia"/>
                <w:color w:val="auto"/>
                <w:highlight w:val="none"/>
              </w:rPr>
              <w:t>。</w:t>
            </w:r>
          </w:p>
          <w:p w14:paraId="537526C7">
            <w:pPr>
              <w:rPr>
                <w:rFonts w:hint="eastAsia"/>
                <w:color w:val="auto"/>
                <w:highlight w:val="none"/>
                <w:lang w:val="en-US" w:eastAsia="zh-CN"/>
              </w:rPr>
            </w:pPr>
            <w:r>
              <w:rPr>
                <w:rFonts w:hint="eastAsia"/>
                <w:color w:val="auto"/>
                <w:highlight w:val="none"/>
                <w:lang w:val="en-US" w:eastAsia="zh-CN"/>
              </w:rPr>
              <w:t>二、评审标准</w:t>
            </w:r>
          </w:p>
          <w:p w14:paraId="14112F0C">
            <w:pPr>
              <w:rPr>
                <w:rFonts w:hint="eastAsia"/>
                <w:color w:val="auto"/>
                <w:highlight w:val="none"/>
              </w:rPr>
            </w:pPr>
            <w:r>
              <w:rPr>
                <w:rFonts w:hint="eastAsia"/>
                <w:color w:val="auto"/>
                <w:highlight w:val="none"/>
              </w:rPr>
              <w:t>①</w:t>
            </w:r>
            <w:r>
              <w:rPr>
                <w:rFonts w:hint="eastAsia"/>
                <w:color w:val="auto"/>
                <w:highlight w:val="none"/>
                <w:lang w:val="en-US" w:eastAsia="zh-CN"/>
              </w:rPr>
              <w:t>制度内容</w:t>
            </w:r>
            <w:r>
              <w:rPr>
                <w:rFonts w:hint="eastAsia"/>
                <w:color w:val="auto"/>
                <w:highlight w:val="none"/>
              </w:rPr>
              <w:t>须全面，对评审内容中的各项要求有详细描述及说明；</w:t>
            </w:r>
          </w:p>
          <w:p w14:paraId="62F77260">
            <w:pPr>
              <w:rPr>
                <w:rFonts w:hint="eastAsia"/>
                <w:color w:val="auto"/>
                <w:highlight w:val="none"/>
              </w:rPr>
            </w:pPr>
            <w:r>
              <w:rPr>
                <w:rFonts w:hint="eastAsia"/>
                <w:color w:val="auto"/>
                <w:highlight w:val="none"/>
              </w:rPr>
              <w:t>②切合本项目实际情况，步骤清晰、合理，操作性强；</w:t>
            </w:r>
          </w:p>
          <w:p w14:paraId="54510297">
            <w:pPr>
              <w:rPr>
                <w:rFonts w:hint="eastAsia"/>
                <w:color w:val="auto"/>
                <w:highlight w:val="none"/>
              </w:rPr>
            </w:pPr>
            <w:r>
              <w:rPr>
                <w:rFonts w:hint="eastAsia"/>
                <w:color w:val="auto"/>
                <w:highlight w:val="none"/>
              </w:rPr>
              <w:t>③方案能够紧扣项目实际情况，内容科学合理。</w:t>
            </w:r>
          </w:p>
          <w:p w14:paraId="657B0496">
            <w:pPr>
              <w:rPr>
                <w:rFonts w:hint="eastAsia"/>
                <w:color w:val="auto"/>
                <w:highlight w:val="none"/>
                <w:lang w:val="en-US" w:eastAsia="zh-CN"/>
              </w:rPr>
            </w:pPr>
            <w:r>
              <w:rPr>
                <w:rFonts w:hint="eastAsia"/>
                <w:color w:val="auto"/>
                <w:highlight w:val="none"/>
                <w:lang w:val="en-US" w:eastAsia="zh-CN"/>
              </w:rPr>
              <w:t>三、赋分标准（满分4.5分）</w:t>
            </w:r>
          </w:p>
          <w:p w14:paraId="79856729">
            <w:pPr>
              <w:rPr>
                <w:rFonts w:hint="eastAsia"/>
                <w:color w:val="auto"/>
                <w:highlight w:val="none"/>
              </w:rPr>
            </w:pPr>
            <w:r>
              <w:rPr>
                <w:rFonts w:hint="eastAsia"/>
                <w:color w:val="auto"/>
                <w:highlight w:val="none"/>
              </w:rPr>
              <w:t>①岗位制度：每完全满足一项评审标准得0.5分，满分1.5分；</w:t>
            </w:r>
          </w:p>
          <w:p w14:paraId="54E05F44">
            <w:pPr>
              <w:rPr>
                <w:rFonts w:hint="eastAsia"/>
                <w:color w:val="auto"/>
                <w:highlight w:val="none"/>
              </w:rPr>
            </w:pPr>
            <w:r>
              <w:rPr>
                <w:rFonts w:hint="eastAsia"/>
                <w:color w:val="auto"/>
                <w:highlight w:val="none"/>
              </w:rPr>
              <w:t>②内控制度:每完全满足一项评审标准得 0.5分，满分1.5分；</w:t>
            </w:r>
          </w:p>
          <w:p w14:paraId="2E8B0DE9">
            <w:pPr>
              <w:rPr>
                <w:color w:val="auto"/>
                <w:highlight w:val="none"/>
                <w:vertAlign w:val="baseline"/>
              </w:rPr>
            </w:pPr>
            <w:r>
              <w:rPr>
                <w:rFonts w:hint="eastAsia"/>
                <w:color w:val="auto"/>
                <w:highlight w:val="none"/>
              </w:rPr>
              <w:t>③人员管理制度：每完全满足一项评审标准得 0.5分，满分1.5分。</w:t>
            </w:r>
          </w:p>
        </w:tc>
      </w:tr>
      <w:tr w14:paraId="11155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top"/>
          </w:tcPr>
          <w:p w14:paraId="2FD5932A">
            <w:pPr>
              <w:jc w:val="center"/>
              <w:rPr>
                <w:rFonts w:hint="eastAsia"/>
                <w:color w:val="auto"/>
                <w:highlight w:val="none"/>
                <w:lang w:val="en-US" w:eastAsia="zh-CN"/>
              </w:rPr>
            </w:pPr>
          </w:p>
          <w:p w14:paraId="7C56B81B">
            <w:pPr>
              <w:jc w:val="center"/>
              <w:rPr>
                <w:rFonts w:hint="eastAsia"/>
                <w:color w:val="auto"/>
                <w:highlight w:val="none"/>
                <w:lang w:val="en-US" w:eastAsia="zh-CN"/>
              </w:rPr>
            </w:pPr>
          </w:p>
          <w:p w14:paraId="7B871C49">
            <w:pPr>
              <w:jc w:val="center"/>
              <w:rPr>
                <w:rFonts w:hint="eastAsia"/>
                <w:color w:val="auto"/>
                <w:highlight w:val="none"/>
                <w:lang w:val="en-US" w:eastAsia="zh-CN"/>
              </w:rPr>
            </w:pPr>
          </w:p>
          <w:p w14:paraId="630DD9EA">
            <w:pPr>
              <w:jc w:val="center"/>
              <w:rPr>
                <w:rFonts w:hint="eastAsia"/>
                <w:color w:val="auto"/>
                <w:highlight w:val="none"/>
                <w:lang w:val="en-US" w:eastAsia="zh-CN"/>
              </w:rPr>
            </w:pPr>
          </w:p>
          <w:p w14:paraId="51BC8DBA">
            <w:pPr>
              <w:jc w:val="both"/>
              <w:rPr>
                <w:rFonts w:hint="eastAsia"/>
                <w:color w:val="auto"/>
                <w:highlight w:val="none"/>
                <w:lang w:val="en-US" w:eastAsia="zh-CN"/>
              </w:rPr>
            </w:pPr>
            <w:r>
              <w:rPr>
                <w:rFonts w:hint="eastAsia"/>
                <w:color w:val="auto"/>
                <w:highlight w:val="none"/>
                <w:lang w:val="en-US" w:eastAsia="zh-CN"/>
              </w:rPr>
              <w:t>栽植及摆放</w:t>
            </w:r>
          </w:p>
          <w:p w14:paraId="17140CAA">
            <w:pPr>
              <w:jc w:val="center"/>
              <w:rPr>
                <w:color w:val="auto"/>
                <w:highlight w:val="none"/>
                <w:vertAlign w:val="baseline"/>
              </w:rPr>
            </w:pPr>
            <w:r>
              <w:rPr>
                <w:rFonts w:hint="eastAsia"/>
                <w:color w:val="auto"/>
                <w:highlight w:val="none"/>
                <w:lang w:val="en-US" w:eastAsia="zh-CN"/>
              </w:rPr>
              <w:t>方案</w:t>
            </w:r>
          </w:p>
        </w:tc>
        <w:tc>
          <w:tcPr>
            <w:tcW w:w="881" w:type="dxa"/>
            <w:shd w:val="clear" w:color="auto" w:fill="FDEADA" w:themeFill="accent6" w:themeFillTint="32"/>
            <w:vAlign w:val="top"/>
          </w:tcPr>
          <w:p w14:paraId="68BBF72D">
            <w:pPr>
              <w:jc w:val="center"/>
              <w:rPr>
                <w:rFonts w:hint="eastAsia"/>
                <w:color w:val="auto"/>
                <w:highlight w:val="none"/>
                <w:lang w:val="en-US" w:eastAsia="zh-CN"/>
              </w:rPr>
            </w:pPr>
          </w:p>
          <w:p w14:paraId="65F45646">
            <w:pPr>
              <w:jc w:val="center"/>
              <w:rPr>
                <w:rFonts w:hint="eastAsia"/>
                <w:color w:val="auto"/>
                <w:highlight w:val="none"/>
                <w:lang w:val="en-US" w:eastAsia="zh-CN"/>
              </w:rPr>
            </w:pPr>
          </w:p>
          <w:p w14:paraId="34BE95EB">
            <w:pPr>
              <w:jc w:val="both"/>
              <w:rPr>
                <w:rFonts w:hint="eastAsia"/>
                <w:color w:val="auto"/>
                <w:highlight w:val="none"/>
                <w:lang w:val="en-US" w:eastAsia="zh-CN"/>
              </w:rPr>
            </w:pPr>
          </w:p>
          <w:p w14:paraId="60079323">
            <w:pPr>
              <w:jc w:val="center"/>
              <w:rPr>
                <w:rFonts w:hint="eastAsia"/>
                <w:color w:val="auto"/>
                <w:highlight w:val="none"/>
                <w:lang w:val="en-US" w:eastAsia="zh-CN"/>
              </w:rPr>
            </w:pPr>
          </w:p>
          <w:p w14:paraId="33BEE0E8">
            <w:pPr>
              <w:jc w:val="center"/>
              <w:rPr>
                <w:color w:val="auto"/>
                <w:highlight w:val="none"/>
                <w:vertAlign w:val="baseline"/>
              </w:rPr>
            </w:pPr>
            <w:r>
              <w:rPr>
                <w:rFonts w:hint="eastAsia"/>
                <w:color w:val="auto"/>
                <w:highlight w:val="none"/>
                <w:lang w:val="en-US" w:eastAsia="zh-CN"/>
              </w:rPr>
              <w:t>6分</w:t>
            </w:r>
          </w:p>
        </w:tc>
        <w:tc>
          <w:tcPr>
            <w:tcW w:w="7286" w:type="dxa"/>
            <w:shd w:val="clear" w:color="auto" w:fill="EBF1DE" w:themeFill="accent3" w:themeFillTint="32"/>
            <w:vAlign w:val="top"/>
          </w:tcPr>
          <w:p w14:paraId="0C88B2B5">
            <w:pPr>
              <w:rPr>
                <w:rFonts w:hint="eastAsia"/>
                <w:color w:val="auto"/>
                <w:highlight w:val="none"/>
                <w:lang w:val="en-US" w:eastAsia="zh-CN"/>
              </w:rPr>
            </w:pPr>
            <w:r>
              <w:rPr>
                <w:rFonts w:hint="eastAsia"/>
                <w:color w:val="auto"/>
                <w:highlight w:val="none"/>
                <w:lang w:val="en-US" w:eastAsia="zh-CN"/>
              </w:rPr>
              <w:t>一、评审内容</w:t>
            </w:r>
          </w:p>
          <w:p w14:paraId="5E71E7A5">
            <w:pPr>
              <w:rPr>
                <w:rFonts w:hint="default"/>
                <w:color w:val="auto"/>
                <w:highlight w:val="none"/>
                <w:lang w:val="en-US" w:eastAsia="zh-CN"/>
              </w:rPr>
            </w:pPr>
            <w:r>
              <w:rPr>
                <w:rFonts w:hint="eastAsia"/>
                <w:color w:val="auto"/>
                <w:highlight w:val="none"/>
              </w:rPr>
              <w:t>根据</w:t>
            </w:r>
            <w:r>
              <w:rPr>
                <w:rFonts w:hint="eastAsia"/>
                <w:color w:val="auto"/>
                <w:highlight w:val="none"/>
                <w:lang w:val="en-US" w:eastAsia="zh-CN"/>
              </w:rPr>
              <w:t>要求，制定花卉的栽植及摆放方案。主要内容包括①项目准备工作及现场勘查②作业流程③花卉的搭配④风险分析及应对。</w:t>
            </w:r>
          </w:p>
          <w:p w14:paraId="55D7D964">
            <w:pPr>
              <w:rPr>
                <w:rFonts w:hint="eastAsia"/>
                <w:color w:val="auto"/>
                <w:highlight w:val="none"/>
                <w:lang w:val="en-US" w:eastAsia="zh-CN"/>
              </w:rPr>
            </w:pPr>
            <w:r>
              <w:rPr>
                <w:rFonts w:hint="eastAsia"/>
                <w:color w:val="auto"/>
                <w:highlight w:val="none"/>
                <w:lang w:val="en-US" w:eastAsia="zh-CN"/>
              </w:rPr>
              <w:t>二、评审标准</w:t>
            </w:r>
          </w:p>
          <w:p w14:paraId="52BA909D">
            <w:pPr>
              <w:rPr>
                <w:rFonts w:hint="eastAsia"/>
                <w:color w:val="auto"/>
                <w:highlight w:val="none"/>
              </w:rPr>
            </w:pPr>
            <w:r>
              <w:rPr>
                <w:rFonts w:hint="eastAsia"/>
                <w:color w:val="auto"/>
                <w:highlight w:val="none"/>
              </w:rPr>
              <w:t>①方案须全面，对评审内容中的要求有详细描述；</w:t>
            </w:r>
          </w:p>
          <w:p w14:paraId="0CBECD28">
            <w:pPr>
              <w:rPr>
                <w:rFonts w:hint="eastAsia"/>
                <w:color w:val="auto"/>
                <w:highlight w:val="none"/>
              </w:rPr>
            </w:pPr>
            <w:r>
              <w:rPr>
                <w:rFonts w:hint="eastAsia"/>
                <w:color w:val="auto"/>
                <w:highlight w:val="none"/>
              </w:rPr>
              <w:t>②切合本项目实际情况，实施步骤清晰、合理；</w:t>
            </w:r>
          </w:p>
          <w:p w14:paraId="5F7C21F2">
            <w:pPr>
              <w:rPr>
                <w:rFonts w:hint="eastAsia"/>
                <w:color w:val="auto"/>
                <w:highlight w:val="none"/>
              </w:rPr>
            </w:pPr>
            <w:r>
              <w:rPr>
                <w:rFonts w:hint="eastAsia"/>
                <w:color w:val="auto"/>
                <w:highlight w:val="none"/>
              </w:rPr>
              <w:t>③方案能够紧扣项目实际情况，内容科学合理。</w:t>
            </w:r>
          </w:p>
          <w:p w14:paraId="7E866FA6">
            <w:pPr>
              <w:rPr>
                <w:rFonts w:hint="eastAsia"/>
                <w:color w:val="auto"/>
                <w:highlight w:val="none"/>
                <w:lang w:val="en-US" w:eastAsia="zh-CN"/>
              </w:rPr>
            </w:pPr>
            <w:r>
              <w:rPr>
                <w:rFonts w:hint="eastAsia"/>
                <w:color w:val="auto"/>
                <w:highlight w:val="none"/>
                <w:lang w:val="en-US" w:eastAsia="zh-CN"/>
              </w:rPr>
              <w:t>三、赋分标准（满分6分）</w:t>
            </w:r>
          </w:p>
          <w:p w14:paraId="47AC22AE">
            <w:pPr>
              <w:rPr>
                <w:rFonts w:hint="eastAsia"/>
                <w:color w:val="auto"/>
                <w:highlight w:val="none"/>
              </w:rPr>
            </w:pPr>
            <w:r>
              <w:rPr>
                <w:rFonts w:hint="eastAsia"/>
                <w:color w:val="auto"/>
                <w:highlight w:val="none"/>
                <w:lang w:val="en-US" w:eastAsia="zh-CN"/>
              </w:rPr>
              <w:t>①项目准备工作及现场勘查：</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61B86804">
            <w:pPr>
              <w:rPr>
                <w:rFonts w:hint="eastAsia"/>
                <w:color w:val="auto"/>
                <w:highlight w:val="none"/>
              </w:rPr>
            </w:pPr>
            <w:r>
              <w:rPr>
                <w:rFonts w:hint="eastAsia"/>
                <w:color w:val="auto"/>
                <w:highlight w:val="none"/>
                <w:lang w:val="en-US" w:eastAsia="zh-CN"/>
              </w:rPr>
              <w:t>②作业流程：</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2B897592">
            <w:pPr>
              <w:rPr>
                <w:rFonts w:hint="eastAsia"/>
                <w:color w:val="auto"/>
                <w:highlight w:val="none"/>
              </w:rPr>
            </w:pPr>
            <w:r>
              <w:rPr>
                <w:rFonts w:hint="eastAsia"/>
                <w:color w:val="auto"/>
                <w:highlight w:val="none"/>
                <w:lang w:val="en-US" w:eastAsia="zh-CN"/>
              </w:rPr>
              <w:t>③花卉的搭配：</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11C49117">
            <w:pPr>
              <w:rPr>
                <w:color w:val="auto"/>
                <w:highlight w:val="none"/>
                <w:vertAlign w:val="baseline"/>
              </w:rPr>
            </w:pPr>
            <w:r>
              <w:rPr>
                <w:rFonts w:hint="eastAsia"/>
                <w:color w:val="auto"/>
                <w:highlight w:val="none"/>
                <w:lang w:val="en-US" w:eastAsia="zh-CN"/>
              </w:rPr>
              <w:t>④风险分析及应对：</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tc>
      </w:tr>
      <w:tr w14:paraId="5B13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8" w:hRule="atLeast"/>
          <w:tblHeader/>
        </w:trPr>
        <w:tc>
          <w:tcPr>
            <w:tcW w:w="1274" w:type="dxa"/>
            <w:shd w:val="clear" w:color="auto" w:fill="FDEADA" w:themeFill="accent6" w:themeFillTint="32"/>
            <w:vAlign w:val="center"/>
          </w:tcPr>
          <w:p w14:paraId="4850391F">
            <w:pPr>
              <w:jc w:val="center"/>
              <w:rPr>
                <w:rFonts w:hint="eastAsia"/>
                <w:color w:val="auto"/>
                <w:highlight w:val="none"/>
                <w:lang w:val="en-US" w:eastAsia="zh-CN"/>
              </w:rPr>
            </w:pPr>
          </w:p>
          <w:p w14:paraId="7DFD0865">
            <w:pPr>
              <w:jc w:val="center"/>
              <w:rPr>
                <w:rFonts w:hint="eastAsia"/>
                <w:color w:val="auto"/>
                <w:highlight w:val="none"/>
                <w:lang w:val="en-US" w:eastAsia="zh-CN"/>
              </w:rPr>
            </w:pPr>
          </w:p>
          <w:p w14:paraId="0E22FDF9">
            <w:pPr>
              <w:jc w:val="center"/>
              <w:rPr>
                <w:rFonts w:hint="eastAsia"/>
                <w:color w:val="auto"/>
                <w:highlight w:val="none"/>
                <w:lang w:val="en-US" w:eastAsia="zh-CN"/>
              </w:rPr>
            </w:pPr>
          </w:p>
          <w:p w14:paraId="5566558F">
            <w:pPr>
              <w:jc w:val="center"/>
              <w:rPr>
                <w:rFonts w:hint="eastAsia"/>
                <w:color w:val="auto"/>
                <w:highlight w:val="none"/>
                <w:lang w:val="en-US" w:eastAsia="zh-CN"/>
              </w:rPr>
            </w:pPr>
          </w:p>
          <w:p w14:paraId="2E462DEC">
            <w:pPr>
              <w:jc w:val="center"/>
              <w:rPr>
                <w:color w:val="auto"/>
                <w:highlight w:val="none"/>
                <w:vertAlign w:val="baseline"/>
              </w:rPr>
            </w:pPr>
            <w:r>
              <w:rPr>
                <w:rFonts w:hint="eastAsia"/>
                <w:color w:val="auto"/>
                <w:highlight w:val="none"/>
                <w:lang w:val="en-US" w:eastAsia="zh-CN"/>
              </w:rPr>
              <w:t>包装、运输机具及劳动力保障措施</w:t>
            </w:r>
          </w:p>
        </w:tc>
        <w:tc>
          <w:tcPr>
            <w:tcW w:w="881" w:type="dxa"/>
            <w:shd w:val="clear" w:color="auto" w:fill="FDEADA" w:themeFill="accent6" w:themeFillTint="32"/>
            <w:vAlign w:val="center"/>
          </w:tcPr>
          <w:p w14:paraId="184549C4">
            <w:pPr>
              <w:jc w:val="center"/>
              <w:rPr>
                <w:rFonts w:hint="eastAsia"/>
                <w:color w:val="auto"/>
                <w:highlight w:val="none"/>
                <w:lang w:val="en-US" w:eastAsia="zh-CN"/>
              </w:rPr>
            </w:pPr>
          </w:p>
          <w:p w14:paraId="572D6CA4">
            <w:pPr>
              <w:jc w:val="center"/>
              <w:rPr>
                <w:rFonts w:hint="eastAsia"/>
                <w:color w:val="auto"/>
                <w:highlight w:val="none"/>
                <w:lang w:val="en-US" w:eastAsia="zh-CN"/>
              </w:rPr>
            </w:pPr>
          </w:p>
          <w:p w14:paraId="190C93AD">
            <w:pPr>
              <w:jc w:val="center"/>
              <w:rPr>
                <w:rFonts w:hint="eastAsia"/>
                <w:color w:val="auto"/>
                <w:highlight w:val="none"/>
                <w:lang w:val="en-US" w:eastAsia="zh-CN"/>
              </w:rPr>
            </w:pPr>
          </w:p>
          <w:p w14:paraId="19C9041D">
            <w:pPr>
              <w:jc w:val="center"/>
              <w:rPr>
                <w:rFonts w:hint="eastAsia"/>
                <w:color w:val="auto"/>
                <w:highlight w:val="none"/>
                <w:lang w:val="en-US" w:eastAsia="zh-CN"/>
              </w:rPr>
            </w:pPr>
          </w:p>
          <w:p w14:paraId="781F7508">
            <w:pPr>
              <w:jc w:val="center"/>
              <w:rPr>
                <w:rFonts w:hint="eastAsia"/>
                <w:color w:val="auto"/>
                <w:highlight w:val="none"/>
                <w:lang w:val="en-US" w:eastAsia="zh-CN"/>
              </w:rPr>
            </w:pPr>
          </w:p>
          <w:p w14:paraId="3B32BC2A">
            <w:pPr>
              <w:jc w:val="center"/>
              <w:rPr>
                <w:color w:val="auto"/>
                <w:highlight w:val="none"/>
                <w:vertAlign w:val="baseline"/>
              </w:rPr>
            </w:pPr>
            <w:r>
              <w:rPr>
                <w:rFonts w:hint="eastAsia"/>
                <w:color w:val="auto"/>
                <w:highlight w:val="none"/>
                <w:lang w:val="en-US" w:eastAsia="zh-CN"/>
              </w:rPr>
              <w:t>4.5分</w:t>
            </w:r>
          </w:p>
        </w:tc>
        <w:tc>
          <w:tcPr>
            <w:tcW w:w="7286" w:type="dxa"/>
            <w:shd w:val="clear" w:color="auto" w:fill="EBF1DE" w:themeFill="accent3" w:themeFillTint="32"/>
            <w:vAlign w:val="top"/>
          </w:tcPr>
          <w:p w14:paraId="1CB9A572">
            <w:pPr>
              <w:rPr>
                <w:rFonts w:hint="eastAsia"/>
                <w:color w:val="auto"/>
                <w:highlight w:val="none"/>
                <w:lang w:val="en-US" w:eastAsia="zh-CN"/>
              </w:rPr>
            </w:pPr>
            <w:r>
              <w:rPr>
                <w:rFonts w:hint="eastAsia"/>
                <w:color w:val="auto"/>
                <w:highlight w:val="none"/>
                <w:lang w:val="en-US" w:eastAsia="zh-CN"/>
              </w:rPr>
              <w:t>一、评审内容</w:t>
            </w:r>
          </w:p>
          <w:p w14:paraId="5A689F96">
            <w:pPr>
              <w:rPr>
                <w:rFonts w:hint="eastAsia"/>
                <w:color w:val="auto"/>
                <w:highlight w:val="none"/>
                <w:lang w:val="en-US" w:eastAsia="zh-CN"/>
              </w:rPr>
            </w:pPr>
            <w:r>
              <w:rPr>
                <w:rFonts w:hint="eastAsia"/>
                <w:color w:val="auto"/>
                <w:highlight w:val="none"/>
              </w:rPr>
              <w:t>根据</w:t>
            </w:r>
            <w:r>
              <w:rPr>
                <w:rFonts w:hint="eastAsia"/>
                <w:color w:val="auto"/>
                <w:highlight w:val="none"/>
                <w:lang w:val="en-US" w:eastAsia="zh-CN"/>
              </w:rPr>
              <w:t>花卉及花架等装卸、运输机具及劳动力保障具体措施</w:t>
            </w:r>
            <w:r>
              <w:rPr>
                <w:rFonts w:hint="eastAsia"/>
                <w:color w:val="auto"/>
                <w:highlight w:val="none"/>
              </w:rPr>
              <w:t>制</w:t>
            </w:r>
            <w:r>
              <w:rPr>
                <w:rFonts w:hint="eastAsia"/>
                <w:color w:val="auto"/>
                <w:highlight w:val="none"/>
                <w:lang w:val="en-US" w:eastAsia="zh-CN"/>
              </w:rPr>
              <w:t>定方案，主要内容包括：</w:t>
            </w:r>
          </w:p>
          <w:p w14:paraId="23D5881B">
            <w:pPr>
              <w:rPr>
                <w:rFonts w:hint="eastAsia"/>
                <w:color w:val="auto"/>
                <w:highlight w:val="none"/>
                <w:lang w:val="en-US" w:eastAsia="zh-CN"/>
              </w:rPr>
            </w:pPr>
            <w:r>
              <w:rPr>
                <w:rFonts w:hint="eastAsia"/>
                <w:color w:val="auto"/>
                <w:highlight w:val="none"/>
                <w:lang w:val="en-US" w:eastAsia="zh-CN"/>
              </w:rPr>
              <w:t>①花卉及花架等装卸方案；②运输机具的配备及过程中的保障措施；</w:t>
            </w:r>
            <w:r>
              <w:rPr>
                <w:rFonts w:hint="eastAsia"/>
                <w:color w:val="auto"/>
                <w:highlight w:val="none"/>
              </w:rPr>
              <w:t>③</w:t>
            </w:r>
            <w:r>
              <w:rPr>
                <w:rFonts w:hint="eastAsia"/>
                <w:color w:val="auto"/>
                <w:highlight w:val="none"/>
                <w:lang w:val="en-US" w:eastAsia="zh-CN"/>
              </w:rPr>
              <w:t>劳动力保障措施；</w:t>
            </w:r>
          </w:p>
          <w:p w14:paraId="0F015FA9">
            <w:pPr>
              <w:rPr>
                <w:rFonts w:hint="eastAsia"/>
                <w:color w:val="auto"/>
                <w:highlight w:val="none"/>
                <w:lang w:val="en-US" w:eastAsia="zh-CN"/>
              </w:rPr>
            </w:pPr>
            <w:r>
              <w:rPr>
                <w:rFonts w:hint="eastAsia"/>
                <w:color w:val="auto"/>
                <w:highlight w:val="none"/>
                <w:lang w:val="en-US" w:eastAsia="zh-CN"/>
              </w:rPr>
              <w:t>二、评审标准</w:t>
            </w:r>
          </w:p>
          <w:p w14:paraId="173A97E3">
            <w:pPr>
              <w:rPr>
                <w:rFonts w:hint="eastAsia"/>
                <w:color w:val="auto"/>
                <w:highlight w:val="none"/>
              </w:rPr>
            </w:pPr>
            <w:r>
              <w:rPr>
                <w:rFonts w:hint="eastAsia"/>
                <w:color w:val="auto"/>
                <w:highlight w:val="none"/>
              </w:rPr>
              <w:t>①方案须全面，对评审内容中的要求有详细描述；</w:t>
            </w:r>
          </w:p>
          <w:p w14:paraId="6D9A27ED">
            <w:pPr>
              <w:rPr>
                <w:rFonts w:hint="eastAsia"/>
                <w:color w:val="auto"/>
                <w:highlight w:val="none"/>
              </w:rPr>
            </w:pPr>
            <w:r>
              <w:rPr>
                <w:rFonts w:hint="eastAsia"/>
                <w:color w:val="auto"/>
                <w:highlight w:val="none"/>
              </w:rPr>
              <w:t>②切合本项目实际情况，实施步骤清晰、合理；</w:t>
            </w:r>
          </w:p>
          <w:p w14:paraId="46F23EF7">
            <w:pPr>
              <w:rPr>
                <w:rFonts w:hint="eastAsia"/>
                <w:color w:val="auto"/>
                <w:highlight w:val="none"/>
              </w:rPr>
            </w:pPr>
            <w:r>
              <w:rPr>
                <w:rFonts w:hint="eastAsia"/>
                <w:color w:val="auto"/>
                <w:highlight w:val="none"/>
              </w:rPr>
              <w:t>③方案能够紧扣项目</w:t>
            </w:r>
            <w:r>
              <w:rPr>
                <w:rFonts w:hint="eastAsia"/>
                <w:color w:val="auto"/>
                <w:highlight w:val="none"/>
                <w:lang w:val="en-US" w:eastAsia="zh-CN"/>
              </w:rPr>
              <w:t>需求</w:t>
            </w:r>
            <w:r>
              <w:rPr>
                <w:rFonts w:hint="eastAsia"/>
                <w:color w:val="auto"/>
                <w:highlight w:val="none"/>
              </w:rPr>
              <w:t>，</w:t>
            </w:r>
            <w:r>
              <w:rPr>
                <w:rFonts w:hint="eastAsia"/>
                <w:color w:val="auto"/>
                <w:highlight w:val="none"/>
                <w:lang w:val="en-US" w:eastAsia="zh-CN"/>
              </w:rPr>
              <w:t>方案科学合理，保障措施可行</w:t>
            </w:r>
            <w:r>
              <w:rPr>
                <w:rFonts w:hint="eastAsia"/>
                <w:color w:val="auto"/>
                <w:highlight w:val="none"/>
              </w:rPr>
              <w:t>。</w:t>
            </w:r>
          </w:p>
          <w:p w14:paraId="0C8A359D">
            <w:pPr>
              <w:rPr>
                <w:rFonts w:hint="eastAsia"/>
                <w:color w:val="auto"/>
                <w:highlight w:val="none"/>
                <w:lang w:val="en-US" w:eastAsia="zh-CN"/>
              </w:rPr>
            </w:pPr>
            <w:r>
              <w:rPr>
                <w:rFonts w:hint="eastAsia"/>
                <w:color w:val="auto"/>
                <w:highlight w:val="none"/>
                <w:lang w:val="en-US" w:eastAsia="zh-CN"/>
              </w:rPr>
              <w:t>三、赋分标准（满分4.5分）</w:t>
            </w:r>
          </w:p>
          <w:p w14:paraId="62A0E7F9">
            <w:pPr>
              <w:rPr>
                <w:rFonts w:hint="eastAsia"/>
                <w:color w:val="auto"/>
                <w:highlight w:val="none"/>
              </w:rPr>
            </w:pPr>
            <w:r>
              <w:rPr>
                <w:rFonts w:hint="eastAsia"/>
                <w:color w:val="auto"/>
                <w:highlight w:val="none"/>
              </w:rPr>
              <w:t>①</w:t>
            </w:r>
            <w:r>
              <w:rPr>
                <w:rFonts w:hint="eastAsia"/>
                <w:color w:val="auto"/>
                <w:highlight w:val="none"/>
                <w:lang w:val="en-US" w:eastAsia="zh-CN"/>
              </w:rPr>
              <w:t>花卉及花架装卸方案</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71E38625">
            <w:pPr>
              <w:rPr>
                <w:rFonts w:hint="eastAsia"/>
                <w:color w:val="auto"/>
                <w:highlight w:val="none"/>
              </w:rPr>
            </w:pPr>
            <w:r>
              <w:rPr>
                <w:rFonts w:hint="eastAsia"/>
                <w:color w:val="auto"/>
                <w:highlight w:val="none"/>
              </w:rPr>
              <w:t>②</w:t>
            </w:r>
            <w:r>
              <w:rPr>
                <w:rFonts w:hint="eastAsia"/>
                <w:color w:val="auto"/>
                <w:highlight w:val="none"/>
                <w:lang w:val="en-US" w:eastAsia="zh-CN"/>
              </w:rPr>
              <w:t>运输机具的配备及过程中的保障措施</w:t>
            </w:r>
            <w:r>
              <w:rPr>
                <w:rFonts w:hint="eastAsia"/>
                <w:color w:val="auto"/>
                <w:highlight w:val="none"/>
                <w:lang w:eastAsia="zh-CN"/>
              </w:rPr>
              <w:t>：</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31FA2167">
            <w:pPr>
              <w:rPr>
                <w:color w:val="auto"/>
                <w:highlight w:val="none"/>
                <w:vertAlign w:val="baseline"/>
              </w:rPr>
            </w:pPr>
            <w:r>
              <w:rPr>
                <w:rFonts w:hint="eastAsia"/>
                <w:color w:val="auto"/>
                <w:highlight w:val="none"/>
              </w:rPr>
              <w:t>③</w:t>
            </w:r>
            <w:r>
              <w:rPr>
                <w:rFonts w:hint="eastAsia"/>
                <w:color w:val="auto"/>
                <w:highlight w:val="none"/>
                <w:lang w:val="en-US" w:eastAsia="zh-CN"/>
              </w:rPr>
              <w:t>劳动力保障措施</w:t>
            </w:r>
            <w:r>
              <w:rPr>
                <w:rFonts w:hint="eastAsia"/>
                <w:color w:val="auto"/>
                <w:highlight w:val="none"/>
                <w:lang w:eastAsia="zh-CN"/>
              </w:rPr>
              <w:t>：</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tc>
      </w:tr>
      <w:tr w14:paraId="6C13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3" w:hRule="atLeast"/>
          <w:tblHeader/>
        </w:trPr>
        <w:tc>
          <w:tcPr>
            <w:tcW w:w="1274" w:type="dxa"/>
            <w:shd w:val="clear" w:color="auto" w:fill="FDEADA" w:themeFill="accent6" w:themeFillTint="32"/>
            <w:vAlign w:val="center"/>
          </w:tcPr>
          <w:p w14:paraId="17104D62">
            <w:pPr>
              <w:jc w:val="center"/>
              <w:rPr>
                <w:rFonts w:hint="default"/>
                <w:color w:val="auto"/>
                <w:highlight w:val="none"/>
                <w:vertAlign w:val="baseline"/>
                <w:lang w:val="en-US"/>
              </w:rPr>
            </w:pPr>
            <w:r>
              <w:rPr>
                <w:rFonts w:hint="eastAsia"/>
                <w:color w:val="auto"/>
                <w:highlight w:val="none"/>
                <w:lang w:val="en-US" w:eastAsia="zh-CN"/>
              </w:rPr>
              <w:t>对影响供货期的因素分析及应对措施</w:t>
            </w:r>
          </w:p>
        </w:tc>
        <w:tc>
          <w:tcPr>
            <w:tcW w:w="881" w:type="dxa"/>
            <w:shd w:val="clear" w:color="auto" w:fill="FDEADA" w:themeFill="accent6" w:themeFillTint="32"/>
            <w:vAlign w:val="center"/>
          </w:tcPr>
          <w:p w14:paraId="60B4CCF4">
            <w:pPr>
              <w:jc w:val="center"/>
              <w:rPr>
                <w:rFonts w:hint="eastAsia"/>
                <w:color w:val="auto"/>
                <w:highlight w:val="none"/>
                <w:lang w:val="en-US" w:eastAsia="zh-CN"/>
              </w:rPr>
            </w:pPr>
          </w:p>
          <w:p w14:paraId="049F97E4">
            <w:pPr>
              <w:jc w:val="center"/>
              <w:rPr>
                <w:color w:val="auto"/>
                <w:highlight w:val="none"/>
                <w:vertAlign w:val="baseline"/>
              </w:rPr>
            </w:pPr>
            <w:r>
              <w:rPr>
                <w:rFonts w:hint="eastAsia"/>
                <w:color w:val="auto"/>
                <w:highlight w:val="none"/>
                <w:lang w:val="en-US" w:eastAsia="zh-CN"/>
              </w:rPr>
              <w:t>4.5分</w:t>
            </w:r>
          </w:p>
        </w:tc>
        <w:tc>
          <w:tcPr>
            <w:tcW w:w="7286" w:type="dxa"/>
            <w:shd w:val="clear" w:color="auto" w:fill="EBF1DE" w:themeFill="accent3" w:themeFillTint="32"/>
            <w:vAlign w:val="top"/>
          </w:tcPr>
          <w:p w14:paraId="040F1429">
            <w:pPr>
              <w:rPr>
                <w:rFonts w:hint="eastAsia"/>
                <w:color w:val="auto"/>
                <w:highlight w:val="none"/>
                <w:lang w:val="en-US" w:eastAsia="zh-CN"/>
              </w:rPr>
            </w:pPr>
            <w:r>
              <w:rPr>
                <w:rFonts w:hint="eastAsia"/>
                <w:color w:val="auto"/>
                <w:highlight w:val="none"/>
                <w:lang w:val="en-US" w:eastAsia="zh-CN"/>
              </w:rPr>
              <w:t>一、评审内容</w:t>
            </w:r>
          </w:p>
          <w:p w14:paraId="6D547AD8">
            <w:pPr>
              <w:rPr>
                <w:rFonts w:hint="eastAsia"/>
                <w:color w:val="auto"/>
                <w:highlight w:val="none"/>
                <w:lang w:val="en-US" w:eastAsia="zh-CN"/>
              </w:rPr>
            </w:pPr>
            <w:r>
              <w:rPr>
                <w:rFonts w:hint="eastAsia"/>
                <w:color w:val="auto"/>
                <w:highlight w:val="none"/>
                <w:lang w:val="en-US" w:eastAsia="zh-CN"/>
              </w:rPr>
              <w:t>对影响供货期的因素分析及应对措施</w:t>
            </w:r>
            <w:r>
              <w:rPr>
                <w:rFonts w:hint="eastAsia"/>
                <w:color w:val="auto"/>
                <w:highlight w:val="none"/>
              </w:rPr>
              <w:t>制</w:t>
            </w:r>
            <w:r>
              <w:rPr>
                <w:rFonts w:hint="eastAsia"/>
                <w:color w:val="auto"/>
                <w:highlight w:val="none"/>
                <w:lang w:val="en-US" w:eastAsia="zh-CN"/>
              </w:rPr>
              <w:t>定方案，主要内容包括：</w:t>
            </w:r>
          </w:p>
          <w:p w14:paraId="256322AF">
            <w:pPr>
              <w:rPr>
                <w:rFonts w:hint="default"/>
                <w:color w:val="auto"/>
                <w:highlight w:val="none"/>
                <w:lang w:val="en-US" w:eastAsia="zh-CN"/>
              </w:rPr>
            </w:pPr>
            <w:r>
              <w:rPr>
                <w:rFonts w:hint="eastAsia"/>
                <w:color w:val="auto"/>
                <w:highlight w:val="none"/>
                <w:lang w:val="en-US" w:eastAsia="zh-CN"/>
              </w:rPr>
              <w:t>①供货进度计划；②影响供货期的因素分析；</w:t>
            </w:r>
            <w:r>
              <w:rPr>
                <w:rFonts w:hint="eastAsia"/>
                <w:color w:val="auto"/>
                <w:highlight w:val="none"/>
              </w:rPr>
              <w:t>③</w:t>
            </w:r>
            <w:r>
              <w:rPr>
                <w:rFonts w:hint="eastAsia"/>
                <w:color w:val="auto"/>
                <w:highlight w:val="none"/>
                <w:lang w:val="en-US" w:eastAsia="zh-CN"/>
              </w:rPr>
              <w:t>影响供货期的应对措施。</w:t>
            </w:r>
          </w:p>
          <w:p w14:paraId="124F57C0">
            <w:pPr>
              <w:rPr>
                <w:rFonts w:hint="eastAsia"/>
                <w:color w:val="auto"/>
                <w:highlight w:val="none"/>
                <w:lang w:val="en-US" w:eastAsia="zh-CN"/>
              </w:rPr>
            </w:pPr>
            <w:r>
              <w:rPr>
                <w:rFonts w:hint="eastAsia"/>
                <w:color w:val="auto"/>
                <w:highlight w:val="none"/>
                <w:lang w:val="en-US" w:eastAsia="zh-CN"/>
              </w:rPr>
              <w:t>二、评审标准</w:t>
            </w:r>
          </w:p>
          <w:p w14:paraId="2BB9E357">
            <w:pPr>
              <w:rPr>
                <w:rFonts w:hint="eastAsia"/>
                <w:color w:val="auto"/>
                <w:highlight w:val="none"/>
              </w:rPr>
            </w:pPr>
            <w:r>
              <w:rPr>
                <w:rFonts w:hint="eastAsia"/>
                <w:color w:val="auto"/>
                <w:highlight w:val="none"/>
              </w:rPr>
              <w:t>①方案须全面，对评审内容中的要求有详细描述；</w:t>
            </w:r>
          </w:p>
          <w:p w14:paraId="4F6E45D3">
            <w:pPr>
              <w:rPr>
                <w:rFonts w:hint="eastAsia"/>
                <w:color w:val="auto"/>
                <w:highlight w:val="none"/>
              </w:rPr>
            </w:pPr>
            <w:r>
              <w:rPr>
                <w:rFonts w:hint="eastAsia"/>
                <w:color w:val="auto"/>
                <w:highlight w:val="none"/>
              </w:rPr>
              <w:t>②切合本项目实际情况，实施步骤清晰、合理；</w:t>
            </w:r>
          </w:p>
          <w:p w14:paraId="22EEAFE7">
            <w:pPr>
              <w:rPr>
                <w:rFonts w:hint="eastAsia"/>
                <w:color w:val="auto"/>
                <w:highlight w:val="none"/>
              </w:rPr>
            </w:pPr>
            <w:r>
              <w:rPr>
                <w:rFonts w:hint="eastAsia"/>
                <w:color w:val="auto"/>
                <w:highlight w:val="none"/>
              </w:rPr>
              <w:t>③方案能够紧扣项目</w:t>
            </w:r>
            <w:r>
              <w:rPr>
                <w:rFonts w:hint="eastAsia"/>
                <w:color w:val="auto"/>
                <w:highlight w:val="none"/>
                <w:lang w:val="en-US" w:eastAsia="zh-CN"/>
              </w:rPr>
              <w:t>需求</w:t>
            </w:r>
            <w:r>
              <w:rPr>
                <w:rFonts w:hint="eastAsia"/>
                <w:color w:val="auto"/>
                <w:highlight w:val="none"/>
              </w:rPr>
              <w:t>，</w:t>
            </w:r>
            <w:r>
              <w:rPr>
                <w:rFonts w:hint="eastAsia"/>
                <w:color w:val="auto"/>
                <w:highlight w:val="none"/>
                <w:lang w:val="en-US" w:eastAsia="zh-CN"/>
              </w:rPr>
              <w:t>方案科学合理，切实可行</w:t>
            </w:r>
            <w:r>
              <w:rPr>
                <w:rFonts w:hint="eastAsia"/>
                <w:color w:val="auto"/>
                <w:highlight w:val="none"/>
              </w:rPr>
              <w:t>。</w:t>
            </w:r>
          </w:p>
          <w:p w14:paraId="1A7B87BB">
            <w:pPr>
              <w:rPr>
                <w:rFonts w:hint="eastAsia"/>
                <w:color w:val="auto"/>
                <w:highlight w:val="none"/>
                <w:lang w:val="en-US" w:eastAsia="zh-CN"/>
              </w:rPr>
            </w:pPr>
            <w:r>
              <w:rPr>
                <w:rFonts w:hint="eastAsia"/>
                <w:color w:val="auto"/>
                <w:highlight w:val="none"/>
                <w:lang w:val="en-US" w:eastAsia="zh-CN"/>
              </w:rPr>
              <w:t>三、赋分标准（满分4.5分）</w:t>
            </w:r>
          </w:p>
          <w:p w14:paraId="6A1E2671">
            <w:pPr>
              <w:rPr>
                <w:rFonts w:hint="eastAsia"/>
                <w:color w:val="auto"/>
                <w:highlight w:val="none"/>
              </w:rPr>
            </w:pPr>
            <w:r>
              <w:rPr>
                <w:rFonts w:hint="eastAsia"/>
                <w:color w:val="auto"/>
                <w:highlight w:val="none"/>
              </w:rPr>
              <w:t>①</w:t>
            </w:r>
            <w:r>
              <w:rPr>
                <w:rFonts w:hint="eastAsia"/>
                <w:color w:val="auto"/>
                <w:highlight w:val="none"/>
                <w:lang w:val="en-US" w:eastAsia="zh-CN"/>
              </w:rPr>
              <w:t>影响供货期的因素分析</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3693543B">
            <w:pPr>
              <w:rPr>
                <w:rFonts w:hint="eastAsia"/>
                <w:color w:val="auto"/>
                <w:highlight w:val="none"/>
              </w:rPr>
            </w:pPr>
            <w:r>
              <w:rPr>
                <w:rFonts w:hint="eastAsia"/>
                <w:color w:val="auto"/>
                <w:highlight w:val="none"/>
              </w:rPr>
              <w:t>②</w:t>
            </w:r>
            <w:r>
              <w:rPr>
                <w:rFonts w:hint="eastAsia"/>
                <w:color w:val="auto"/>
                <w:highlight w:val="none"/>
                <w:lang w:val="en-US" w:eastAsia="zh-CN"/>
              </w:rPr>
              <w:t>影响供货期的应对措施</w:t>
            </w:r>
            <w:r>
              <w:rPr>
                <w:rFonts w:hint="eastAsia"/>
                <w:color w:val="auto"/>
                <w:highlight w:val="none"/>
                <w:lang w:eastAsia="zh-CN"/>
              </w:rPr>
              <w:t>：</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7A549132">
            <w:pPr>
              <w:rPr>
                <w:rFonts w:hint="eastAsia"/>
                <w:color w:val="auto"/>
                <w:highlight w:val="none"/>
                <w:lang w:eastAsia="zh-CN"/>
              </w:rPr>
            </w:pPr>
            <w:r>
              <w:rPr>
                <w:rFonts w:hint="eastAsia"/>
                <w:color w:val="auto"/>
                <w:highlight w:val="none"/>
              </w:rPr>
              <w:t>③</w:t>
            </w:r>
            <w:r>
              <w:rPr>
                <w:rFonts w:hint="eastAsia"/>
                <w:color w:val="auto"/>
                <w:highlight w:val="none"/>
                <w:lang w:val="en-US" w:eastAsia="zh-CN"/>
              </w:rPr>
              <w:t>进度计划安排：</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tc>
      </w:tr>
      <w:tr w14:paraId="0FA7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top"/>
          </w:tcPr>
          <w:p w14:paraId="68D8EE2E">
            <w:pPr>
              <w:jc w:val="center"/>
              <w:rPr>
                <w:rFonts w:hint="eastAsia"/>
                <w:color w:val="auto"/>
                <w:highlight w:val="none"/>
                <w:lang w:val="en-US" w:eastAsia="zh-CN"/>
              </w:rPr>
            </w:pPr>
          </w:p>
          <w:p w14:paraId="5FA84E0E">
            <w:pPr>
              <w:jc w:val="center"/>
              <w:rPr>
                <w:rFonts w:hint="eastAsia"/>
                <w:color w:val="auto"/>
                <w:highlight w:val="none"/>
                <w:lang w:val="en-US" w:eastAsia="zh-CN"/>
              </w:rPr>
            </w:pPr>
          </w:p>
          <w:p w14:paraId="32BE87AC">
            <w:pPr>
              <w:jc w:val="center"/>
              <w:rPr>
                <w:rFonts w:hint="eastAsia"/>
                <w:color w:val="auto"/>
                <w:highlight w:val="none"/>
                <w:lang w:val="en-US" w:eastAsia="zh-CN"/>
              </w:rPr>
            </w:pPr>
          </w:p>
          <w:p w14:paraId="288CC1D0">
            <w:pPr>
              <w:jc w:val="center"/>
              <w:rPr>
                <w:rFonts w:hint="eastAsia"/>
                <w:color w:val="auto"/>
                <w:highlight w:val="none"/>
                <w:lang w:val="en-US" w:eastAsia="zh-CN"/>
              </w:rPr>
            </w:pPr>
          </w:p>
          <w:p w14:paraId="40A411D6">
            <w:pPr>
              <w:jc w:val="center"/>
              <w:rPr>
                <w:color w:val="auto"/>
                <w:highlight w:val="none"/>
                <w:vertAlign w:val="baseline"/>
              </w:rPr>
            </w:pPr>
            <w:r>
              <w:rPr>
                <w:rFonts w:hint="eastAsia"/>
                <w:color w:val="auto"/>
                <w:highlight w:val="none"/>
                <w:lang w:val="en-US" w:eastAsia="zh-CN"/>
              </w:rPr>
              <w:t>安全文明保证体系和安全文明措施</w:t>
            </w:r>
          </w:p>
        </w:tc>
        <w:tc>
          <w:tcPr>
            <w:tcW w:w="881" w:type="dxa"/>
            <w:shd w:val="clear" w:color="auto" w:fill="FDEADA" w:themeFill="accent6" w:themeFillTint="32"/>
            <w:vAlign w:val="top"/>
          </w:tcPr>
          <w:p w14:paraId="2A82E3C2">
            <w:pPr>
              <w:jc w:val="center"/>
              <w:rPr>
                <w:rFonts w:hint="eastAsia"/>
                <w:color w:val="auto"/>
                <w:highlight w:val="none"/>
                <w:lang w:val="en-US" w:eastAsia="zh-CN"/>
              </w:rPr>
            </w:pPr>
          </w:p>
          <w:p w14:paraId="541D7135">
            <w:pPr>
              <w:jc w:val="center"/>
              <w:rPr>
                <w:rFonts w:hint="eastAsia"/>
                <w:color w:val="auto"/>
                <w:highlight w:val="none"/>
                <w:lang w:val="en-US" w:eastAsia="zh-CN"/>
              </w:rPr>
            </w:pPr>
          </w:p>
          <w:p w14:paraId="3B9B7A04">
            <w:pPr>
              <w:jc w:val="center"/>
              <w:rPr>
                <w:rFonts w:hint="eastAsia"/>
                <w:color w:val="auto"/>
                <w:highlight w:val="none"/>
                <w:lang w:val="en-US" w:eastAsia="zh-CN"/>
              </w:rPr>
            </w:pPr>
          </w:p>
          <w:p w14:paraId="5FA9439B">
            <w:pPr>
              <w:jc w:val="center"/>
              <w:rPr>
                <w:rFonts w:hint="eastAsia"/>
                <w:color w:val="auto"/>
                <w:highlight w:val="none"/>
                <w:lang w:val="en-US" w:eastAsia="zh-CN"/>
              </w:rPr>
            </w:pPr>
          </w:p>
          <w:p w14:paraId="7E1A9587">
            <w:pPr>
              <w:jc w:val="center"/>
              <w:rPr>
                <w:color w:val="auto"/>
                <w:highlight w:val="none"/>
                <w:vertAlign w:val="baseline"/>
              </w:rPr>
            </w:pPr>
            <w:r>
              <w:rPr>
                <w:rFonts w:hint="eastAsia"/>
                <w:color w:val="auto"/>
                <w:highlight w:val="none"/>
                <w:lang w:val="en-US" w:eastAsia="zh-CN"/>
              </w:rPr>
              <w:t>6分</w:t>
            </w:r>
          </w:p>
        </w:tc>
        <w:tc>
          <w:tcPr>
            <w:tcW w:w="7286" w:type="dxa"/>
            <w:shd w:val="clear" w:color="auto" w:fill="EBF1DE" w:themeFill="accent3" w:themeFillTint="32"/>
            <w:vAlign w:val="top"/>
          </w:tcPr>
          <w:p w14:paraId="349604F3">
            <w:pPr>
              <w:rPr>
                <w:rFonts w:hint="eastAsia"/>
                <w:color w:val="auto"/>
                <w:highlight w:val="none"/>
                <w:lang w:val="en-US" w:eastAsia="zh-CN"/>
              </w:rPr>
            </w:pPr>
            <w:r>
              <w:rPr>
                <w:rFonts w:hint="eastAsia"/>
                <w:color w:val="auto"/>
                <w:highlight w:val="none"/>
                <w:lang w:val="en-US" w:eastAsia="zh-CN"/>
              </w:rPr>
              <w:t>一、评审内容</w:t>
            </w:r>
          </w:p>
          <w:p w14:paraId="3B65BB3D">
            <w:pPr>
              <w:rPr>
                <w:rFonts w:hint="eastAsia"/>
                <w:color w:val="auto"/>
                <w:highlight w:val="none"/>
                <w:lang w:val="en-US" w:eastAsia="zh-CN"/>
              </w:rPr>
            </w:pPr>
            <w:r>
              <w:rPr>
                <w:rFonts w:hint="eastAsia"/>
                <w:color w:val="auto"/>
                <w:highlight w:val="none"/>
              </w:rPr>
              <w:t>根据</w:t>
            </w:r>
            <w:r>
              <w:rPr>
                <w:rFonts w:hint="eastAsia"/>
                <w:color w:val="auto"/>
                <w:highlight w:val="none"/>
                <w:lang w:val="en-US" w:eastAsia="zh-CN"/>
              </w:rPr>
              <w:t>安全保证体系和安全措施</w:t>
            </w:r>
            <w:r>
              <w:rPr>
                <w:rFonts w:hint="eastAsia"/>
                <w:color w:val="auto"/>
                <w:highlight w:val="none"/>
              </w:rPr>
              <w:t>制</w:t>
            </w:r>
            <w:r>
              <w:rPr>
                <w:rFonts w:hint="eastAsia"/>
                <w:color w:val="auto"/>
                <w:highlight w:val="none"/>
                <w:lang w:val="en-US" w:eastAsia="zh-CN"/>
              </w:rPr>
              <w:t>定方案，主要内容包括：</w:t>
            </w:r>
          </w:p>
          <w:p w14:paraId="41ECBAD7">
            <w:pPr>
              <w:rPr>
                <w:rFonts w:hint="eastAsia"/>
                <w:color w:val="auto"/>
                <w:highlight w:val="none"/>
                <w:lang w:eastAsia="zh-CN"/>
              </w:rPr>
            </w:pPr>
            <w:r>
              <w:rPr>
                <w:rFonts w:hint="eastAsia"/>
                <w:color w:val="auto"/>
                <w:highlight w:val="none"/>
              </w:rPr>
              <w:t>①</w:t>
            </w:r>
            <w:r>
              <w:rPr>
                <w:rFonts w:hint="eastAsia"/>
                <w:color w:val="auto"/>
                <w:highlight w:val="none"/>
                <w:lang w:eastAsia="zh-CN"/>
              </w:rPr>
              <w:t>安全文明作业</w:t>
            </w:r>
            <w:r>
              <w:rPr>
                <w:rFonts w:hint="eastAsia"/>
                <w:color w:val="auto"/>
                <w:highlight w:val="none"/>
                <w:lang w:val="en-US" w:eastAsia="zh-CN"/>
              </w:rPr>
              <w:t>方案</w:t>
            </w:r>
            <w:r>
              <w:rPr>
                <w:rFonts w:hint="eastAsia"/>
                <w:color w:val="auto"/>
                <w:highlight w:val="none"/>
                <w:lang w:eastAsia="zh-CN"/>
              </w:rPr>
              <w:t>；</w:t>
            </w:r>
            <w:r>
              <w:rPr>
                <w:rFonts w:hint="eastAsia"/>
                <w:color w:val="auto"/>
                <w:highlight w:val="none"/>
              </w:rPr>
              <w:t>②安全操作规范</w:t>
            </w:r>
            <w:r>
              <w:rPr>
                <w:rFonts w:hint="eastAsia"/>
                <w:color w:val="auto"/>
                <w:highlight w:val="none"/>
                <w:lang w:eastAsia="zh-CN"/>
              </w:rPr>
              <w:t>；</w:t>
            </w:r>
            <w:r>
              <w:rPr>
                <w:rFonts w:hint="eastAsia"/>
                <w:color w:val="auto"/>
                <w:highlight w:val="none"/>
              </w:rPr>
              <w:t>③恶劣条件</w:t>
            </w:r>
            <w:r>
              <w:rPr>
                <w:rFonts w:hint="eastAsia"/>
                <w:color w:val="auto"/>
                <w:highlight w:val="none"/>
                <w:lang w:val="en-US" w:eastAsia="zh-CN"/>
              </w:rPr>
              <w:t>下</w:t>
            </w:r>
            <w:r>
              <w:rPr>
                <w:rFonts w:hint="eastAsia"/>
                <w:color w:val="auto"/>
                <w:highlight w:val="none"/>
                <w:lang w:eastAsia="zh-CN"/>
              </w:rPr>
              <w:t>作业方案；</w:t>
            </w:r>
            <w:r>
              <w:rPr>
                <w:rFonts w:hint="eastAsia"/>
                <w:color w:val="auto"/>
                <w:highlight w:val="none"/>
                <w:lang w:val="en-US" w:eastAsia="zh-CN"/>
              </w:rPr>
              <w:t>④</w:t>
            </w:r>
            <w:r>
              <w:rPr>
                <w:rFonts w:hint="eastAsia"/>
                <w:color w:val="auto"/>
                <w:highlight w:val="none"/>
              </w:rPr>
              <w:t>应急预案</w:t>
            </w:r>
            <w:r>
              <w:rPr>
                <w:rFonts w:hint="eastAsia"/>
                <w:color w:val="auto"/>
                <w:highlight w:val="none"/>
                <w:lang w:eastAsia="zh-CN"/>
              </w:rPr>
              <w:t>。</w:t>
            </w:r>
          </w:p>
          <w:p w14:paraId="3BC50F28">
            <w:pPr>
              <w:rPr>
                <w:rFonts w:hint="eastAsia"/>
                <w:color w:val="auto"/>
                <w:highlight w:val="none"/>
                <w:lang w:val="en-US" w:eastAsia="zh-CN"/>
              </w:rPr>
            </w:pPr>
            <w:r>
              <w:rPr>
                <w:rFonts w:hint="eastAsia"/>
                <w:color w:val="auto"/>
                <w:highlight w:val="none"/>
                <w:lang w:val="en-US" w:eastAsia="zh-CN"/>
              </w:rPr>
              <w:t>二、评审标准</w:t>
            </w:r>
          </w:p>
          <w:p w14:paraId="7BCCAECE">
            <w:pPr>
              <w:rPr>
                <w:rFonts w:hint="eastAsia"/>
                <w:color w:val="auto"/>
                <w:highlight w:val="none"/>
              </w:rPr>
            </w:pPr>
            <w:r>
              <w:rPr>
                <w:rFonts w:hint="eastAsia"/>
                <w:color w:val="auto"/>
                <w:highlight w:val="none"/>
              </w:rPr>
              <w:t>①方案须全面，对评审内容中的</w:t>
            </w:r>
            <w:r>
              <w:rPr>
                <w:rFonts w:hint="eastAsia"/>
                <w:color w:val="auto"/>
                <w:highlight w:val="none"/>
                <w:lang w:val="en-US" w:eastAsia="zh-CN"/>
              </w:rPr>
              <w:t>体系及</w:t>
            </w:r>
            <w:r>
              <w:rPr>
                <w:rFonts w:hint="eastAsia"/>
                <w:color w:val="auto"/>
                <w:highlight w:val="none"/>
              </w:rPr>
              <w:t>要求</w:t>
            </w:r>
            <w:r>
              <w:rPr>
                <w:rFonts w:hint="eastAsia"/>
                <w:color w:val="auto"/>
                <w:highlight w:val="none"/>
                <w:lang w:val="en-US" w:eastAsia="zh-CN"/>
              </w:rPr>
              <w:t>等</w:t>
            </w:r>
            <w:r>
              <w:rPr>
                <w:rFonts w:hint="eastAsia"/>
                <w:color w:val="auto"/>
                <w:highlight w:val="none"/>
              </w:rPr>
              <w:t xml:space="preserve">有详细描述； </w:t>
            </w:r>
          </w:p>
          <w:p w14:paraId="6B4A4775">
            <w:pPr>
              <w:rPr>
                <w:rFonts w:hint="eastAsia"/>
                <w:color w:val="auto"/>
                <w:highlight w:val="none"/>
              </w:rPr>
            </w:pPr>
            <w:r>
              <w:rPr>
                <w:rFonts w:hint="eastAsia"/>
                <w:color w:val="auto"/>
                <w:highlight w:val="none"/>
              </w:rPr>
              <w:t>②切合本项目实际情况，</w:t>
            </w:r>
            <w:r>
              <w:rPr>
                <w:rFonts w:hint="eastAsia"/>
                <w:color w:val="auto"/>
                <w:highlight w:val="none"/>
                <w:lang w:val="en-US" w:eastAsia="zh-CN"/>
              </w:rPr>
              <w:t>保证体系全面、准确</w:t>
            </w:r>
            <w:r>
              <w:rPr>
                <w:rFonts w:hint="eastAsia"/>
                <w:color w:val="auto"/>
                <w:highlight w:val="none"/>
              </w:rPr>
              <w:t xml:space="preserve">； </w:t>
            </w:r>
          </w:p>
          <w:p w14:paraId="24686AC8">
            <w:pPr>
              <w:rPr>
                <w:rFonts w:hint="eastAsia"/>
                <w:color w:val="auto"/>
                <w:highlight w:val="none"/>
              </w:rPr>
            </w:pPr>
            <w:r>
              <w:rPr>
                <w:rFonts w:hint="eastAsia"/>
                <w:color w:val="auto"/>
                <w:highlight w:val="none"/>
              </w:rPr>
              <w:t>③方案能够紧扣项目</w:t>
            </w:r>
            <w:r>
              <w:rPr>
                <w:rFonts w:hint="eastAsia"/>
                <w:color w:val="auto"/>
                <w:highlight w:val="none"/>
                <w:lang w:val="en-US" w:eastAsia="zh-CN"/>
              </w:rPr>
              <w:t>需求</w:t>
            </w:r>
            <w:r>
              <w:rPr>
                <w:rFonts w:hint="eastAsia"/>
                <w:color w:val="auto"/>
                <w:highlight w:val="none"/>
              </w:rPr>
              <w:t>，</w:t>
            </w:r>
            <w:r>
              <w:rPr>
                <w:rFonts w:hint="eastAsia"/>
                <w:color w:val="auto"/>
                <w:highlight w:val="none"/>
                <w:lang w:val="en-US" w:eastAsia="zh-CN"/>
              </w:rPr>
              <w:t>保障措施合理可行</w:t>
            </w:r>
            <w:r>
              <w:rPr>
                <w:rFonts w:hint="eastAsia"/>
                <w:color w:val="auto"/>
                <w:highlight w:val="none"/>
              </w:rPr>
              <w:t>。</w:t>
            </w:r>
          </w:p>
          <w:p w14:paraId="31FE0D90">
            <w:pPr>
              <w:rPr>
                <w:rFonts w:hint="eastAsia"/>
                <w:color w:val="auto"/>
                <w:highlight w:val="none"/>
                <w:lang w:val="en-US" w:eastAsia="zh-CN"/>
              </w:rPr>
            </w:pPr>
            <w:r>
              <w:rPr>
                <w:rFonts w:hint="eastAsia"/>
                <w:color w:val="auto"/>
                <w:highlight w:val="none"/>
                <w:lang w:val="en-US" w:eastAsia="zh-CN"/>
              </w:rPr>
              <w:t>三、赋分标准（满分6分）</w:t>
            </w:r>
          </w:p>
          <w:p w14:paraId="067F7291">
            <w:pPr>
              <w:rPr>
                <w:rFonts w:hint="eastAsia"/>
                <w:color w:val="auto"/>
                <w:highlight w:val="none"/>
              </w:rPr>
            </w:pPr>
            <w:r>
              <w:rPr>
                <w:rFonts w:hint="eastAsia"/>
                <w:color w:val="auto"/>
                <w:highlight w:val="none"/>
              </w:rPr>
              <w:t>①</w:t>
            </w:r>
            <w:r>
              <w:rPr>
                <w:rFonts w:hint="eastAsia"/>
                <w:color w:val="auto"/>
                <w:highlight w:val="none"/>
                <w:lang w:eastAsia="zh-CN"/>
              </w:rPr>
              <w:t>安全文明作业</w:t>
            </w:r>
            <w:r>
              <w:rPr>
                <w:rFonts w:hint="eastAsia"/>
                <w:color w:val="auto"/>
                <w:highlight w:val="none"/>
                <w:lang w:val="en-US" w:eastAsia="zh-CN"/>
              </w:rPr>
              <w:t>方案</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10D9AB2F">
            <w:pPr>
              <w:rPr>
                <w:rFonts w:hint="eastAsia"/>
                <w:color w:val="auto"/>
                <w:highlight w:val="none"/>
              </w:rPr>
            </w:pPr>
            <w:r>
              <w:rPr>
                <w:rFonts w:hint="eastAsia"/>
                <w:color w:val="auto"/>
                <w:highlight w:val="none"/>
              </w:rPr>
              <w:t>②安全操作规范</w:t>
            </w:r>
            <w:r>
              <w:rPr>
                <w:rFonts w:hint="eastAsia"/>
                <w:color w:val="auto"/>
                <w:highlight w:val="none"/>
                <w:lang w:val="en-US" w:eastAsia="zh-CN"/>
              </w:rPr>
              <w:t>方案</w:t>
            </w:r>
            <w:r>
              <w:rPr>
                <w:rFonts w:hint="eastAsia"/>
                <w:color w:val="auto"/>
                <w:highlight w:val="none"/>
                <w:lang w:eastAsia="zh-CN"/>
              </w:rPr>
              <w:t>：</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746BD1F4">
            <w:pPr>
              <w:rPr>
                <w:rFonts w:hint="eastAsia"/>
                <w:color w:val="auto"/>
                <w:highlight w:val="none"/>
              </w:rPr>
            </w:pPr>
            <w:r>
              <w:rPr>
                <w:rFonts w:hint="eastAsia"/>
                <w:color w:val="auto"/>
                <w:highlight w:val="none"/>
              </w:rPr>
              <w:t>③恶劣条件施工</w:t>
            </w:r>
            <w:r>
              <w:rPr>
                <w:rFonts w:hint="eastAsia"/>
                <w:color w:val="auto"/>
                <w:highlight w:val="none"/>
                <w:lang w:eastAsia="zh-CN"/>
              </w:rPr>
              <w:t>：</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31E1F147">
            <w:pPr>
              <w:rPr>
                <w:color w:val="auto"/>
                <w:highlight w:val="none"/>
                <w:vertAlign w:val="baseline"/>
              </w:rPr>
            </w:pPr>
            <w:r>
              <w:rPr>
                <w:rFonts w:hint="eastAsia"/>
                <w:color w:val="auto"/>
                <w:highlight w:val="none"/>
                <w:lang w:val="en-US" w:eastAsia="zh-CN"/>
              </w:rPr>
              <w:t>④</w:t>
            </w:r>
            <w:r>
              <w:rPr>
                <w:rFonts w:hint="eastAsia"/>
                <w:color w:val="auto"/>
                <w:highlight w:val="none"/>
              </w:rPr>
              <w:t>应急预案</w:t>
            </w:r>
            <w:r>
              <w:rPr>
                <w:rFonts w:hint="eastAsia"/>
                <w:color w:val="auto"/>
                <w:highlight w:val="none"/>
                <w:lang w:eastAsia="zh-CN"/>
              </w:rPr>
              <w:t>：</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r>
              <w:rPr>
                <w:rFonts w:hint="eastAsia"/>
                <w:color w:val="auto"/>
                <w:highlight w:val="none"/>
                <w:lang w:eastAsia="zh-CN"/>
              </w:rPr>
              <w:t>。</w:t>
            </w:r>
          </w:p>
        </w:tc>
      </w:tr>
      <w:tr w14:paraId="5DE25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top"/>
          </w:tcPr>
          <w:p w14:paraId="3C6F7BFE">
            <w:pPr>
              <w:jc w:val="center"/>
              <w:rPr>
                <w:rFonts w:hint="eastAsia"/>
                <w:color w:val="auto"/>
                <w:highlight w:val="none"/>
              </w:rPr>
            </w:pPr>
          </w:p>
          <w:p w14:paraId="5A4D75CD">
            <w:pPr>
              <w:jc w:val="center"/>
              <w:rPr>
                <w:rFonts w:hint="eastAsia"/>
                <w:color w:val="auto"/>
                <w:highlight w:val="none"/>
              </w:rPr>
            </w:pPr>
          </w:p>
          <w:p w14:paraId="7DD31D85">
            <w:pPr>
              <w:jc w:val="center"/>
              <w:rPr>
                <w:rFonts w:hint="eastAsia"/>
                <w:color w:val="auto"/>
                <w:highlight w:val="none"/>
              </w:rPr>
            </w:pPr>
          </w:p>
          <w:p w14:paraId="2C0BCFE1">
            <w:pPr>
              <w:jc w:val="center"/>
              <w:rPr>
                <w:rFonts w:hint="eastAsia"/>
                <w:color w:val="auto"/>
                <w:highlight w:val="none"/>
              </w:rPr>
            </w:pPr>
          </w:p>
          <w:p w14:paraId="62682760">
            <w:pPr>
              <w:jc w:val="center"/>
              <w:rPr>
                <w:rFonts w:hint="eastAsia"/>
                <w:color w:val="auto"/>
                <w:highlight w:val="none"/>
              </w:rPr>
            </w:pPr>
          </w:p>
          <w:p w14:paraId="13CBD20F">
            <w:pPr>
              <w:jc w:val="center"/>
              <w:rPr>
                <w:color w:val="auto"/>
                <w:highlight w:val="none"/>
                <w:vertAlign w:val="baseline"/>
              </w:rPr>
            </w:pPr>
            <w:r>
              <w:rPr>
                <w:rFonts w:hint="eastAsia"/>
                <w:color w:val="auto"/>
                <w:highlight w:val="none"/>
              </w:rPr>
              <w:t>花卉养护期</w:t>
            </w:r>
            <w:r>
              <w:rPr>
                <w:rFonts w:hint="eastAsia"/>
                <w:color w:val="auto"/>
                <w:highlight w:val="none"/>
                <w:lang w:val="en-US" w:eastAsia="zh-CN"/>
              </w:rPr>
              <w:t>保障</w:t>
            </w:r>
            <w:r>
              <w:rPr>
                <w:rFonts w:hint="eastAsia"/>
                <w:color w:val="auto"/>
                <w:highlight w:val="none"/>
              </w:rPr>
              <w:t>措施</w:t>
            </w:r>
          </w:p>
        </w:tc>
        <w:tc>
          <w:tcPr>
            <w:tcW w:w="881" w:type="dxa"/>
            <w:shd w:val="clear" w:color="auto" w:fill="FDEADA" w:themeFill="accent6" w:themeFillTint="32"/>
            <w:vAlign w:val="top"/>
          </w:tcPr>
          <w:p w14:paraId="35042AD7">
            <w:pPr>
              <w:jc w:val="center"/>
              <w:rPr>
                <w:rFonts w:hint="eastAsia"/>
                <w:color w:val="auto"/>
                <w:highlight w:val="none"/>
                <w:lang w:val="en-US" w:eastAsia="zh-CN"/>
              </w:rPr>
            </w:pPr>
          </w:p>
          <w:p w14:paraId="7E1D4AE0">
            <w:pPr>
              <w:jc w:val="center"/>
              <w:rPr>
                <w:rFonts w:hint="eastAsia"/>
                <w:color w:val="auto"/>
                <w:highlight w:val="none"/>
                <w:lang w:val="en-US" w:eastAsia="zh-CN"/>
              </w:rPr>
            </w:pPr>
          </w:p>
          <w:p w14:paraId="709C3C09">
            <w:pPr>
              <w:jc w:val="center"/>
              <w:rPr>
                <w:rFonts w:hint="eastAsia"/>
                <w:color w:val="auto"/>
                <w:highlight w:val="none"/>
                <w:lang w:val="en-US" w:eastAsia="zh-CN"/>
              </w:rPr>
            </w:pPr>
          </w:p>
          <w:p w14:paraId="79640124">
            <w:pPr>
              <w:jc w:val="center"/>
              <w:rPr>
                <w:rFonts w:hint="eastAsia"/>
                <w:color w:val="auto"/>
                <w:highlight w:val="none"/>
                <w:lang w:val="en-US" w:eastAsia="zh-CN"/>
              </w:rPr>
            </w:pPr>
          </w:p>
          <w:p w14:paraId="5DEE8B54">
            <w:pPr>
              <w:jc w:val="center"/>
              <w:rPr>
                <w:rFonts w:hint="eastAsia"/>
                <w:color w:val="auto"/>
                <w:highlight w:val="none"/>
                <w:lang w:val="en-US" w:eastAsia="zh-CN"/>
              </w:rPr>
            </w:pPr>
          </w:p>
          <w:p w14:paraId="288AF1F7">
            <w:pPr>
              <w:jc w:val="center"/>
              <w:rPr>
                <w:color w:val="auto"/>
                <w:highlight w:val="none"/>
                <w:vertAlign w:val="baseline"/>
              </w:rPr>
            </w:pPr>
            <w:r>
              <w:rPr>
                <w:rFonts w:hint="eastAsia"/>
                <w:color w:val="auto"/>
                <w:highlight w:val="none"/>
                <w:lang w:val="en-US" w:eastAsia="zh-CN"/>
              </w:rPr>
              <w:t>7.5分</w:t>
            </w:r>
          </w:p>
        </w:tc>
        <w:tc>
          <w:tcPr>
            <w:tcW w:w="7286" w:type="dxa"/>
            <w:shd w:val="clear" w:color="auto" w:fill="EBF1DE" w:themeFill="accent3" w:themeFillTint="32"/>
            <w:vAlign w:val="top"/>
          </w:tcPr>
          <w:p w14:paraId="0B666D7A">
            <w:pPr>
              <w:rPr>
                <w:rFonts w:hint="eastAsia"/>
                <w:color w:val="auto"/>
                <w:highlight w:val="none"/>
                <w:lang w:val="en-US" w:eastAsia="zh-CN"/>
              </w:rPr>
            </w:pPr>
            <w:r>
              <w:rPr>
                <w:rFonts w:hint="eastAsia"/>
                <w:color w:val="auto"/>
                <w:highlight w:val="none"/>
                <w:lang w:val="en-US" w:eastAsia="zh-CN"/>
              </w:rPr>
              <w:t>一、评审内容</w:t>
            </w:r>
          </w:p>
          <w:p w14:paraId="50C02F87">
            <w:pPr>
              <w:rPr>
                <w:rFonts w:hint="eastAsia"/>
                <w:color w:val="auto"/>
                <w:highlight w:val="none"/>
                <w:lang w:val="en-US" w:eastAsia="zh-CN"/>
              </w:rPr>
            </w:pPr>
            <w:r>
              <w:rPr>
                <w:rFonts w:hint="eastAsia"/>
                <w:color w:val="auto"/>
                <w:highlight w:val="none"/>
                <w:lang w:val="en-US" w:eastAsia="zh-CN"/>
              </w:rPr>
              <w:t>针对本项目服务内容提出</w:t>
            </w:r>
            <w:r>
              <w:rPr>
                <w:rFonts w:hint="eastAsia"/>
                <w:color w:val="auto"/>
                <w:highlight w:val="none"/>
              </w:rPr>
              <w:t>花卉养护期</w:t>
            </w:r>
            <w:r>
              <w:rPr>
                <w:rFonts w:hint="eastAsia"/>
                <w:color w:val="auto"/>
                <w:highlight w:val="none"/>
                <w:lang w:val="en-US" w:eastAsia="zh-CN"/>
              </w:rPr>
              <w:t>保障</w:t>
            </w:r>
            <w:r>
              <w:rPr>
                <w:rFonts w:hint="eastAsia"/>
                <w:color w:val="auto"/>
                <w:highlight w:val="none"/>
              </w:rPr>
              <w:t>措施</w:t>
            </w:r>
            <w:r>
              <w:rPr>
                <w:rFonts w:hint="eastAsia"/>
                <w:color w:val="auto"/>
                <w:highlight w:val="none"/>
                <w:lang w:val="en-US" w:eastAsia="zh-CN"/>
              </w:rPr>
              <w:t>方案，主要内容包括：</w:t>
            </w:r>
          </w:p>
          <w:p w14:paraId="305D6F93">
            <w:pPr>
              <w:rPr>
                <w:rFonts w:hint="default"/>
                <w:color w:val="auto"/>
                <w:highlight w:val="none"/>
                <w:lang w:val="en-US" w:eastAsia="zh-CN"/>
              </w:rPr>
            </w:pPr>
            <w:r>
              <w:rPr>
                <w:rFonts w:hint="eastAsia"/>
                <w:color w:val="auto"/>
                <w:highlight w:val="none"/>
              </w:rPr>
              <w:t>①</w:t>
            </w:r>
            <w:r>
              <w:rPr>
                <w:rFonts w:hint="eastAsia"/>
                <w:color w:val="auto"/>
                <w:highlight w:val="none"/>
                <w:lang w:val="en-US" w:eastAsia="zh-CN"/>
              </w:rPr>
              <w:t>修剪、浇水、防冻、施肥、除草、松土；</w:t>
            </w:r>
            <w:r>
              <w:rPr>
                <w:rFonts w:hint="eastAsia"/>
                <w:color w:val="auto"/>
                <w:highlight w:val="none"/>
              </w:rPr>
              <w:t>②</w:t>
            </w:r>
            <w:r>
              <w:rPr>
                <w:rFonts w:hint="eastAsia"/>
                <w:color w:val="auto"/>
                <w:highlight w:val="none"/>
                <w:lang w:val="en-US" w:eastAsia="zh-CN"/>
              </w:rPr>
              <w:t>病虫害防治；</w:t>
            </w:r>
            <w:r>
              <w:rPr>
                <w:rFonts w:hint="eastAsia"/>
                <w:color w:val="auto"/>
                <w:highlight w:val="none"/>
              </w:rPr>
              <w:t>③</w:t>
            </w:r>
            <w:r>
              <w:rPr>
                <w:rFonts w:hint="eastAsia"/>
                <w:color w:val="auto"/>
                <w:highlight w:val="none"/>
                <w:lang w:val="en-US" w:eastAsia="zh-CN"/>
              </w:rPr>
              <w:t>缺失花卉的清理及补植补栽；④各类花箱、花钵的清洗。⑤绿雕制作、摆放、后期清理</w:t>
            </w:r>
          </w:p>
          <w:p w14:paraId="2E7626E3">
            <w:pPr>
              <w:rPr>
                <w:rFonts w:hint="eastAsia"/>
                <w:color w:val="auto"/>
                <w:highlight w:val="none"/>
                <w:lang w:val="en-US" w:eastAsia="zh-CN"/>
              </w:rPr>
            </w:pPr>
            <w:r>
              <w:rPr>
                <w:rFonts w:hint="eastAsia"/>
                <w:color w:val="auto"/>
                <w:highlight w:val="none"/>
                <w:lang w:val="en-US" w:eastAsia="zh-CN"/>
              </w:rPr>
              <w:t>二、评审标准</w:t>
            </w:r>
          </w:p>
          <w:p w14:paraId="3E088DDD">
            <w:pPr>
              <w:rPr>
                <w:rFonts w:hint="eastAsia"/>
                <w:color w:val="auto"/>
                <w:highlight w:val="none"/>
                <w:lang w:val="en-US" w:eastAsia="zh-CN"/>
              </w:rPr>
            </w:pPr>
            <w:r>
              <w:rPr>
                <w:rFonts w:hint="eastAsia"/>
                <w:color w:val="auto"/>
                <w:highlight w:val="none"/>
              </w:rPr>
              <w:t>①</w:t>
            </w:r>
            <w:r>
              <w:rPr>
                <w:rFonts w:hint="eastAsia"/>
                <w:color w:val="auto"/>
                <w:highlight w:val="none"/>
                <w:lang w:val="en-US" w:eastAsia="zh-CN"/>
              </w:rPr>
              <w:t>方案须全面，对评审内容中的各项要求有详细描述；</w:t>
            </w:r>
          </w:p>
          <w:p w14:paraId="0A2E632A">
            <w:pPr>
              <w:rPr>
                <w:rFonts w:hint="eastAsia"/>
                <w:color w:val="auto"/>
                <w:highlight w:val="none"/>
                <w:lang w:val="en-US" w:eastAsia="zh-CN"/>
              </w:rPr>
            </w:pPr>
            <w:r>
              <w:rPr>
                <w:rFonts w:hint="eastAsia"/>
                <w:color w:val="auto"/>
                <w:highlight w:val="none"/>
              </w:rPr>
              <w:t>②</w:t>
            </w:r>
            <w:r>
              <w:rPr>
                <w:rFonts w:hint="eastAsia"/>
                <w:color w:val="auto"/>
                <w:highlight w:val="none"/>
                <w:lang w:val="en-US" w:eastAsia="zh-CN"/>
              </w:rPr>
              <w:t>切合本项目实际情况，实施步骤清晰、合理；</w:t>
            </w:r>
          </w:p>
          <w:p w14:paraId="096FA9A4">
            <w:pPr>
              <w:rPr>
                <w:rFonts w:hint="eastAsia"/>
                <w:color w:val="auto"/>
                <w:highlight w:val="none"/>
                <w:lang w:val="en-US" w:eastAsia="zh-CN"/>
              </w:rPr>
            </w:pPr>
            <w:r>
              <w:rPr>
                <w:rFonts w:hint="eastAsia"/>
                <w:color w:val="auto"/>
                <w:highlight w:val="none"/>
              </w:rPr>
              <w:t>③</w:t>
            </w:r>
            <w:r>
              <w:rPr>
                <w:rFonts w:hint="eastAsia"/>
                <w:color w:val="auto"/>
                <w:highlight w:val="none"/>
                <w:lang w:val="en-US" w:eastAsia="zh-CN"/>
              </w:rPr>
              <w:t>方案能够紧扣项目实际情况，内容科学合理。</w:t>
            </w:r>
          </w:p>
          <w:p w14:paraId="089DEFA1">
            <w:pPr>
              <w:rPr>
                <w:rFonts w:hint="eastAsia"/>
                <w:color w:val="auto"/>
                <w:highlight w:val="none"/>
                <w:lang w:val="en-US" w:eastAsia="zh-CN"/>
              </w:rPr>
            </w:pPr>
            <w:r>
              <w:rPr>
                <w:rFonts w:hint="eastAsia"/>
                <w:color w:val="auto"/>
                <w:highlight w:val="none"/>
                <w:lang w:val="en-US" w:eastAsia="zh-CN"/>
              </w:rPr>
              <w:t>三、赋分标准（满分6分）</w:t>
            </w:r>
          </w:p>
          <w:p w14:paraId="4EA6B965">
            <w:pPr>
              <w:rPr>
                <w:rFonts w:hint="eastAsia"/>
                <w:color w:val="auto"/>
                <w:highlight w:val="none"/>
                <w:lang w:val="en-US" w:eastAsia="zh-CN"/>
              </w:rPr>
            </w:pPr>
            <w:r>
              <w:rPr>
                <w:rFonts w:hint="eastAsia"/>
                <w:color w:val="auto"/>
                <w:highlight w:val="none"/>
                <w:lang w:val="en-US" w:eastAsia="zh-CN"/>
              </w:rPr>
              <w:t>①修剪、浇水、防冻、施肥、除草、松土：每完全满足一项评审标准得0.5分，满分1.5分；</w:t>
            </w:r>
          </w:p>
          <w:p w14:paraId="1BC1AB72">
            <w:pPr>
              <w:rPr>
                <w:rFonts w:hint="eastAsia"/>
                <w:color w:val="auto"/>
                <w:highlight w:val="none"/>
                <w:lang w:val="en-US" w:eastAsia="zh-CN"/>
              </w:rPr>
            </w:pPr>
            <w:r>
              <w:rPr>
                <w:rFonts w:hint="eastAsia"/>
                <w:color w:val="auto"/>
                <w:highlight w:val="none"/>
                <w:lang w:val="en-US" w:eastAsia="zh-CN"/>
              </w:rPr>
              <w:t>②病虫害防治：每完全满足一项评审标准得0.5分，满分1.5分；</w:t>
            </w:r>
          </w:p>
          <w:p w14:paraId="415AD699">
            <w:pPr>
              <w:rPr>
                <w:rFonts w:hint="eastAsia"/>
                <w:color w:val="auto"/>
                <w:highlight w:val="none"/>
                <w:lang w:val="en-US" w:eastAsia="zh-CN"/>
              </w:rPr>
            </w:pPr>
            <w:r>
              <w:rPr>
                <w:rFonts w:hint="eastAsia"/>
                <w:color w:val="auto"/>
                <w:highlight w:val="none"/>
                <w:lang w:val="en-US" w:eastAsia="zh-CN"/>
              </w:rPr>
              <w:t>③缺失花卉的清理及补植补栽：每完全满足一项评审标准得0.5分，满分1.5分；</w:t>
            </w:r>
          </w:p>
          <w:p w14:paraId="7D754652">
            <w:pPr>
              <w:rPr>
                <w:rFonts w:hint="eastAsia"/>
                <w:color w:val="auto"/>
                <w:highlight w:val="none"/>
                <w:lang w:eastAsia="zh-CN"/>
              </w:rPr>
            </w:pPr>
            <w:r>
              <w:rPr>
                <w:rFonts w:hint="eastAsia"/>
                <w:color w:val="auto"/>
                <w:highlight w:val="none"/>
                <w:lang w:val="en-US" w:eastAsia="zh-CN"/>
              </w:rPr>
              <w:t>④花架花箱花钵清洗等工作</w:t>
            </w:r>
            <w:r>
              <w:rPr>
                <w:rFonts w:hint="eastAsia"/>
                <w:color w:val="auto"/>
                <w:highlight w:val="none"/>
                <w:lang w:eastAsia="zh-CN"/>
              </w:rPr>
              <w:t>：</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r>
              <w:rPr>
                <w:rFonts w:hint="eastAsia"/>
                <w:color w:val="auto"/>
                <w:highlight w:val="none"/>
                <w:lang w:eastAsia="zh-CN"/>
              </w:rPr>
              <w:t>。</w:t>
            </w:r>
          </w:p>
          <w:p w14:paraId="6503F8F2">
            <w:pPr>
              <w:rPr>
                <w:rFonts w:hint="eastAsia"/>
                <w:color w:val="auto"/>
                <w:highlight w:val="none"/>
                <w:lang w:eastAsia="zh-CN"/>
              </w:rPr>
            </w:pPr>
            <w:r>
              <w:rPr>
                <w:rFonts w:hint="eastAsia"/>
                <w:color w:val="auto"/>
                <w:highlight w:val="none"/>
                <w:lang w:val="en-US" w:eastAsia="zh-CN"/>
              </w:rPr>
              <w:t>⑤绿雕制作、摆放、后期清理：</w:t>
            </w:r>
            <w:r>
              <w:rPr>
                <w:rFonts w:hint="eastAsia"/>
                <w:color w:val="auto"/>
                <w:highlight w:val="none"/>
              </w:rPr>
              <w:t>每完全满足一项评审标准得</w:t>
            </w:r>
            <w:r>
              <w:rPr>
                <w:rFonts w:hint="eastAsia"/>
                <w:color w:val="auto"/>
                <w:highlight w:val="none"/>
                <w:lang w:val="en-US" w:eastAsia="zh-CN"/>
              </w:rPr>
              <w:t>0.5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r>
              <w:rPr>
                <w:rFonts w:hint="eastAsia"/>
                <w:color w:val="auto"/>
                <w:highlight w:val="none"/>
                <w:lang w:eastAsia="zh-CN"/>
              </w:rPr>
              <w:t>。</w:t>
            </w:r>
          </w:p>
        </w:tc>
      </w:tr>
      <w:tr w14:paraId="5D7AF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center"/>
          </w:tcPr>
          <w:p w14:paraId="694B8CE7">
            <w:pPr>
              <w:jc w:val="center"/>
              <w:rPr>
                <w:color w:val="auto"/>
                <w:highlight w:val="none"/>
                <w:vertAlign w:val="baseline"/>
              </w:rPr>
            </w:pPr>
            <w:r>
              <w:rPr>
                <w:rFonts w:hint="eastAsia"/>
                <w:color w:val="auto"/>
                <w:highlight w:val="none"/>
              </w:rPr>
              <w:t>企业业绩</w:t>
            </w:r>
          </w:p>
        </w:tc>
        <w:tc>
          <w:tcPr>
            <w:tcW w:w="881" w:type="dxa"/>
            <w:shd w:val="clear" w:color="auto" w:fill="FDEADA" w:themeFill="accent6" w:themeFillTint="32"/>
            <w:vAlign w:val="center"/>
          </w:tcPr>
          <w:p w14:paraId="7AC6C88D">
            <w:pPr>
              <w:jc w:val="center"/>
              <w:rPr>
                <w:color w:val="auto"/>
                <w:highlight w:val="none"/>
                <w:vertAlign w:val="baseline"/>
              </w:rPr>
            </w:pPr>
            <w:r>
              <w:rPr>
                <w:rFonts w:hint="eastAsia"/>
                <w:color w:val="auto"/>
                <w:highlight w:val="none"/>
                <w:lang w:val="en-US" w:eastAsia="zh-CN"/>
              </w:rPr>
              <w:t>6</w:t>
            </w:r>
            <w:r>
              <w:rPr>
                <w:rFonts w:hint="eastAsia"/>
                <w:color w:val="auto"/>
                <w:highlight w:val="none"/>
              </w:rPr>
              <w:t>分</w:t>
            </w:r>
          </w:p>
        </w:tc>
        <w:tc>
          <w:tcPr>
            <w:tcW w:w="7286" w:type="dxa"/>
            <w:shd w:val="clear" w:color="auto" w:fill="EBF1DE" w:themeFill="accent3" w:themeFillTint="32"/>
            <w:vAlign w:val="top"/>
          </w:tcPr>
          <w:p w14:paraId="464FB7A7">
            <w:pPr>
              <w:rPr>
                <w:rFonts w:hint="eastAsia"/>
                <w:color w:val="auto"/>
                <w:highlight w:val="none"/>
                <w:lang w:val="en-US" w:eastAsia="zh-CN"/>
              </w:rPr>
            </w:pPr>
            <w:r>
              <w:rPr>
                <w:rFonts w:hint="eastAsia"/>
                <w:color w:val="auto"/>
                <w:highlight w:val="none"/>
                <w:lang w:val="en-US" w:eastAsia="zh-CN"/>
              </w:rPr>
              <w:t>业绩（满分6分）</w:t>
            </w:r>
          </w:p>
          <w:p w14:paraId="7FAB8A65">
            <w:pPr>
              <w:rPr>
                <w:rFonts w:hint="eastAsia"/>
                <w:color w:val="auto"/>
                <w:highlight w:val="none"/>
              </w:rPr>
            </w:pPr>
            <w:r>
              <w:rPr>
                <w:rFonts w:hint="eastAsia"/>
                <w:color w:val="auto"/>
                <w:highlight w:val="none"/>
                <w:lang w:val="en-US" w:eastAsia="zh-CN"/>
              </w:rPr>
              <w:t>评审内容：</w:t>
            </w:r>
            <w:r>
              <w:rPr>
                <w:rFonts w:hint="eastAsia"/>
                <w:color w:val="auto"/>
                <w:highlight w:val="none"/>
              </w:rPr>
              <w:t>供应商提供近三年</w:t>
            </w:r>
            <w:r>
              <w:rPr>
                <w:rFonts w:hint="eastAsia"/>
                <w:color w:val="auto"/>
                <w:highlight w:val="none"/>
                <w:lang w:eastAsia="zh-CN"/>
              </w:rPr>
              <w:t>（2023年1月至今）</w:t>
            </w:r>
            <w:r>
              <w:rPr>
                <w:rFonts w:hint="eastAsia"/>
                <w:color w:val="auto"/>
                <w:highlight w:val="none"/>
              </w:rPr>
              <w:t>已完成的</w:t>
            </w:r>
            <w:r>
              <w:rPr>
                <w:rFonts w:hint="eastAsia"/>
                <w:color w:val="auto"/>
                <w:highlight w:val="none"/>
                <w:lang w:val="en-US" w:eastAsia="zh-CN"/>
              </w:rPr>
              <w:t>类似</w:t>
            </w:r>
            <w:r>
              <w:rPr>
                <w:rFonts w:hint="eastAsia"/>
                <w:color w:val="auto"/>
                <w:highlight w:val="none"/>
              </w:rPr>
              <w:t>项目业绩，每个</w:t>
            </w:r>
            <w:r>
              <w:rPr>
                <w:rFonts w:hint="eastAsia"/>
                <w:color w:val="auto"/>
                <w:highlight w:val="none"/>
                <w:lang w:val="en-US" w:eastAsia="zh-CN"/>
              </w:rPr>
              <w:t>类似</w:t>
            </w:r>
            <w:r>
              <w:rPr>
                <w:rFonts w:hint="eastAsia"/>
                <w:color w:val="auto"/>
                <w:highlight w:val="none"/>
              </w:rPr>
              <w:t>项目业绩得</w:t>
            </w:r>
            <w:r>
              <w:rPr>
                <w:rFonts w:hint="eastAsia"/>
                <w:color w:val="auto"/>
                <w:highlight w:val="none"/>
                <w:lang w:val="en-US" w:eastAsia="zh-CN"/>
              </w:rPr>
              <w:t>3</w:t>
            </w:r>
            <w:r>
              <w:rPr>
                <w:rFonts w:hint="eastAsia"/>
                <w:color w:val="auto"/>
                <w:highlight w:val="none"/>
              </w:rPr>
              <w:t>分，满分</w:t>
            </w:r>
            <w:r>
              <w:rPr>
                <w:rFonts w:hint="eastAsia"/>
                <w:color w:val="auto"/>
                <w:highlight w:val="none"/>
                <w:lang w:val="en-US" w:eastAsia="zh-CN"/>
              </w:rPr>
              <w:t>6</w:t>
            </w:r>
            <w:r>
              <w:rPr>
                <w:rFonts w:hint="eastAsia"/>
                <w:color w:val="auto"/>
                <w:highlight w:val="none"/>
              </w:rPr>
              <w:t>分。</w:t>
            </w:r>
          </w:p>
          <w:p w14:paraId="33A363DA">
            <w:pPr>
              <w:rPr>
                <w:color w:val="auto"/>
                <w:highlight w:val="none"/>
                <w:vertAlign w:val="baseline"/>
              </w:rPr>
            </w:pPr>
            <w:r>
              <w:rPr>
                <w:rFonts w:hint="eastAsia"/>
                <w:color w:val="auto"/>
                <w:highlight w:val="none"/>
                <w:lang w:val="en-US" w:eastAsia="zh-CN"/>
              </w:rPr>
              <w:t>赋分依据：</w:t>
            </w:r>
            <w:r>
              <w:rPr>
                <w:rFonts w:hint="eastAsia"/>
                <w:color w:val="auto"/>
                <w:highlight w:val="none"/>
              </w:rPr>
              <w:t>需</w:t>
            </w:r>
            <w:r>
              <w:rPr>
                <w:rFonts w:hint="eastAsia"/>
                <w:color w:val="auto"/>
                <w:highlight w:val="none"/>
                <w:lang w:val="en-US" w:eastAsia="zh-CN"/>
              </w:rPr>
              <w:t>提供</w:t>
            </w:r>
            <w:r>
              <w:rPr>
                <w:rFonts w:hint="eastAsia"/>
                <w:color w:val="auto"/>
                <w:highlight w:val="none"/>
              </w:rPr>
              <w:t>合同或中标通知书</w:t>
            </w:r>
            <w:r>
              <w:rPr>
                <w:rFonts w:hint="eastAsia"/>
                <w:color w:val="auto"/>
                <w:highlight w:val="none"/>
                <w:lang w:eastAsia="zh-CN"/>
              </w:rPr>
              <w:t>，</w:t>
            </w:r>
            <w:r>
              <w:rPr>
                <w:rFonts w:hint="eastAsia"/>
                <w:color w:val="auto"/>
                <w:highlight w:val="none"/>
              </w:rPr>
              <w:t>不提供</w:t>
            </w:r>
            <w:r>
              <w:rPr>
                <w:rFonts w:hint="eastAsia"/>
                <w:color w:val="auto"/>
                <w:highlight w:val="none"/>
                <w:lang w:eastAsia="zh-CN"/>
              </w:rPr>
              <w:t>的</w:t>
            </w:r>
            <w:r>
              <w:rPr>
                <w:rFonts w:hint="eastAsia"/>
                <w:color w:val="auto"/>
                <w:highlight w:val="none"/>
              </w:rPr>
              <w:t>不得分。</w:t>
            </w:r>
          </w:p>
        </w:tc>
      </w:tr>
      <w:tr w14:paraId="714B2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4" w:type="dxa"/>
            <w:shd w:val="clear" w:color="auto" w:fill="FDEADA" w:themeFill="accent6" w:themeFillTint="32"/>
            <w:vAlign w:val="center"/>
          </w:tcPr>
          <w:p w14:paraId="526512AD">
            <w:pPr>
              <w:jc w:val="center"/>
              <w:rPr>
                <w:rFonts w:hint="eastAsia"/>
                <w:color w:val="auto"/>
                <w:highlight w:val="none"/>
              </w:rPr>
            </w:pPr>
          </w:p>
          <w:p w14:paraId="0CD4EE48">
            <w:pPr>
              <w:jc w:val="center"/>
              <w:rPr>
                <w:rFonts w:hint="eastAsia"/>
                <w:color w:val="auto"/>
                <w:highlight w:val="none"/>
              </w:rPr>
            </w:pPr>
          </w:p>
          <w:p w14:paraId="6127F9FF">
            <w:pPr>
              <w:jc w:val="center"/>
              <w:rPr>
                <w:rFonts w:hint="eastAsia"/>
                <w:color w:val="auto"/>
                <w:highlight w:val="none"/>
              </w:rPr>
            </w:pPr>
          </w:p>
          <w:p w14:paraId="0294527C">
            <w:pPr>
              <w:jc w:val="center"/>
              <w:rPr>
                <w:color w:val="auto"/>
                <w:highlight w:val="none"/>
                <w:vertAlign w:val="baseline"/>
              </w:rPr>
            </w:pPr>
            <w:r>
              <w:rPr>
                <w:rFonts w:hint="eastAsia"/>
                <w:color w:val="auto"/>
                <w:highlight w:val="none"/>
              </w:rPr>
              <w:t>售后承诺</w:t>
            </w:r>
            <w:r>
              <w:rPr>
                <w:rFonts w:hint="eastAsia"/>
                <w:color w:val="auto"/>
                <w:highlight w:val="none"/>
                <w:lang w:val="en-US" w:eastAsia="zh-CN"/>
              </w:rPr>
              <w:t>及方案</w:t>
            </w:r>
          </w:p>
        </w:tc>
        <w:tc>
          <w:tcPr>
            <w:tcW w:w="881" w:type="dxa"/>
            <w:shd w:val="clear" w:color="auto" w:fill="FDEADA" w:themeFill="accent6" w:themeFillTint="32"/>
            <w:vAlign w:val="center"/>
          </w:tcPr>
          <w:p w14:paraId="127B38B5">
            <w:pPr>
              <w:jc w:val="center"/>
              <w:rPr>
                <w:rFonts w:hint="eastAsia"/>
                <w:color w:val="auto"/>
                <w:highlight w:val="none"/>
                <w:lang w:val="en-US" w:eastAsia="zh-CN"/>
              </w:rPr>
            </w:pPr>
          </w:p>
          <w:p w14:paraId="35C077C9">
            <w:pPr>
              <w:jc w:val="center"/>
              <w:rPr>
                <w:rFonts w:hint="eastAsia"/>
                <w:color w:val="auto"/>
                <w:highlight w:val="none"/>
                <w:lang w:val="en-US" w:eastAsia="zh-CN"/>
              </w:rPr>
            </w:pPr>
          </w:p>
          <w:p w14:paraId="48E1ECA3">
            <w:pPr>
              <w:jc w:val="center"/>
              <w:rPr>
                <w:color w:val="auto"/>
                <w:highlight w:val="none"/>
                <w:vertAlign w:val="baseline"/>
              </w:rPr>
            </w:pPr>
            <w:r>
              <w:rPr>
                <w:rFonts w:hint="eastAsia"/>
                <w:color w:val="auto"/>
                <w:highlight w:val="none"/>
                <w:lang w:val="en-US" w:eastAsia="zh-CN"/>
              </w:rPr>
              <w:t>12</w:t>
            </w:r>
            <w:r>
              <w:rPr>
                <w:rFonts w:hint="eastAsia"/>
                <w:color w:val="auto"/>
                <w:highlight w:val="none"/>
              </w:rPr>
              <w:t>分</w:t>
            </w:r>
          </w:p>
        </w:tc>
        <w:tc>
          <w:tcPr>
            <w:tcW w:w="7286" w:type="dxa"/>
            <w:shd w:val="clear" w:color="auto" w:fill="EBF1DE" w:themeFill="accent3" w:themeFillTint="32"/>
            <w:vAlign w:val="center"/>
          </w:tcPr>
          <w:p w14:paraId="40127907">
            <w:pPr>
              <w:rPr>
                <w:rFonts w:hint="eastAsia"/>
                <w:color w:val="auto"/>
                <w:highlight w:val="none"/>
                <w:lang w:val="en-US" w:eastAsia="zh-CN"/>
              </w:rPr>
            </w:pPr>
            <w:r>
              <w:rPr>
                <w:rFonts w:hint="eastAsia"/>
                <w:color w:val="auto"/>
                <w:highlight w:val="none"/>
                <w:lang w:val="en-US" w:eastAsia="zh-CN"/>
              </w:rPr>
              <w:t>一、评审内容</w:t>
            </w:r>
          </w:p>
          <w:p w14:paraId="507192DE">
            <w:pPr>
              <w:rPr>
                <w:rFonts w:hint="eastAsia"/>
                <w:color w:val="auto"/>
                <w:highlight w:val="none"/>
                <w:lang w:val="en-US" w:eastAsia="zh-CN"/>
              </w:rPr>
            </w:pPr>
            <w:r>
              <w:rPr>
                <w:rFonts w:hint="eastAsia"/>
                <w:color w:val="auto"/>
                <w:highlight w:val="none"/>
                <w:lang w:val="en-US" w:eastAsia="zh-CN"/>
              </w:rPr>
              <w:t>针对本项目售后提出承诺，制定相关方案，主要内容包括：</w:t>
            </w:r>
          </w:p>
          <w:p w14:paraId="5BB3014C">
            <w:pPr>
              <w:rPr>
                <w:rFonts w:hint="default"/>
                <w:color w:val="auto"/>
                <w:highlight w:val="none"/>
                <w:lang w:val="en-US" w:eastAsia="zh-CN"/>
              </w:rPr>
            </w:pPr>
            <w:r>
              <w:rPr>
                <w:rFonts w:hint="eastAsia"/>
                <w:color w:val="auto"/>
                <w:highlight w:val="none"/>
              </w:rPr>
              <w:t>①</w:t>
            </w:r>
            <w:r>
              <w:rPr>
                <w:rFonts w:hint="eastAsia"/>
                <w:color w:val="auto"/>
                <w:highlight w:val="none"/>
                <w:lang w:val="en-US" w:eastAsia="zh-CN"/>
              </w:rPr>
              <w:t>切实履行售后服务的承诺；②对花坛杂草垃圾等清理的承诺；③对保持良好的景观效果的承诺；④对缺失花卉的清理及补植补栽</w:t>
            </w:r>
            <w:r>
              <w:rPr>
                <w:rFonts w:hint="eastAsia"/>
                <w:color w:val="auto"/>
                <w:highlight w:val="none"/>
                <w:lang w:eastAsia="zh-CN"/>
              </w:rPr>
              <w:t>、</w:t>
            </w:r>
            <w:r>
              <w:rPr>
                <w:rFonts w:hint="eastAsia"/>
                <w:color w:val="auto"/>
                <w:highlight w:val="none"/>
                <w:lang w:val="en-US" w:eastAsia="zh-CN"/>
              </w:rPr>
              <w:t>清理回收、花架花箱花钵清洗、日常管护巡查的承诺；⑤对售后服务响应时间不高于24小时，且服务人员配备到位的承诺。⑥绿雕摆放前现场查验出现损坏的撤回更换，并对质量管护期内非人为损坏的进行更换，并对绿雕的质保方案进行承诺。</w:t>
            </w:r>
          </w:p>
          <w:p w14:paraId="7582564A">
            <w:pPr>
              <w:rPr>
                <w:rFonts w:hint="eastAsia"/>
                <w:color w:val="auto"/>
                <w:highlight w:val="none"/>
                <w:lang w:val="en-US" w:eastAsia="zh-CN"/>
              </w:rPr>
            </w:pPr>
            <w:r>
              <w:rPr>
                <w:rFonts w:hint="eastAsia"/>
                <w:color w:val="auto"/>
                <w:highlight w:val="none"/>
                <w:lang w:val="en-US" w:eastAsia="zh-CN"/>
              </w:rPr>
              <w:t>二、评审标准</w:t>
            </w:r>
          </w:p>
          <w:p w14:paraId="102B6D4F">
            <w:pPr>
              <w:rPr>
                <w:rFonts w:hint="eastAsia"/>
                <w:color w:val="auto"/>
                <w:highlight w:val="none"/>
                <w:lang w:val="en-US" w:eastAsia="zh-CN"/>
              </w:rPr>
            </w:pPr>
            <w:r>
              <w:rPr>
                <w:rFonts w:hint="eastAsia"/>
                <w:color w:val="auto"/>
                <w:highlight w:val="none"/>
              </w:rPr>
              <w:t>①</w:t>
            </w:r>
            <w:r>
              <w:rPr>
                <w:rFonts w:hint="eastAsia"/>
                <w:color w:val="auto"/>
                <w:highlight w:val="none"/>
                <w:lang w:val="en-US" w:eastAsia="zh-CN"/>
              </w:rPr>
              <w:t>对售后各项承诺要求有详细描述；</w:t>
            </w:r>
          </w:p>
          <w:p w14:paraId="2F52B5C8">
            <w:pPr>
              <w:rPr>
                <w:rFonts w:hint="eastAsia"/>
                <w:color w:val="auto"/>
                <w:highlight w:val="none"/>
                <w:lang w:val="en-US" w:eastAsia="zh-CN"/>
              </w:rPr>
            </w:pPr>
            <w:r>
              <w:rPr>
                <w:rFonts w:hint="eastAsia"/>
                <w:color w:val="auto"/>
                <w:highlight w:val="none"/>
                <w:lang w:val="en-US" w:eastAsia="zh-CN"/>
              </w:rPr>
              <w:t>②对售后各项承诺有保障落实的方案；</w:t>
            </w:r>
          </w:p>
          <w:p w14:paraId="4EAD61FA">
            <w:pPr>
              <w:rPr>
                <w:rFonts w:hint="eastAsia"/>
                <w:color w:val="auto"/>
                <w:highlight w:val="none"/>
                <w:lang w:val="en-US" w:eastAsia="zh-CN"/>
              </w:rPr>
            </w:pPr>
            <w:r>
              <w:rPr>
                <w:rFonts w:hint="eastAsia"/>
                <w:color w:val="auto"/>
                <w:highlight w:val="none"/>
                <w:lang w:val="en-US" w:eastAsia="zh-CN"/>
              </w:rPr>
              <w:t>三、赋分标准（满分10分）</w:t>
            </w:r>
          </w:p>
          <w:p w14:paraId="1D146E4C">
            <w:pPr>
              <w:rPr>
                <w:rFonts w:hint="eastAsia"/>
                <w:color w:val="auto"/>
                <w:highlight w:val="none"/>
                <w:lang w:val="en-US" w:eastAsia="zh-CN"/>
              </w:rPr>
            </w:pPr>
            <w:r>
              <w:rPr>
                <w:rFonts w:hint="eastAsia"/>
                <w:color w:val="auto"/>
                <w:highlight w:val="none"/>
              </w:rPr>
              <w:t>①</w:t>
            </w:r>
            <w:r>
              <w:rPr>
                <w:rFonts w:hint="eastAsia"/>
                <w:color w:val="auto"/>
                <w:highlight w:val="none"/>
                <w:lang w:val="en-US" w:eastAsia="zh-CN"/>
              </w:rPr>
              <w:t>切实履行售后服务的承诺：</w:t>
            </w:r>
            <w:r>
              <w:rPr>
                <w:rFonts w:hint="eastAsia"/>
                <w:color w:val="auto"/>
                <w:highlight w:val="none"/>
              </w:rPr>
              <w:t>每完全满足一项评审标准得</w:t>
            </w:r>
            <w:r>
              <w:rPr>
                <w:rFonts w:hint="eastAsia"/>
                <w:color w:val="auto"/>
                <w:highlight w:val="none"/>
                <w:lang w:val="en-US" w:eastAsia="zh-CN"/>
              </w:rPr>
              <w:t>1</w:t>
            </w:r>
            <w:r>
              <w:rPr>
                <w:rFonts w:hint="eastAsia"/>
                <w:color w:val="auto"/>
                <w:highlight w:val="none"/>
              </w:rPr>
              <w:t>分，满分</w:t>
            </w:r>
            <w:r>
              <w:rPr>
                <w:rFonts w:hint="eastAsia"/>
                <w:color w:val="auto"/>
                <w:highlight w:val="none"/>
                <w:lang w:val="en-US" w:eastAsia="zh-CN"/>
              </w:rPr>
              <w:t>2</w:t>
            </w:r>
            <w:r>
              <w:rPr>
                <w:rFonts w:hint="eastAsia"/>
                <w:color w:val="auto"/>
                <w:highlight w:val="none"/>
              </w:rPr>
              <w:t>分</w:t>
            </w:r>
            <w:r>
              <w:rPr>
                <w:rFonts w:hint="eastAsia"/>
                <w:color w:val="auto"/>
                <w:highlight w:val="none"/>
                <w:lang w:val="en-US" w:eastAsia="zh-CN"/>
              </w:rPr>
              <w:t>；</w:t>
            </w:r>
          </w:p>
          <w:p w14:paraId="58A8C889">
            <w:pPr>
              <w:rPr>
                <w:rFonts w:hint="eastAsia"/>
                <w:color w:val="auto"/>
                <w:highlight w:val="none"/>
                <w:lang w:val="en-US" w:eastAsia="zh-CN"/>
              </w:rPr>
            </w:pPr>
            <w:r>
              <w:rPr>
                <w:rFonts w:hint="eastAsia"/>
                <w:color w:val="auto"/>
                <w:highlight w:val="none"/>
                <w:lang w:val="en-US" w:eastAsia="zh-CN"/>
              </w:rPr>
              <w:t>②对花坛杂草垃圾等清理的承诺：</w:t>
            </w:r>
            <w:r>
              <w:rPr>
                <w:rFonts w:hint="eastAsia"/>
                <w:color w:val="auto"/>
                <w:highlight w:val="none"/>
              </w:rPr>
              <w:t>每完全满足一项评审标准得</w:t>
            </w:r>
            <w:r>
              <w:rPr>
                <w:rFonts w:hint="eastAsia"/>
                <w:color w:val="auto"/>
                <w:highlight w:val="none"/>
                <w:lang w:val="en-US" w:eastAsia="zh-CN"/>
              </w:rPr>
              <w:t>1</w:t>
            </w:r>
            <w:r>
              <w:rPr>
                <w:rFonts w:hint="eastAsia"/>
                <w:color w:val="auto"/>
                <w:highlight w:val="none"/>
              </w:rPr>
              <w:t>分，满分</w:t>
            </w:r>
            <w:r>
              <w:rPr>
                <w:rFonts w:hint="eastAsia"/>
                <w:color w:val="auto"/>
                <w:highlight w:val="none"/>
                <w:lang w:val="en-US" w:eastAsia="zh-CN"/>
              </w:rPr>
              <w:t>2</w:t>
            </w:r>
            <w:r>
              <w:rPr>
                <w:rFonts w:hint="eastAsia"/>
                <w:color w:val="auto"/>
                <w:highlight w:val="none"/>
              </w:rPr>
              <w:t>分</w:t>
            </w:r>
            <w:r>
              <w:rPr>
                <w:rFonts w:hint="eastAsia"/>
                <w:color w:val="auto"/>
                <w:highlight w:val="none"/>
                <w:lang w:val="en-US" w:eastAsia="zh-CN"/>
              </w:rPr>
              <w:t>；</w:t>
            </w:r>
          </w:p>
          <w:p w14:paraId="1DFB8A7B">
            <w:pPr>
              <w:rPr>
                <w:rFonts w:hint="eastAsia"/>
                <w:color w:val="auto"/>
                <w:highlight w:val="none"/>
                <w:lang w:val="en-US" w:eastAsia="zh-CN"/>
              </w:rPr>
            </w:pPr>
            <w:r>
              <w:rPr>
                <w:rFonts w:hint="eastAsia"/>
                <w:color w:val="auto"/>
                <w:highlight w:val="none"/>
                <w:lang w:val="en-US" w:eastAsia="zh-CN"/>
              </w:rPr>
              <w:t>③对保持良好的景观效果做出承诺：</w:t>
            </w:r>
            <w:r>
              <w:rPr>
                <w:rFonts w:hint="eastAsia"/>
                <w:color w:val="auto"/>
                <w:highlight w:val="none"/>
              </w:rPr>
              <w:t>每完全满足一项评审标准得</w:t>
            </w:r>
            <w:r>
              <w:rPr>
                <w:rFonts w:hint="eastAsia"/>
                <w:color w:val="auto"/>
                <w:highlight w:val="none"/>
                <w:lang w:val="en-US" w:eastAsia="zh-CN"/>
              </w:rPr>
              <w:t>1</w:t>
            </w:r>
            <w:r>
              <w:rPr>
                <w:rFonts w:hint="eastAsia"/>
                <w:color w:val="auto"/>
                <w:highlight w:val="none"/>
              </w:rPr>
              <w:t>分，满分</w:t>
            </w:r>
            <w:r>
              <w:rPr>
                <w:rFonts w:hint="eastAsia"/>
                <w:color w:val="auto"/>
                <w:highlight w:val="none"/>
                <w:lang w:val="en-US" w:eastAsia="zh-CN"/>
              </w:rPr>
              <w:t>2</w:t>
            </w:r>
            <w:r>
              <w:rPr>
                <w:rFonts w:hint="eastAsia"/>
                <w:color w:val="auto"/>
                <w:highlight w:val="none"/>
              </w:rPr>
              <w:t>分</w:t>
            </w:r>
            <w:r>
              <w:rPr>
                <w:rFonts w:hint="eastAsia"/>
                <w:color w:val="auto"/>
                <w:highlight w:val="none"/>
                <w:lang w:val="en-US" w:eastAsia="zh-CN"/>
              </w:rPr>
              <w:t>；</w:t>
            </w:r>
          </w:p>
          <w:p w14:paraId="2E0062C3">
            <w:pPr>
              <w:rPr>
                <w:rFonts w:hint="eastAsia"/>
                <w:color w:val="auto"/>
                <w:highlight w:val="none"/>
                <w:lang w:val="en-US" w:eastAsia="zh-CN"/>
              </w:rPr>
            </w:pPr>
            <w:r>
              <w:rPr>
                <w:rFonts w:hint="eastAsia"/>
                <w:color w:val="auto"/>
                <w:highlight w:val="none"/>
                <w:lang w:val="en-US" w:eastAsia="zh-CN"/>
              </w:rPr>
              <w:t>④对缺失花卉的清理及补植补栽</w:t>
            </w:r>
            <w:r>
              <w:rPr>
                <w:rFonts w:hint="eastAsia"/>
                <w:color w:val="auto"/>
                <w:highlight w:val="none"/>
                <w:lang w:eastAsia="zh-CN"/>
              </w:rPr>
              <w:t>、</w:t>
            </w:r>
            <w:r>
              <w:rPr>
                <w:rFonts w:hint="eastAsia"/>
                <w:color w:val="auto"/>
                <w:highlight w:val="none"/>
                <w:lang w:val="en-US" w:eastAsia="zh-CN"/>
              </w:rPr>
              <w:t>清理回收、花架花箱花钵清洗、日常管护巡查的承诺：</w:t>
            </w:r>
            <w:r>
              <w:rPr>
                <w:rFonts w:hint="eastAsia"/>
                <w:color w:val="auto"/>
                <w:highlight w:val="none"/>
              </w:rPr>
              <w:t>每完全满足一项评审标准得</w:t>
            </w:r>
            <w:r>
              <w:rPr>
                <w:rFonts w:hint="eastAsia"/>
                <w:color w:val="auto"/>
                <w:highlight w:val="none"/>
                <w:lang w:val="en-US" w:eastAsia="zh-CN"/>
              </w:rPr>
              <w:t>1</w:t>
            </w:r>
            <w:r>
              <w:rPr>
                <w:rFonts w:hint="eastAsia"/>
                <w:color w:val="auto"/>
                <w:highlight w:val="none"/>
              </w:rPr>
              <w:t>分，满分</w:t>
            </w:r>
            <w:r>
              <w:rPr>
                <w:rFonts w:hint="eastAsia"/>
                <w:color w:val="auto"/>
                <w:highlight w:val="none"/>
                <w:lang w:val="en-US" w:eastAsia="zh-CN"/>
              </w:rPr>
              <w:t>2</w:t>
            </w:r>
            <w:r>
              <w:rPr>
                <w:rFonts w:hint="eastAsia"/>
                <w:color w:val="auto"/>
                <w:highlight w:val="none"/>
              </w:rPr>
              <w:t>分</w:t>
            </w:r>
            <w:r>
              <w:rPr>
                <w:rFonts w:hint="eastAsia"/>
                <w:color w:val="auto"/>
                <w:highlight w:val="none"/>
                <w:lang w:val="en-US" w:eastAsia="zh-CN"/>
              </w:rPr>
              <w:t>；</w:t>
            </w:r>
          </w:p>
          <w:p w14:paraId="36A5FB45">
            <w:pPr>
              <w:rPr>
                <w:rFonts w:hint="eastAsia"/>
                <w:color w:val="auto"/>
                <w:highlight w:val="none"/>
                <w:lang w:eastAsia="zh-CN"/>
              </w:rPr>
            </w:pPr>
            <w:r>
              <w:rPr>
                <w:rFonts w:hint="eastAsia"/>
                <w:color w:val="auto"/>
                <w:highlight w:val="none"/>
                <w:lang w:val="en-US" w:eastAsia="zh-CN"/>
              </w:rPr>
              <w:t>⑤对售后服务响应时间不高于24小时，且服务人员配备到位的承诺：</w:t>
            </w:r>
            <w:r>
              <w:rPr>
                <w:rFonts w:hint="eastAsia"/>
                <w:color w:val="auto"/>
                <w:highlight w:val="none"/>
              </w:rPr>
              <w:t>每完全满足一项评审标准得</w:t>
            </w:r>
            <w:r>
              <w:rPr>
                <w:rFonts w:hint="eastAsia"/>
                <w:color w:val="auto"/>
                <w:highlight w:val="none"/>
                <w:lang w:val="en-US" w:eastAsia="zh-CN"/>
              </w:rPr>
              <w:t>1</w:t>
            </w:r>
            <w:r>
              <w:rPr>
                <w:rFonts w:hint="eastAsia"/>
                <w:color w:val="auto"/>
                <w:highlight w:val="none"/>
              </w:rPr>
              <w:t>分，满分</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14:paraId="6FB99A38">
            <w:pPr>
              <w:rPr>
                <w:rFonts w:hint="eastAsia"/>
                <w:color w:val="auto"/>
                <w:highlight w:val="none"/>
                <w:lang w:eastAsia="zh-CN"/>
              </w:rPr>
            </w:pPr>
            <w:r>
              <w:rPr>
                <w:rFonts w:hint="eastAsia"/>
                <w:color w:val="auto"/>
                <w:highlight w:val="none"/>
                <w:lang w:val="en-US" w:eastAsia="zh-CN"/>
              </w:rPr>
              <w:t>⑥绿雕摆放前现场查验出现损坏的撤回更换，并对质量管护期内非人为损坏的进行更换，并对绿雕的质保方案进行承诺。：</w:t>
            </w:r>
            <w:r>
              <w:rPr>
                <w:rFonts w:hint="eastAsia"/>
                <w:color w:val="auto"/>
                <w:highlight w:val="none"/>
              </w:rPr>
              <w:t>每完全满足一项评审标准得</w:t>
            </w:r>
            <w:r>
              <w:rPr>
                <w:rFonts w:hint="eastAsia"/>
                <w:color w:val="auto"/>
                <w:highlight w:val="none"/>
                <w:lang w:val="en-US" w:eastAsia="zh-CN"/>
              </w:rPr>
              <w:t>1</w:t>
            </w:r>
            <w:r>
              <w:rPr>
                <w:rFonts w:hint="eastAsia"/>
                <w:color w:val="auto"/>
                <w:highlight w:val="none"/>
              </w:rPr>
              <w:t>分，满分</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tc>
      </w:tr>
    </w:tbl>
    <w:p w14:paraId="370AB981">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本项目落实政府采购政策</w:t>
      </w:r>
    </w:p>
    <w:p w14:paraId="5821D7ED">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-1供应商政府采购政策</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本项目专门面向中小企业，价格不予折扣</w:t>
      </w:r>
      <w:r>
        <w:rPr>
          <w:rFonts w:hint="eastAsia" w:ascii="宋体" w:hAnsi="宋体" w:cs="宋体"/>
          <w:color w:val="auto"/>
          <w:sz w:val="24"/>
          <w:highlight w:val="none"/>
          <w:lang w:eastAsia="zh-CN"/>
        </w:rPr>
        <w:t>）</w:t>
      </w:r>
    </w:p>
    <w:p w14:paraId="57E0E5C8">
      <w:pPr>
        <w:adjustRightInd w:val="0"/>
        <w:snapToGrid w:val="0"/>
        <w:spacing w:line="480" w:lineRule="exact"/>
        <w:ind w:firstLine="480"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关于中小企业需</w:t>
      </w:r>
      <w:r>
        <w:rPr>
          <w:rFonts w:hint="eastAsia" w:ascii="宋体" w:hAnsi="宋体" w:cs="宋体"/>
          <w:color w:val="auto"/>
          <w:sz w:val="24"/>
          <w:highlight w:val="none"/>
        </w:rPr>
        <w:t>落实政府采购政策：</w:t>
      </w:r>
    </w:p>
    <w:p w14:paraId="7A5159E0">
      <w:pPr>
        <w:adjustRightInd w:val="0"/>
        <w:snapToGrid w:val="0"/>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 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根据《关于进一步加大政府采购支持中小企业力度的通知》(财库(2022)19号)的规定，</w:t>
      </w:r>
      <w:r>
        <w:rPr>
          <w:rFonts w:hint="eastAsia" w:ascii="宋体" w:hAnsi="宋体" w:cs="宋体"/>
          <w:color w:val="auto"/>
          <w:sz w:val="24"/>
          <w:highlight w:val="none"/>
          <w:lang w:val="en-US" w:eastAsia="zh-CN"/>
        </w:rPr>
        <w:t>采购代理机构应当对符合本办法规定的小微企业报价给予 6%—10%（工程项目为 3%—5%）</w:t>
      </w:r>
      <w:r>
        <w:rPr>
          <w:rFonts w:hint="eastAsia" w:ascii="宋体" w:hAnsi="宋体" w:cs="宋体"/>
          <w:color w:val="auto"/>
          <w:sz w:val="24"/>
          <w:highlight w:val="none"/>
        </w:rPr>
        <w:t>的扣除，用扣除后的价格参加评审。供应商提供的《</w:t>
      </w:r>
      <w:r>
        <w:rPr>
          <w:rFonts w:hint="eastAsia" w:ascii="宋体" w:hAnsi="宋体" w:cs="宋体"/>
          <w:color w:val="auto"/>
          <w:sz w:val="24"/>
          <w:highlight w:val="none"/>
          <w:lang w:eastAsia="zh-CN"/>
        </w:rPr>
        <w:t>中小企业声明函</w:t>
      </w:r>
      <w:r>
        <w:rPr>
          <w:rFonts w:hint="eastAsia" w:ascii="宋体" w:hAnsi="宋体" w:cs="宋体"/>
          <w:color w:val="auto"/>
          <w:sz w:val="24"/>
          <w:highlight w:val="none"/>
        </w:rPr>
        <w:t>》必须真实有效，如果被举报经查实出具虚假声明函的，将被取消投标资格，并按有关规定予以处理。</w:t>
      </w:r>
    </w:p>
    <w:p w14:paraId="73D2711F">
      <w:pPr>
        <w:adjustRightInd w:val="0"/>
        <w:snapToGrid w:val="0"/>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 监狱和戒毒企业落实政府采购政策：</w:t>
      </w:r>
    </w:p>
    <w:p w14:paraId="43A08D7D">
      <w:pPr>
        <w:adjustRightInd w:val="0"/>
        <w:snapToGrid w:val="0"/>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财政部、司法部联合下发的《关于政府采购支持监狱企业发展有关问题的通知》(财库﹝2014﹞68号)的规定，监狱企业视同小型、微型企业。提供由省级以上监狱管理局、戒毒管理局(含新疆生产建设兵团)出具的属于监狱企业的证明，复印件加盖公章。</w:t>
      </w:r>
    </w:p>
    <w:p w14:paraId="2BCC3667">
      <w:pPr>
        <w:adjustRightInd w:val="0"/>
        <w:snapToGrid w:val="0"/>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残疾人福利性单位落实政府采购政策</w:t>
      </w:r>
    </w:p>
    <w:p w14:paraId="6CDC7CE9">
      <w:pPr>
        <w:adjustRightInd w:val="0"/>
        <w:snapToGrid w:val="0"/>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F9D56FC">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 投标供应商应如实提供以上证明文件，如存在虚假应标，将取消其投标资格。</w:t>
      </w:r>
    </w:p>
    <w:p w14:paraId="716901CC">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-2投标产品政府采购政策</w:t>
      </w:r>
    </w:p>
    <w:p w14:paraId="0CE7FEBD">
      <w:pPr>
        <w:wordWrap w:val="0"/>
        <w:adjustRightInd w:val="0"/>
        <w:snapToGrid w:val="0"/>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（1）节能产品根据《国务院办公厅关于建立政府强制采购节能产品制度的通知》 （国办发[2008]51号）的规定 ，以中国政府采购网（http://www.ccgp.gov.cn/）公布的最新一期节能产品政府采购清单为准。</w:t>
      </w:r>
    </w:p>
    <w:p w14:paraId="7EF9ABBF">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（2）环境标志产品根据《环境标志产品政府采购实施的意见》 （财库[2006]90号）的规定，以中国政府采购网（http://www.ccgp.gov.cn/）公布的最新一期环境标志产品政府采购清单为准。</w:t>
      </w:r>
    </w:p>
    <w:p w14:paraId="4B263D3F">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4E0249DA">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（4）若节能、环保、环境标志清单内的产品仅是构成投标产品的部件、组件或零件的，则该投标产品不享受鼓励优惠政策。</w:t>
      </w:r>
    </w:p>
    <w:p w14:paraId="23D56C41">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（5）同</w:t>
      </w:r>
      <w:r>
        <w:rPr>
          <w:rFonts w:hint="eastAsia" w:ascii="宋体" w:hAnsi="宋体" w:cs="宋体"/>
          <w:color w:val="auto"/>
          <w:sz w:val="24"/>
          <w:highlight w:val="none"/>
          <w:lang w:eastAsia="zh-CN"/>
        </w:rPr>
        <w:t>一标段</w:t>
      </w:r>
      <w:r>
        <w:rPr>
          <w:rFonts w:hint="eastAsia" w:ascii="宋体" w:hAnsi="宋体" w:cs="宋体"/>
          <w:color w:val="auto"/>
          <w:sz w:val="24"/>
          <w:highlight w:val="none"/>
        </w:rPr>
        <w:t>的节能、环保、环境标志产品部分优惠只对属于清单内的非强制类产品进行优惠，强制类产品不给予优惠。</w:t>
      </w:r>
    </w:p>
    <w:p w14:paraId="6E693BD5">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（6）节能、环保、环境标志产品不重复优惠；同时列入国家级清单和省级清单的产品不重复优惠。</w:t>
      </w:r>
    </w:p>
    <w:p w14:paraId="7097349B">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（7）获得上述认证的产品在投标时应提供有效证明材料。以上所有证明文件复印件须加盖供应商公章并注明“与原件一致”，否则不予优惠。</w:t>
      </w:r>
    </w:p>
    <w:p w14:paraId="03D96C98">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（8）陕西省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企业政府采购信用融资</w:t>
      </w:r>
    </w:p>
    <w:p w14:paraId="790D11BF">
      <w:pPr>
        <w:wordWrap w:val="0"/>
        <w:adjustRightInd w:val="0"/>
        <w:snapToGrid w:val="0"/>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为了进一步推动金融支持政策更好适应市场主体的需要，扎实落实国务院关于支持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企业发展的政策措施，积极发挥政府采购政策功能，有效</w:t>
      </w:r>
      <w:r>
        <w:rPr>
          <w:rFonts w:hint="eastAsia" w:ascii="宋体" w:hAnsi="宋体" w:cs="宋体"/>
          <w:color w:val="auto"/>
          <w:sz w:val="24"/>
          <w:highlight w:val="none"/>
          <w:lang w:val="en-US" w:eastAsia="zh-CN"/>
        </w:rPr>
        <w:t>环节中小</w:t>
      </w:r>
      <w:r>
        <w:rPr>
          <w:rFonts w:hint="eastAsia" w:ascii="宋体" w:hAnsi="宋体" w:cs="宋体"/>
          <w:color w:val="auto"/>
          <w:sz w:val="24"/>
          <w:highlight w:val="none"/>
        </w:rPr>
        <w:t>企业融资难、融资贵问题，根据中办、国办《关于促进</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企业健康发展的指导意见》、财政部、工信部《政府采购促进</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企业发展管理办法》（财库〔2020〕46 号）、《陕西省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企业政府采购信用融资办法》（陕财办采[2018]23 号）、《陕西省财政厅关于加快推进我省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 xml:space="preserve">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3D54F0C8">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1D371A1D">
      <w:pPr>
        <w:numPr>
          <w:ilvl w:val="0"/>
          <w:numId w:val="0"/>
        </w:num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kern w:val="2"/>
          <w:sz w:val="24"/>
          <w:szCs w:val="22"/>
          <w:lang w:val="en-US" w:eastAsia="zh-CN" w:bidi="ar-SA"/>
        </w:rPr>
        <w:t>9.</w:t>
      </w:r>
      <w:r>
        <w:rPr>
          <w:rFonts w:hint="eastAsia" w:ascii="宋体" w:hAnsi="宋体" w:cs="宋体"/>
          <w:color w:val="auto"/>
          <w:sz w:val="24"/>
          <w:highlight w:val="none"/>
        </w:rPr>
        <w:t>价格优惠比例</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本项目专门面向中小企业，价格不予折扣</w:t>
      </w:r>
      <w:r>
        <w:rPr>
          <w:rFonts w:hint="eastAsia" w:ascii="宋体" w:hAnsi="宋体" w:cs="宋体"/>
          <w:color w:val="auto"/>
          <w:sz w:val="24"/>
          <w:highlight w:val="none"/>
          <w:lang w:eastAsia="zh-CN"/>
        </w:rPr>
        <w:t>）</w:t>
      </w:r>
    </w:p>
    <w:p w14:paraId="5AF17CC7">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（1）供应商优惠比例符合招标文件规定的</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企业、监狱企业或残疾人福利性单位优惠条件的供应商，价格给予6%的扣除（不重复优惠，最高为6%），用扣除后的价格参与评审。</w:t>
      </w:r>
    </w:p>
    <w:p w14:paraId="1DD71B04">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（2）投标产品优惠比例投标产品为节能、环保、环境标志产品清单中的产品，符合招标文件要求的，价格给予6%的扣除（不重复优惠，最高为6%），用扣除后的价格参与评审。</w:t>
      </w:r>
    </w:p>
    <w:p w14:paraId="77B42AD1">
      <w:pPr>
        <w:spacing w:line="520" w:lineRule="exact"/>
        <w:ind w:firstLine="480" w:firstLineChars="200"/>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评审委员会对进入详细评审的供应商进行综合评分，根据得分由高到低，推荐出一个以上三个以下中标候选单位。如果综合评分出现两个供应商得分相同的情况，得分相同的，按投标报价由低到高顺序排列；得分且投标报价相同的并列。投标文件满足招标文件全部实质性要求，且按照评审因素的量化指标评审得分最高的供应商为排名第一的中标候选人。</w:t>
      </w:r>
    </w:p>
    <w:p w14:paraId="01977E5D">
      <w:pPr>
        <w:adjustRightInd w:val="0"/>
        <w:snapToGrid w:val="0"/>
        <w:spacing w:line="520" w:lineRule="exact"/>
        <w:ind w:firstLine="645"/>
        <w:jc w:val="left"/>
        <w:outlineLvl w:val="0"/>
        <w:rPr>
          <w:rFonts w:ascii="宋体" w:hAnsi="宋体" w:cs="宋体"/>
          <w:b/>
          <w:color w:val="auto"/>
          <w:sz w:val="24"/>
          <w:szCs w:val="24"/>
          <w:highlight w:val="none"/>
        </w:rPr>
      </w:pPr>
      <w:bookmarkStart w:id="0" w:name="_Toc5790"/>
      <w:bookmarkStart w:id="1" w:name="_Toc4735"/>
      <w:bookmarkStart w:id="2" w:name="_Toc17871"/>
      <w:r>
        <w:rPr>
          <w:rFonts w:hint="eastAsia" w:ascii="宋体" w:hAnsi="宋体" w:cs="宋体"/>
          <w:b/>
          <w:color w:val="auto"/>
          <w:sz w:val="24"/>
          <w:szCs w:val="24"/>
          <w:highlight w:val="none"/>
        </w:rPr>
        <w:t>九、确定中标单位</w:t>
      </w:r>
      <w:bookmarkEnd w:id="0"/>
      <w:bookmarkEnd w:id="1"/>
      <w:bookmarkEnd w:id="2"/>
    </w:p>
    <w:p w14:paraId="59CAEEB4">
      <w:pPr>
        <w:snapToGrid w:val="0"/>
        <w:spacing w:line="520" w:lineRule="exact"/>
        <w:ind w:firstLine="578"/>
        <w:jc w:val="left"/>
        <w:rPr>
          <w:rFonts w:ascii="宋体" w:hAnsi="宋体" w:cs="宋体"/>
          <w:color w:val="auto"/>
          <w:sz w:val="24"/>
          <w:szCs w:val="24"/>
          <w:highlight w:val="none"/>
        </w:rPr>
      </w:pPr>
      <w:r>
        <w:rPr>
          <w:rFonts w:hint="eastAsia" w:ascii="宋体" w:hAnsi="宋体" w:cs="宋体"/>
          <w:color w:val="auto"/>
          <w:sz w:val="24"/>
          <w:szCs w:val="24"/>
          <w:highlight w:val="none"/>
        </w:rPr>
        <w:t>1、依据评审结果编写评标结果报告，送</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w:t>
      </w:r>
    </w:p>
    <w:p w14:paraId="210DC257">
      <w:pPr>
        <w:snapToGrid w:val="0"/>
        <w:spacing w:line="520" w:lineRule="exact"/>
        <w:ind w:firstLine="578"/>
        <w:jc w:val="left"/>
        <w:rPr>
          <w:rFonts w:ascii="宋体" w:hAnsi="宋体" w:cs="宋体"/>
          <w:color w:val="auto"/>
          <w:sz w:val="24"/>
          <w:szCs w:val="24"/>
          <w:highlight w:val="none"/>
        </w:rPr>
      </w:pPr>
      <w:r>
        <w:rPr>
          <w:rFonts w:hint="eastAsia" w:ascii="宋体" w:hAnsi="宋体" w:cs="宋体"/>
          <w:color w:val="auto"/>
          <w:sz w:val="24"/>
          <w:szCs w:val="24"/>
          <w:highlight w:val="none"/>
        </w:rPr>
        <w:t>2、在投标文件规定的有效期内，</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在审查评标结果报告的基础上确定中标单位，并复函</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接到复函后，向确定的中标单位发出“中标通知书”。</w:t>
      </w:r>
    </w:p>
    <w:p w14:paraId="301709C9">
      <w:pPr>
        <w:adjustRightInd w:val="0"/>
        <w:snapToGrid w:val="0"/>
        <w:spacing w:line="520" w:lineRule="exact"/>
        <w:ind w:left="570"/>
        <w:outlineLvl w:val="0"/>
        <w:rPr>
          <w:rFonts w:ascii="宋体" w:hAnsi="宋体" w:cs="宋体"/>
          <w:b/>
          <w:color w:val="auto"/>
          <w:sz w:val="24"/>
          <w:szCs w:val="24"/>
          <w:highlight w:val="none"/>
        </w:rPr>
      </w:pPr>
      <w:bookmarkStart w:id="3" w:name="_Toc6237"/>
      <w:bookmarkStart w:id="4" w:name="_Toc21757"/>
      <w:bookmarkStart w:id="5" w:name="_Toc32200"/>
      <w:r>
        <w:rPr>
          <w:rFonts w:hint="eastAsia" w:ascii="宋体" w:hAnsi="宋体" w:cs="宋体"/>
          <w:b/>
          <w:color w:val="auto"/>
          <w:sz w:val="24"/>
          <w:szCs w:val="24"/>
          <w:highlight w:val="none"/>
        </w:rPr>
        <w:t>十、合同</w:t>
      </w:r>
      <w:bookmarkEnd w:id="3"/>
      <w:bookmarkEnd w:id="4"/>
      <w:bookmarkEnd w:id="5"/>
    </w:p>
    <w:p w14:paraId="2999CC07">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1、中标通知书发出后，中标单位与</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洽谈合同条款，并签订合同。招标文件及中标单位投标文件均作为合同的组成部分。</w:t>
      </w:r>
    </w:p>
    <w:p w14:paraId="6EF762B6">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2、监督机构在合同履行期间以及履行期后，可以随时检查项目的执行情况，对采购标准、招标内容进行调查核实，并对发现的问题进行处理。</w:t>
      </w:r>
    </w:p>
    <w:p w14:paraId="5F259A98">
      <w:pPr>
        <w:adjustRightInd w:val="0"/>
        <w:snapToGrid w:val="0"/>
        <w:spacing w:line="520" w:lineRule="exact"/>
        <w:ind w:left="570"/>
        <w:outlineLvl w:val="0"/>
        <w:rPr>
          <w:rFonts w:hint="eastAsia" w:ascii="宋体" w:hAnsi="宋体" w:eastAsia="宋体" w:cs="宋体"/>
          <w:b/>
          <w:color w:val="auto"/>
          <w:sz w:val="24"/>
          <w:szCs w:val="24"/>
          <w:highlight w:val="none"/>
          <w:lang w:eastAsia="zh-CN"/>
        </w:rPr>
      </w:pPr>
      <w:bookmarkStart w:id="6" w:name="_Toc6652"/>
      <w:bookmarkStart w:id="7" w:name="_Toc1921"/>
      <w:bookmarkStart w:id="8" w:name="_Toc7586"/>
      <w:r>
        <w:rPr>
          <w:rFonts w:hint="eastAsia" w:ascii="宋体" w:hAnsi="宋体" w:cs="宋体"/>
          <w:b/>
          <w:color w:val="auto"/>
          <w:sz w:val="24"/>
          <w:szCs w:val="24"/>
          <w:highlight w:val="none"/>
        </w:rPr>
        <w:t>十一、</w:t>
      </w:r>
      <w:bookmarkEnd w:id="6"/>
      <w:bookmarkEnd w:id="7"/>
      <w:bookmarkEnd w:id="8"/>
      <w:bookmarkStart w:id="9" w:name="_Toc18460"/>
      <w:bookmarkStart w:id="10" w:name="_Toc5560"/>
      <w:bookmarkStart w:id="11" w:name="_Toc7564"/>
      <w:r>
        <w:rPr>
          <w:rFonts w:hint="eastAsia" w:ascii="宋体" w:hAnsi="宋体" w:cs="宋体"/>
          <w:b/>
          <w:color w:val="auto"/>
          <w:sz w:val="24"/>
          <w:szCs w:val="24"/>
          <w:highlight w:val="none"/>
          <w:lang w:eastAsia="zh-CN"/>
        </w:rPr>
        <w:t>代理服务费</w:t>
      </w:r>
    </w:p>
    <w:p w14:paraId="69797C7C">
      <w:pPr>
        <w:adjustRightInd w:val="0"/>
        <w:snapToGrid w:val="0"/>
        <w:spacing w:line="520" w:lineRule="exact"/>
        <w:ind w:firstLine="480" w:firstLineChars="200"/>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代理</w:t>
      </w:r>
      <w:r>
        <w:rPr>
          <w:rFonts w:hint="eastAsia" w:ascii="宋体" w:hAnsi="宋体" w:cs="宋体"/>
          <w:bCs/>
          <w:color w:val="auto"/>
          <w:sz w:val="24"/>
          <w:szCs w:val="24"/>
          <w:highlight w:val="none"/>
        </w:rPr>
        <w:t>服务费</w:t>
      </w:r>
      <w:r>
        <w:rPr>
          <w:rFonts w:hint="eastAsia" w:ascii="宋体" w:hAnsi="宋体" w:cs="宋体"/>
          <w:bCs/>
          <w:color w:val="auto"/>
          <w:sz w:val="24"/>
          <w:szCs w:val="24"/>
          <w:highlight w:val="none"/>
          <w:lang w:val="en-US" w:eastAsia="zh-CN"/>
        </w:rPr>
        <w:t>在招标结束后领取中标通知书时向</w:t>
      </w:r>
      <w:r>
        <w:rPr>
          <w:rFonts w:hint="eastAsia" w:ascii="宋体" w:hAnsi="宋体" w:cs="宋体"/>
          <w:bCs/>
          <w:color w:val="auto"/>
          <w:sz w:val="24"/>
          <w:szCs w:val="24"/>
          <w:highlight w:val="none"/>
        </w:rPr>
        <w:t>代理机构支付。</w:t>
      </w:r>
    </w:p>
    <w:p w14:paraId="4731BB2D">
      <w:pPr>
        <w:pStyle w:val="25"/>
        <w:spacing w:line="520" w:lineRule="exact"/>
        <w:ind w:firstLine="480" w:firstLineChars="200"/>
        <w:rPr>
          <w:rFonts w:hint="eastAsia" w:ascii="宋体" w:hAnsi="宋体" w:eastAsia="宋体" w:cs="宋体"/>
          <w:color w:val="auto"/>
          <w:spacing w:val="14"/>
          <w:sz w:val="24"/>
          <w:szCs w:val="24"/>
          <w:highlight w:val="none"/>
          <w:lang w:val="en-US" w:eastAsia="zh-CN"/>
        </w:rPr>
      </w:pPr>
      <w:r>
        <w:rPr>
          <w:rFonts w:hint="eastAsia" w:ascii="宋体" w:hAnsi="宋体" w:cs="宋体"/>
          <w:bCs/>
          <w:color w:val="auto"/>
          <w:sz w:val="24"/>
          <w:szCs w:val="24"/>
          <w:highlight w:val="none"/>
        </w:rPr>
        <w:t>2、</w:t>
      </w:r>
      <w:r>
        <w:rPr>
          <w:rFonts w:hint="eastAsia" w:ascii="宋体" w:hAnsi="宋体" w:cs="宋体"/>
          <w:color w:val="auto"/>
          <w:spacing w:val="6"/>
          <w:sz w:val="24"/>
          <w:highlight w:val="none"/>
        </w:rPr>
        <w:t>招标代理服务费</w:t>
      </w:r>
      <w:r>
        <w:rPr>
          <w:rFonts w:hint="eastAsia" w:ascii="宋体" w:hAnsi="宋体" w:cs="宋体"/>
          <w:color w:val="auto"/>
          <w:spacing w:val="14"/>
          <w:sz w:val="24"/>
          <w:szCs w:val="24"/>
          <w:highlight w:val="none"/>
        </w:rPr>
        <w:t>依据《关于降低部分建设项目收费标准规范收费行为等有关问题的通知》（〔2011〕534号）</w:t>
      </w:r>
      <w:r>
        <w:rPr>
          <w:rFonts w:hint="eastAsia" w:ascii="宋体" w:hAnsi="宋体" w:cs="宋体"/>
          <w:color w:val="auto"/>
          <w:spacing w:val="14"/>
          <w:sz w:val="24"/>
          <w:szCs w:val="24"/>
          <w:highlight w:val="none"/>
          <w:lang w:val="en-US" w:eastAsia="zh-CN"/>
        </w:rPr>
        <w:t>和</w:t>
      </w:r>
      <w:r>
        <w:rPr>
          <w:rFonts w:hint="eastAsia" w:ascii="宋体" w:hAnsi="宋体" w:cs="宋体"/>
          <w:color w:val="auto"/>
          <w:spacing w:val="14"/>
          <w:sz w:val="24"/>
          <w:szCs w:val="24"/>
          <w:highlight w:val="none"/>
        </w:rPr>
        <w:t>《招标代理业务收费管理暂行办法》（计价格〔2002〕1980号）</w:t>
      </w:r>
      <w:r>
        <w:rPr>
          <w:rFonts w:hint="eastAsia" w:ascii="宋体" w:hAnsi="宋体" w:cs="宋体"/>
          <w:color w:val="auto"/>
          <w:spacing w:val="14"/>
          <w:sz w:val="24"/>
          <w:szCs w:val="24"/>
          <w:highlight w:val="none"/>
          <w:lang w:val="en-US" w:eastAsia="zh-CN"/>
        </w:rPr>
        <w:t>计取。</w:t>
      </w:r>
    </w:p>
    <w:p w14:paraId="5E5C5F50">
      <w:pPr>
        <w:pStyle w:val="25"/>
        <w:spacing w:line="52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代理</w:t>
      </w:r>
      <w:r>
        <w:rPr>
          <w:rFonts w:hint="eastAsia" w:ascii="宋体" w:hAnsi="宋体" w:cs="宋体"/>
          <w:bCs/>
          <w:color w:val="auto"/>
          <w:sz w:val="24"/>
          <w:szCs w:val="24"/>
          <w:highlight w:val="none"/>
        </w:rPr>
        <w:t>服务费缴纳方式：现金缴纳或银行转账。</w:t>
      </w:r>
    </w:p>
    <w:p w14:paraId="41B0EA21">
      <w:pPr>
        <w:spacing w:before="75" w:line="376" w:lineRule="auto"/>
        <w:ind w:left="25" w:right="13" w:firstLine="476"/>
        <w:rPr>
          <w:rFonts w:ascii="宋体" w:hAnsi="宋体" w:cs="宋体"/>
          <w:b/>
          <w:bCs/>
          <w:color w:val="auto"/>
          <w:spacing w:val="7"/>
          <w:sz w:val="24"/>
          <w:highlight w:val="none"/>
        </w:rPr>
      </w:pPr>
      <w:r>
        <w:rPr>
          <w:rFonts w:hint="eastAsia" w:ascii="宋体" w:hAnsi="宋体" w:cs="宋体"/>
          <w:b/>
          <w:bCs/>
          <w:color w:val="auto"/>
          <w:spacing w:val="7"/>
          <w:sz w:val="24"/>
          <w:highlight w:val="none"/>
          <w:lang w:val="en-US" w:eastAsia="zh-CN"/>
        </w:rPr>
        <w:t>代理</w:t>
      </w:r>
      <w:r>
        <w:rPr>
          <w:rFonts w:hint="eastAsia" w:ascii="宋体" w:hAnsi="宋体" w:cs="宋体"/>
          <w:b/>
          <w:bCs/>
          <w:color w:val="auto"/>
          <w:spacing w:val="7"/>
          <w:sz w:val="24"/>
          <w:highlight w:val="none"/>
        </w:rPr>
        <w:t>服务费缴纳账户：</w:t>
      </w:r>
    </w:p>
    <w:bookmarkEnd w:id="9"/>
    <w:bookmarkEnd w:id="10"/>
    <w:bookmarkEnd w:id="11"/>
    <w:p w14:paraId="575BAC5B">
      <w:pPr>
        <w:spacing w:line="520" w:lineRule="exact"/>
        <w:ind w:firstLine="482"/>
        <w:rPr>
          <w:rFonts w:hint="eastAsia" w:ascii="宋体" w:hAnsi="宋体" w:cs="宋体"/>
          <w:b/>
          <w:bCs/>
          <w:color w:val="auto"/>
          <w:spacing w:val="7"/>
          <w:sz w:val="24"/>
          <w:highlight w:val="none"/>
        </w:rPr>
      </w:pPr>
      <w:r>
        <w:rPr>
          <w:rFonts w:hint="eastAsia" w:ascii="宋体" w:hAnsi="宋体" w:cs="宋体"/>
          <w:b/>
          <w:bCs/>
          <w:color w:val="auto"/>
          <w:spacing w:val="7"/>
          <w:sz w:val="24"/>
          <w:highlight w:val="none"/>
        </w:rPr>
        <w:t>账户名称：陕西中源项目管理有限公司安康分公司</w:t>
      </w:r>
    </w:p>
    <w:p w14:paraId="4FDCB2B8">
      <w:pPr>
        <w:spacing w:line="520" w:lineRule="exact"/>
        <w:ind w:firstLine="482"/>
        <w:rPr>
          <w:rFonts w:hint="eastAsia" w:ascii="宋体" w:hAnsi="宋体" w:cs="宋体"/>
          <w:b/>
          <w:bCs/>
          <w:color w:val="auto"/>
          <w:spacing w:val="7"/>
          <w:sz w:val="24"/>
          <w:highlight w:val="none"/>
        </w:rPr>
      </w:pPr>
      <w:r>
        <w:rPr>
          <w:rFonts w:hint="eastAsia" w:ascii="宋体" w:hAnsi="宋体" w:cs="宋体"/>
          <w:b/>
          <w:bCs/>
          <w:color w:val="auto"/>
          <w:spacing w:val="7"/>
          <w:sz w:val="24"/>
          <w:highlight w:val="none"/>
        </w:rPr>
        <w:t>账户号码：61050166221100001006</w:t>
      </w:r>
    </w:p>
    <w:p w14:paraId="791EAB36">
      <w:pPr>
        <w:spacing w:line="520" w:lineRule="exact"/>
        <w:ind w:firstLine="482"/>
        <w:rPr>
          <w:rFonts w:hint="eastAsia" w:ascii="宋体" w:hAnsi="宋体" w:cs="宋体"/>
          <w:b/>
          <w:bCs/>
          <w:color w:val="auto"/>
          <w:spacing w:val="7"/>
          <w:sz w:val="24"/>
          <w:highlight w:val="none"/>
        </w:rPr>
      </w:pPr>
      <w:r>
        <w:rPr>
          <w:rFonts w:hint="eastAsia" w:ascii="宋体" w:hAnsi="宋体" w:cs="宋体"/>
          <w:b/>
          <w:bCs/>
          <w:color w:val="auto"/>
          <w:spacing w:val="7"/>
          <w:sz w:val="24"/>
          <w:highlight w:val="none"/>
        </w:rPr>
        <w:t>开户银行：中国建设银行股份有限公司安康兴安路支行</w:t>
      </w:r>
    </w:p>
    <w:p w14:paraId="0D42CC95">
      <w:pPr>
        <w:spacing w:line="52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十二、公开招标拟转为竞争性谈判程序</w:t>
      </w:r>
    </w:p>
    <w:p w14:paraId="5C88C887">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招标过程中提交投标文件或者经评审实质性响应招标文件要求的供应商只有两家时，采购人、采购代理机构依据《政府采购非招标</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式管理办法》（财政部令第74号）第二十七条第二款规定并经本级财政部门批准后可以与该两家供应商进行竞争性谈判采购，具体程序如下：</w:t>
      </w:r>
    </w:p>
    <w:p w14:paraId="650CB409">
      <w:pPr>
        <w:numPr>
          <w:ilvl w:val="0"/>
          <w:numId w:val="2"/>
        </w:numPr>
        <w:spacing w:line="520" w:lineRule="exact"/>
        <w:ind w:firstLine="480"/>
        <w:rPr>
          <w:rFonts w:ascii="宋体" w:hAnsi="宋体" w:cs="宋体"/>
          <w:b/>
          <w:color w:val="auto"/>
          <w:kern w:val="1"/>
          <w:sz w:val="24"/>
          <w:szCs w:val="24"/>
          <w:highlight w:val="none"/>
        </w:rPr>
      </w:pPr>
      <w:r>
        <w:rPr>
          <w:rFonts w:hint="eastAsia" w:ascii="宋体" w:hAnsi="宋体" w:cs="宋体"/>
          <w:b/>
          <w:color w:val="auto"/>
          <w:kern w:val="1"/>
          <w:sz w:val="24"/>
          <w:szCs w:val="24"/>
          <w:highlight w:val="none"/>
        </w:rPr>
        <w:t>谈判小组</w:t>
      </w:r>
    </w:p>
    <w:p w14:paraId="5E372B1C">
      <w:pPr>
        <w:numPr>
          <w:ilvl w:val="0"/>
          <w:numId w:val="3"/>
        </w:numPr>
        <w:spacing w:line="5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原公开招标组建的评标委员会现转为谈判小组。</w:t>
      </w:r>
    </w:p>
    <w:p w14:paraId="7B4287F7">
      <w:pPr>
        <w:numPr>
          <w:ilvl w:val="0"/>
          <w:numId w:val="3"/>
        </w:numPr>
        <w:spacing w:line="52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谈判小组负责谈判工作，对谈判响应文件进行审查和评估，并向采购人提交书面提交评审报告，推荐成交候选人。</w:t>
      </w:r>
    </w:p>
    <w:p w14:paraId="3420F015">
      <w:pPr>
        <w:spacing w:line="520" w:lineRule="exact"/>
        <w:ind w:firstLine="482"/>
        <w:rPr>
          <w:rFonts w:ascii="宋体" w:hAnsi="宋体" w:cs="宋体"/>
          <w:color w:val="auto"/>
          <w:kern w:val="1"/>
          <w:sz w:val="24"/>
          <w:szCs w:val="24"/>
          <w:highlight w:val="none"/>
        </w:rPr>
      </w:pPr>
      <w:r>
        <w:rPr>
          <w:rFonts w:hint="eastAsia" w:ascii="宋体" w:hAnsi="宋体" w:cs="宋体"/>
          <w:b/>
          <w:color w:val="auto"/>
          <w:kern w:val="1"/>
          <w:sz w:val="24"/>
          <w:szCs w:val="24"/>
          <w:highlight w:val="none"/>
        </w:rPr>
        <w:t>2、谈判</w:t>
      </w:r>
      <w:r>
        <w:rPr>
          <w:rFonts w:hint="eastAsia" w:ascii="宋体" w:hAnsi="宋体" w:cs="宋体"/>
          <w:b/>
          <w:bCs/>
          <w:color w:val="auto"/>
          <w:kern w:val="1"/>
          <w:sz w:val="24"/>
          <w:szCs w:val="24"/>
          <w:highlight w:val="none"/>
        </w:rPr>
        <w:t>程序</w:t>
      </w:r>
      <w:r>
        <w:rPr>
          <w:rFonts w:hint="eastAsia" w:ascii="宋体" w:hAnsi="宋体" w:cs="宋体"/>
          <w:bCs/>
          <w:color w:val="auto"/>
          <w:kern w:val="1"/>
          <w:sz w:val="24"/>
          <w:szCs w:val="24"/>
          <w:highlight w:val="none"/>
        </w:rPr>
        <w:t>：</w:t>
      </w:r>
    </w:p>
    <w:p w14:paraId="730B8CFC">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谈判的全过程分为第一次谈判报价（原参加公开招标的投标供应商的投标报价作为第一次谈判报价）、资质审查、谈判过程、第二次谈判报价、最终评审等阶段，最终报价采取集中报价形式。</w:t>
      </w:r>
    </w:p>
    <w:p w14:paraId="3DCD726D">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通过资质审查合格的各供应商，只有在谈判响应文件（原参加公开招标的投标供应商的投标文件作为谈判响应文件）及谈判承诺符合谈判文件要求和满足技术、商务需要的才有最终报价和评审的机会。谈判小组按其最终承诺和报价内容，推荐成交候选单位排序。</w:t>
      </w:r>
    </w:p>
    <w:p w14:paraId="2B95C654">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（1）第一次报价：原参加公开招标的投标供应商的投标报价作为第一次谈判报价</w:t>
      </w:r>
    </w:p>
    <w:p w14:paraId="538F5770">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（2）符合性评审：主要对各供应商资格以及谈判响应文件进行商务和技术符合性的审定</w:t>
      </w:r>
    </w:p>
    <w:p w14:paraId="414A3BBB">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（3）谈判过程：谈判小组应在符合性评审的基础上对各供应商的谈判响应文件认真阅读，并对采购内容等有关要求进行谈判</w:t>
      </w:r>
    </w:p>
    <w:p w14:paraId="126CFBE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①谈判方案（原投标方案）</w:t>
      </w:r>
    </w:p>
    <w:p w14:paraId="17D1449B">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②售后服务措施</w:t>
      </w:r>
    </w:p>
    <w:p w14:paraId="018F11EF">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③综合评定，推荐候选成交单位。</w:t>
      </w:r>
    </w:p>
    <w:p w14:paraId="458FD58C">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④谈判澄清：采购代理机构有权就谈判响应文件中有疑义之处或前后表述不一致的问题，向供应商提出询问或澄清。供应商必须在谈判文件规定的时间内派技术和商务人员进行澄清，有关澄清的内容应以书面形式（包括电传、传真）提交，并由供应商法定代表人或被授权人签名确认。</w:t>
      </w:r>
    </w:p>
    <w:p w14:paraId="047F86C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（4）第二次谈判报价</w:t>
      </w:r>
    </w:p>
    <w:p w14:paraId="5167F76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通过资质审查合格，供应商的谈判响应文件及谈判承诺符合谈判文件要求和满足技术、商务需要的，在规定的时间内报出第二次谈判报价。</w:t>
      </w:r>
    </w:p>
    <w:p w14:paraId="23E17B8B">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（5）最终评审</w:t>
      </w:r>
    </w:p>
    <w:p w14:paraId="76B8A7D6">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谈判小组根据符合采购需求、质量和服务，以综合评审有效报价（第二次谈判报价）最低者推荐为成交第一候选人，其次低价者第二候选人，以此类推。若成交候选人的报价相同时，谈判小组将分别依次序以：技术方案、商务响应的优劣的原则，确定成交候选人排序。</w:t>
      </w:r>
    </w:p>
    <w:p w14:paraId="5CCEEFFA">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3、谈判小组根据原始谈判记录和谈判结果编写谈判结果报告，报采购人。</w:t>
      </w:r>
    </w:p>
    <w:p w14:paraId="1BCB2707">
      <w:pPr>
        <w:adjustRightInd w:val="0"/>
        <w:snapToGrid w:val="0"/>
        <w:spacing w:beforeLines="50" w:afterLines="50" w:line="500" w:lineRule="exact"/>
        <w:ind w:firstLine="482" w:firstLineChars="200"/>
        <w:outlineLvl w:val="1"/>
        <w:rPr>
          <w:rFonts w:ascii="宋体" w:hAnsi="宋体" w:cs="宋体"/>
          <w:b/>
          <w:color w:val="auto"/>
          <w:sz w:val="24"/>
          <w:szCs w:val="24"/>
          <w:highlight w:val="none"/>
        </w:rPr>
      </w:pPr>
      <w:r>
        <w:rPr>
          <w:rFonts w:hint="eastAsia" w:ascii="宋体" w:hAnsi="宋体" w:cs="宋体"/>
          <w:b/>
          <w:color w:val="auto"/>
          <w:sz w:val="24"/>
          <w:szCs w:val="24"/>
          <w:highlight w:val="none"/>
        </w:rPr>
        <w:t>十三、质疑与投诉：</w:t>
      </w:r>
    </w:p>
    <w:p w14:paraId="67C89161">
      <w:pPr>
        <w:spacing w:line="500" w:lineRule="exact"/>
        <w:ind w:firstLine="48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1.询问</w:t>
      </w:r>
    </w:p>
    <w:p w14:paraId="541F6103">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供应商对政府采购活动事项有疑问的，可以向采购人或招标代理机构提出询问。采购人或招标代理机构将在3个工作日内对供应商依法提出的询问作出答复。</w:t>
      </w:r>
    </w:p>
    <w:p w14:paraId="5222C4BC">
      <w:pPr>
        <w:spacing w:line="520" w:lineRule="exact"/>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lang w:val="en-US" w:eastAsia="zh-CN"/>
        </w:rPr>
        <w:t>供应商提出的询问超出采购人对招标代理机构委托授权范围的，招标代理机构告知供应商向采购人提出。</w:t>
      </w:r>
    </w:p>
    <w:p w14:paraId="11EC1505">
      <w:pPr>
        <w:spacing w:line="500" w:lineRule="exact"/>
        <w:ind w:firstLine="48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质疑及投诉</w:t>
      </w:r>
    </w:p>
    <w:p w14:paraId="75D160CE">
      <w:pPr>
        <w:spacing w:line="500" w:lineRule="exact"/>
        <w:ind w:firstLine="48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-1质疑</w:t>
      </w:r>
    </w:p>
    <w:p w14:paraId="2FE5C231">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（1）供应商认为采购文件、采购过程或中标结果使自身的合法权益受到损害之日起7个工作日内，可以在法定期限内，以书面形式向采购人或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提出质疑。</w:t>
      </w:r>
    </w:p>
    <w:p w14:paraId="2835AAB1">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（2）提出质疑的供应商应当是参与本项目采购活动的供应商。</w:t>
      </w:r>
    </w:p>
    <w:p w14:paraId="28BEE475">
      <w:pPr>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）供应商提出质疑应当提交质疑函和必要的证明材料，供应商提出质疑应当提交质疑函和必要的证明材料，并按财政部《政府采购供应商质疑函范本》给定的格式进行填写，范本下载 详见【财政部国库司（http://gks.mof.gov.cn/）】网站首页-专题- 政府采购管理-《政府采购供应商质疑函范本》</w:t>
      </w:r>
      <w:r>
        <w:rPr>
          <w:rFonts w:hint="eastAsia" w:ascii="宋体" w:hAnsi="宋体" w:cs="宋体"/>
          <w:color w:val="auto"/>
          <w:sz w:val="24"/>
          <w:szCs w:val="24"/>
          <w:highlight w:val="none"/>
          <w:lang w:eastAsia="zh-CN"/>
        </w:rPr>
        <w:t>。</w:t>
      </w:r>
    </w:p>
    <w:p w14:paraId="68C727B2">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质疑函应当由法定代表人签字并加盖鲜章，鲜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21DCB3E2">
      <w:pPr>
        <w:spacing w:line="500" w:lineRule="exact"/>
        <w:ind w:firstLine="480"/>
        <w:rPr>
          <w:rFonts w:hint="eastAsia" w:ascii="宋体" w:hAnsi="宋体" w:cs="宋体"/>
          <w:b/>
          <w:color w:val="auto"/>
          <w:sz w:val="24"/>
          <w:szCs w:val="24"/>
          <w:highlight w:val="none"/>
        </w:rPr>
      </w:pPr>
      <w:r>
        <w:rPr>
          <w:rFonts w:hint="eastAsia" w:ascii="宋体" w:hAnsi="宋体" w:cs="宋体"/>
          <w:b/>
          <w:color w:val="auto"/>
          <w:sz w:val="24"/>
          <w:szCs w:val="24"/>
          <w:highlight w:val="none"/>
        </w:rPr>
        <w:t>3.有下列情形之一的，属于无效质疑，采购人或</w:t>
      </w:r>
      <w:r>
        <w:rPr>
          <w:rFonts w:hint="eastAsia" w:ascii="宋体" w:hAnsi="宋体" w:cs="宋体"/>
          <w:b/>
          <w:color w:val="auto"/>
          <w:sz w:val="24"/>
          <w:szCs w:val="24"/>
          <w:highlight w:val="none"/>
          <w:lang w:eastAsia="zh-CN"/>
        </w:rPr>
        <w:t>招标代理机构</w:t>
      </w:r>
      <w:r>
        <w:rPr>
          <w:rFonts w:hint="eastAsia" w:ascii="宋体" w:hAnsi="宋体" w:cs="宋体"/>
          <w:b/>
          <w:color w:val="auto"/>
          <w:sz w:val="24"/>
          <w:szCs w:val="24"/>
          <w:highlight w:val="none"/>
        </w:rPr>
        <w:t>不予受理：</w:t>
      </w:r>
    </w:p>
    <w:p w14:paraId="069C9601">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（1）质疑人不是参与本次政府采购项目的供应商或潜在供应商；</w:t>
      </w:r>
    </w:p>
    <w:p w14:paraId="44A8B09E">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（2）质疑人与质疑事项不存在利害关系的；</w:t>
      </w:r>
    </w:p>
    <w:p w14:paraId="68075418">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（3）未在法定期限内提出质疑的；</w:t>
      </w:r>
    </w:p>
    <w:p w14:paraId="04A3C02F">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（4）质疑未以书面形式提出，或质疑函主要内容构成不完整的；</w:t>
      </w:r>
    </w:p>
    <w:p w14:paraId="7094605D">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（5）质疑函没有合法有效的签字、盖章或授权的；</w:t>
      </w:r>
    </w:p>
    <w:p w14:paraId="07F82BF7">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（6）以非法手段取得证据、材料的；</w:t>
      </w:r>
    </w:p>
    <w:p w14:paraId="0A3FAC17">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（7）质疑答复后，同一质疑人就同一事项再次提出质疑的；</w:t>
      </w:r>
    </w:p>
    <w:p w14:paraId="66528DC5">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（8）不符合法律、法规、规章和政府采购监管机构规定的其他条件的。</w:t>
      </w:r>
    </w:p>
    <w:p w14:paraId="229D0A2C">
      <w:pPr>
        <w:spacing w:line="520" w:lineRule="exact"/>
        <w:ind w:firstLine="48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4.</w:t>
      </w:r>
      <w:r>
        <w:rPr>
          <w:rFonts w:hint="eastAsia" w:ascii="宋体" w:hAnsi="宋体" w:cs="宋体"/>
          <w:b/>
          <w:bCs/>
          <w:color w:val="auto"/>
          <w:sz w:val="24"/>
          <w:szCs w:val="24"/>
          <w:highlight w:val="none"/>
          <w:lang w:val="en-US" w:eastAsia="zh-CN"/>
        </w:rPr>
        <w:t>答复</w:t>
      </w:r>
    </w:p>
    <w:p w14:paraId="118CB716">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将在收到书面质疑后7 个工作日内按规定需要答复的，以书面形式通知质疑人和其他有关供应商，但答复的内容不应涉及商业秘密。</w:t>
      </w:r>
    </w:p>
    <w:p w14:paraId="57FF10CB">
      <w:pPr>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5.</w:t>
      </w:r>
      <w:r>
        <w:rPr>
          <w:rFonts w:hint="eastAsia" w:ascii="宋体" w:hAnsi="宋体" w:cs="宋体"/>
          <w:b/>
          <w:bCs/>
          <w:color w:val="auto"/>
          <w:sz w:val="24"/>
          <w:szCs w:val="24"/>
          <w:highlight w:val="none"/>
          <w:lang w:val="en-US" w:eastAsia="zh-CN"/>
        </w:rPr>
        <w:t>投诉</w:t>
      </w:r>
    </w:p>
    <w:p w14:paraId="74426A10">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质疑人对采购人或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的答复不满意，以及采购人或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未在规定时间内做出答复的，可以在答复期满后15个工作日内向政府采购监管机构提出投诉。</w:t>
      </w:r>
    </w:p>
    <w:p w14:paraId="61222C59">
      <w:pPr>
        <w:spacing w:line="520" w:lineRule="exact"/>
        <w:ind w:firstLine="48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6.</w:t>
      </w:r>
      <w:r>
        <w:rPr>
          <w:rFonts w:hint="eastAsia" w:ascii="宋体" w:hAnsi="宋体" w:cs="宋体"/>
          <w:b/>
          <w:bCs/>
          <w:color w:val="auto"/>
          <w:sz w:val="24"/>
          <w:szCs w:val="24"/>
          <w:highlight w:val="none"/>
          <w:lang w:val="en-US" w:eastAsia="zh-CN"/>
        </w:rPr>
        <w:t>投诉范围</w:t>
      </w:r>
    </w:p>
    <w:p w14:paraId="04D01557">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供应商投诉的事项不得超出已质疑事项的范围。</w:t>
      </w:r>
    </w:p>
    <w:p w14:paraId="6BCC2E3B">
      <w:pPr>
        <w:spacing w:line="500" w:lineRule="exact"/>
        <w:ind w:firstLine="48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7.接收质疑函的方式和联系方式：</w:t>
      </w:r>
    </w:p>
    <w:p w14:paraId="4F5AFCE6">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① 接收质疑函的方式：</w:t>
      </w:r>
      <w:r>
        <w:rPr>
          <w:rFonts w:hint="eastAsia" w:ascii="宋体" w:hAnsi="宋体" w:cs="宋体"/>
          <w:color w:val="auto"/>
          <w:sz w:val="24"/>
          <w:szCs w:val="24"/>
          <w:highlight w:val="none"/>
          <w:lang w:val="en-US" w:eastAsia="zh-CN"/>
        </w:rPr>
        <w:t>以</w:t>
      </w:r>
      <w:r>
        <w:rPr>
          <w:rFonts w:hint="eastAsia" w:ascii="宋体" w:hAnsi="宋体" w:cs="宋体"/>
          <w:color w:val="auto"/>
          <w:sz w:val="24"/>
          <w:szCs w:val="24"/>
          <w:highlight w:val="none"/>
        </w:rPr>
        <w:t>书面</w:t>
      </w:r>
      <w:r>
        <w:rPr>
          <w:rFonts w:hint="eastAsia" w:ascii="宋体" w:hAnsi="宋体" w:cs="宋体"/>
          <w:color w:val="auto"/>
          <w:sz w:val="24"/>
          <w:szCs w:val="24"/>
          <w:highlight w:val="none"/>
          <w:lang w:val="en-US" w:eastAsia="zh-CN"/>
        </w:rPr>
        <w:t>形式</w:t>
      </w:r>
      <w:r>
        <w:rPr>
          <w:rFonts w:hint="eastAsia" w:ascii="宋体" w:hAnsi="宋体" w:cs="宋体"/>
          <w:color w:val="auto"/>
          <w:sz w:val="24"/>
          <w:szCs w:val="24"/>
          <w:highlight w:val="none"/>
        </w:rPr>
        <w:t>当面递交质疑函纸质版（当面递交）</w:t>
      </w:r>
    </w:p>
    <w:p w14:paraId="6C81FC85">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② 联系方式</w:t>
      </w:r>
    </w:p>
    <w:p w14:paraId="741728BB">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kern w:val="0"/>
          <w:sz w:val="24"/>
          <w:szCs w:val="24"/>
          <w:highlight w:val="none"/>
        </w:rPr>
        <w:t>安康市市政园林处</w:t>
      </w:r>
    </w:p>
    <w:p w14:paraId="3C8163B4">
      <w:pPr>
        <w:pStyle w:val="23"/>
        <w:widowControl/>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联系地址：</w:t>
      </w:r>
      <w:r>
        <w:rPr>
          <w:rFonts w:hint="eastAsia" w:ascii="宋体" w:hAnsi="宋体" w:cs="宋体"/>
          <w:color w:val="auto"/>
          <w:szCs w:val="24"/>
          <w:highlight w:val="none"/>
          <w:shd w:val="clear" w:color="auto" w:fill="FFFFFF"/>
        </w:rPr>
        <w:t>安康市汉滨区滨江大道1号建设大厦</w:t>
      </w:r>
    </w:p>
    <w:p w14:paraId="2D337A7B">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kern w:val="0"/>
          <w:sz w:val="24"/>
          <w:szCs w:val="24"/>
          <w:highlight w:val="none"/>
          <w:shd w:val="clear" w:color="auto" w:fill="FFFFFF"/>
        </w:rPr>
        <w:t>0915-3230552</w:t>
      </w:r>
      <w:r>
        <w:rPr>
          <w:rFonts w:hint="eastAsia" w:ascii="宋体" w:hAnsi="宋体" w:cs="宋体"/>
          <w:color w:val="auto"/>
          <w:kern w:val="0"/>
          <w:sz w:val="24"/>
          <w:szCs w:val="24"/>
          <w:highlight w:val="none"/>
        </w:rPr>
        <w:t xml:space="preserve"> </w:t>
      </w:r>
    </w:p>
    <w:p w14:paraId="56853AD3">
      <w:pPr>
        <w:spacing w:line="40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rPr>
        <w:t>采购代理机构：</w:t>
      </w:r>
      <w:r>
        <w:rPr>
          <w:rFonts w:hint="eastAsia" w:ascii="宋体" w:hAnsi="宋体" w:cs="宋体"/>
          <w:color w:val="auto"/>
          <w:sz w:val="24"/>
          <w:szCs w:val="24"/>
          <w:highlight w:val="none"/>
          <w:lang w:eastAsia="zh-CN"/>
        </w:rPr>
        <w:t>陕西中源项目管理有限公司</w:t>
      </w:r>
    </w:p>
    <w:p w14:paraId="55A311D4">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安康市汉滨区木竹桥安置点1栋3楼中源公司</w:t>
      </w:r>
    </w:p>
    <w:p w14:paraId="1F988B53">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eastAsia="zh-CN"/>
        </w:rPr>
        <w:t>徐工</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16609151911</w:t>
      </w:r>
    </w:p>
    <w:p w14:paraId="7FA107BF">
      <w:pPr>
        <w:pStyle w:val="12"/>
        <w:spacing w:after="156"/>
        <w:rPr>
          <w:rFonts w:cs="宋体"/>
          <w:color w:val="auto"/>
          <w:szCs w:val="24"/>
          <w:highlight w:val="none"/>
        </w:rPr>
      </w:pPr>
    </w:p>
    <w:p w14:paraId="1B7C068B">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43FE7655">
      <w:pPr>
        <w:tabs>
          <w:tab w:val="right" w:pos="4860"/>
        </w:tabs>
        <w:adjustRightInd w:val="0"/>
        <w:snapToGrid w:val="0"/>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第三部分 采购内容及技术要求</w:t>
      </w:r>
    </w:p>
    <w:p w14:paraId="150D74D9">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一、项目名称</w:t>
      </w:r>
    </w:p>
    <w:p w14:paraId="71D424A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2026年度安康中心城区公园广场及公共绿地时令花卉采购项目（二期）</w:t>
      </w:r>
    </w:p>
    <w:p w14:paraId="73F11CC3">
      <w:pPr>
        <w:numPr>
          <w:ilvl w:val="0"/>
          <w:numId w:val="4"/>
        </w:num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需求清单</w:t>
      </w:r>
    </w:p>
    <w:p w14:paraId="062D78B3">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一）项目概况</w:t>
      </w:r>
    </w:p>
    <w:p w14:paraId="56B1BD9F">
      <w:pPr>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2026年度安康中心城区公园广场及公共绿地时令花卉采购项目（二期）</w:t>
      </w:r>
      <w:r>
        <w:rPr>
          <w:rFonts w:hint="eastAsia" w:ascii="宋体" w:hAnsi="宋体" w:cs="宋体"/>
          <w:color w:val="auto"/>
          <w:sz w:val="24"/>
          <w:szCs w:val="24"/>
          <w:highlight w:val="none"/>
          <w:lang w:val="en-US" w:eastAsia="zh-CN"/>
        </w:rPr>
        <w:t>总预算金额约4219285元，分为两标段实施：</w:t>
      </w:r>
    </w:p>
    <w:p w14:paraId="42A35E19">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cs="宋体"/>
          <w:b/>
          <w:bCs/>
          <w:color w:val="auto"/>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lang w:eastAsia="zh-CN"/>
        </w:rPr>
        <w:t>2026年度安康中心城区公园广场及公共绿地时令花卉采购项目（二期）一标段</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安康中心城区一湖两岸、公园广场、道路隔离带等重要节点栽植摆放孔雀草、一串红、鸡冠花等花卉，并配套布设绿雕，采购预算约1224956元</w:t>
      </w:r>
    </w:p>
    <w:tbl>
      <w:tblPr>
        <w:tblStyle w:val="26"/>
        <w:tblW w:w="10648"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1258"/>
        <w:gridCol w:w="4066"/>
        <w:gridCol w:w="1599"/>
        <w:gridCol w:w="1572"/>
        <w:gridCol w:w="1449"/>
      </w:tblGrid>
      <w:tr w14:paraId="34B96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05FBA">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4B5D4">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品种</w:t>
            </w:r>
          </w:p>
        </w:tc>
        <w:tc>
          <w:tcPr>
            <w:tcW w:w="4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4158">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0CBB">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数量（株或㎡）</w:t>
            </w:r>
          </w:p>
        </w:tc>
        <w:tc>
          <w:tcPr>
            <w:tcW w:w="1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FCFD">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预算</w:t>
            </w:r>
            <w:r>
              <w:rPr>
                <w:rFonts w:hint="eastAsia" w:ascii="宋体" w:hAnsi="宋体" w:eastAsia="宋体" w:cs="宋体"/>
                <w:b/>
                <w:bCs/>
                <w:i w:val="0"/>
                <w:iCs w:val="0"/>
                <w:color w:val="000000"/>
                <w:kern w:val="0"/>
                <w:sz w:val="22"/>
                <w:szCs w:val="22"/>
                <w:u w:val="none"/>
                <w:lang w:val="en-US" w:eastAsia="zh-CN" w:bidi="ar"/>
              </w:rPr>
              <w:t>单价（元/株或元/㎡）</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C433">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655EA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66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4D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孔雀草</w:t>
            </w:r>
          </w:p>
        </w:tc>
        <w:tc>
          <w:tcPr>
            <w:tcW w:w="4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0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A8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111000</w:t>
            </w:r>
          </w:p>
        </w:tc>
        <w:tc>
          <w:tcPr>
            <w:tcW w:w="15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148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2.10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5456">
            <w:pPr>
              <w:jc w:val="center"/>
              <w:rPr>
                <w:rFonts w:hint="eastAsia" w:ascii="宋体" w:hAnsi="宋体" w:eastAsia="宋体" w:cs="宋体"/>
                <w:i w:val="0"/>
                <w:iCs w:val="0"/>
                <w:color w:val="000000"/>
                <w:sz w:val="24"/>
                <w:szCs w:val="24"/>
                <w:u w:val="none"/>
              </w:rPr>
            </w:pPr>
          </w:p>
        </w:tc>
      </w:tr>
      <w:tr w14:paraId="32E54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4F9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A2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一串红</w:t>
            </w:r>
          </w:p>
        </w:tc>
        <w:tc>
          <w:tcPr>
            <w:tcW w:w="4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6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B1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111000</w:t>
            </w: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C7E41">
            <w:pPr>
              <w:jc w:val="center"/>
              <w:rPr>
                <w:rFonts w:hint="eastAsia" w:ascii="宋体" w:hAnsi="宋体" w:eastAsia="宋体" w:cs="宋体"/>
                <w:i w:val="0"/>
                <w:iCs w:val="0"/>
                <w:color w:val="000000"/>
                <w:sz w:val="24"/>
                <w:szCs w:val="24"/>
                <w:u w:val="none"/>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C214">
            <w:pPr>
              <w:jc w:val="center"/>
              <w:rPr>
                <w:rFonts w:hint="eastAsia" w:ascii="宋体" w:hAnsi="宋体" w:eastAsia="宋体" w:cs="宋体"/>
                <w:i w:val="0"/>
                <w:iCs w:val="0"/>
                <w:color w:val="000000"/>
                <w:sz w:val="24"/>
                <w:szCs w:val="24"/>
                <w:u w:val="none"/>
              </w:rPr>
            </w:pPr>
          </w:p>
        </w:tc>
      </w:tr>
      <w:tr w14:paraId="17AC4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B28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A6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鸡冠花</w:t>
            </w:r>
          </w:p>
        </w:tc>
        <w:tc>
          <w:tcPr>
            <w:tcW w:w="4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F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D2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111000</w:t>
            </w: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5F0A4">
            <w:pPr>
              <w:jc w:val="center"/>
              <w:rPr>
                <w:rFonts w:hint="eastAsia" w:ascii="宋体" w:hAnsi="宋体" w:eastAsia="宋体" w:cs="宋体"/>
                <w:i w:val="0"/>
                <w:iCs w:val="0"/>
                <w:color w:val="000000"/>
                <w:sz w:val="24"/>
                <w:szCs w:val="24"/>
                <w:u w:val="none"/>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76EC1">
            <w:pPr>
              <w:jc w:val="center"/>
              <w:rPr>
                <w:rFonts w:hint="eastAsia" w:ascii="宋体" w:hAnsi="宋体" w:eastAsia="宋体" w:cs="宋体"/>
                <w:i w:val="0"/>
                <w:iCs w:val="0"/>
                <w:color w:val="000000"/>
                <w:sz w:val="24"/>
                <w:szCs w:val="24"/>
                <w:u w:val="none"/>
              </w:rPr>
            </w:pPr>
          </w:p>
        </w:tc>
      </w:tr>
      <w:tr w14:paraId="53D0D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B5A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70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夏堇</w:t>
            </w:r>
          </w:p>
        </w:tc>
        <w:tc>
          <w:tcPr>
            <w:tcW w:w="4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2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4B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111000</w:t>
            </w: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1EB75">
            <w:pPr>
              <w:jc w:val="center"/>
              <w:rPr>
                <w:rFonts w:hint="eastAsia" w:ascii="宋体" w:hAnsi="宋体" w:eastAsia="宋体" w:cs="宋体"/>
                <w:i w:val="0"/>
                <w:iCs w:val="0"/>
                <w:color w:val="000000"/>
                <w:sz w:val="24"/>
                <w:szCs w:val="24"/>
                <w:u w:val="none"/>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E50E">
            <w:pPr>
              <w:jc w:val="center"/>
              <w:rPr>
                <w:rFonts w:hint="eastAsia" w:ascii="宋体" w:hAnsi="宋体" w:eastAsia="宋体" w:cs="宋体"/>
                <w:i w:val="0"/>
                <w:iCs w:val="0"/>
                <w:color w:val="000000"/>
                <w:sz w:val="24"/>
                <w:szCs w:val="24"/>
                <w:u w:val="none"/>
              </w:rPr>
            </w:pPr>
          </w:p>
        </w:tc>
      </w:tr>
      <w:tr w14:paraId="5C4C2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D22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06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超级凤仙</w:t>
            </w:r>
          </w:p>
        </w:tc>
        <w:tc>
          <w:tcPr>
            <w:tcW w:w="40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F1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带营养钵，冠幅20-30cm，高度30-40cm</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F1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3924</w:t>
            </w:r>
          </w:p>
        </w:tc>
        <w:tc>
          <w:tcPr>
            <w:tcW w:w="15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6756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22.00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89BE">
            <w:pPr>
              <w:jc w:val="center"/>
              <w:rPr>
                <w:rFonts w:hint="eastAsia" w:ascii="宋体" w:hAnsi="宋体" w:eastAsia="宋体" w:cs="宋体"/>
                <w:i w:val="0"/>
                <w:iCs w:val="0"/>
                <w:color w:val="000000"/>
                <w:sz w:val="24"/>
                <w:szCs w:val="24"/>
                <w:u w:val="none"/>
              </w:rPr>
            </w:pPr>
          </w:p>
        </w:tc>
      </w:tr>
      <w:tr w14:paraId="51A8D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B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7C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比哥海棠</w:t>
            </w:r>
          </w:p>
        </w:tc>
        <w:tc>
          <w:tcPr>
            <w:tcW w:w="40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C4F0">
            <w:pPr>
              <w:jc w:val="center"/>
              <w:rPr>
                <w:rFonts w:hint="eastAsia" w:ascii="宋体" w:hAnsi="宋体" w:eastAsia="宋体" w:cs="宋体"/>
                <w:i w:val="0"/>
                <w:iCs w:val="0"/>
                <w:color w:val="000000"/>
                <w:sz w:val="22"/>
                <w:szCs w:val="22"/>
                <w:u w:val="none"/>
              </w:rPr>
            </w:pP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A0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3924</w:t>
            </w: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E2464">
            <w:pPr>
              <w:jc w:val="center"/>
              <w:rPr>
                <w:rFonts w:hint="eastAsia" w:ascii="宋体" w:hAnsi="宋体" w:eastAsia="宋体" w:cs="宋体"/>
                <w:i w:val="0"/>
                <w:iCs w:val="0"/>
                <w:color w:val="000000"/>
                <w:sz w:val="24"/>
                <w:szCs w:val="24"/>
                <w:u w:val="none"/>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F038">
            <w:pPr>
              <w:jc w:val="center"/>
              <w:rPr>
                <w:rFonts w:hint="eastAsia" w:ascii="宋体" w:hAnsi="宋体" w:eastAsia="宋体" w:cs="宋体"/>
                <w:i w:val="0"/>
                <w:iCs w:val="0"/>
                <w:color w:val="000000"/>
                <w:sz w:val="24"/>
                <w:szCs w:val="24"/>
                <w:u w:val="none"/>
              </w:rPr>
            </w:pPr>
          </w:p>
        </w:tc>
      </w:tr>
      <w:tr w14:paraId="09A03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DC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2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绿雕</w:t>
            </w:r>
          </w:p>
        </w:tc>
        <w:tc>
          <w:tcPr>
            <w:tcW w:w="4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9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定制钢架结构，仿真草包裹覆盖绿雕2个，每个约54.5㎡，合计109㎡</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3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1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DD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1100.00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3A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具体造型以实际设计方案为准</w:t>
            </w:r>
          </w:p>
        </w:tc>
      </w:tr>
    </w:tbl>
    <w:p w14:paraId="027CE84B">
      <w:pPr>
        <w:spacing w:line="360" w:lineRule="auto"/>
        <w:ind w:firstLine="480" w:firstLineChars="200"/>
        <w:rPr>
          <w:rFonts w:hint="eastAsia" w:ascii="宋体" w:hAnsi="宋体" w:cs="宋体"/>
          <w:color w:val="auto"/>
          <w:kern w:val="0"/>
          <w:sz w:val="24"/>
          <w:szCs w:val="24"/>
          <w:highlight w:val="none"/>
          <w:lang w:val="en-US" w:eastAsia="zh-CN" w:bidi="ar-SA"/>
        </w:rPr>
      </w:pPr>
    </w:p>
    <w:p w14:paraId="09D3E2BB">
      <w:pPr>
        <w:spacing w:line="360" w:lineRule="auto"/>
        <w:ind w:firstLine="480" w:firstLineChars="200"/>
        <w:rPr>
          <w:rFonts w:hint="eastAsia"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备注：</w:t>
      </w:r>
    </w:p>
    <w:p w14:paraId="0B761F83">
      <w:pPr>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（1）花卉</w:t>
      </w:r>
      <w:r>
        <w:rPr>
          <w:rFonts w:hint="eastAsia" w:ascii="宋体" w:hAnsi="宋体" w:eastAsia="宋体" w:cs="宋体"/>
          <w:color w:val="auto"/>
          <w:kern w:val="0"/>
          <w:sz w:val="24"/>
          <w:szCs w:val="24"/>
          <w:highlight w:val="none"/>
          <w:lang w:val="en-US" w:eastAsia="zh-CN" w:bidi="ar-SA"/>
        </w:rPr>
        <w:t>具体品种、数量以设计方案、实际发生、现场验收及结算为准。</w:t>
      </w:r>
    </w:p>
    <w:p w14:paraId="6502FE83">
      <w:pPr>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（2）供应商报价不得超过采购预算，报价</w:t>
      </w:r>
      <w:r>
        <w:rPr>
          <w:rFonts w:hint="eastAsia" w:ascii="宋体" w:hAnsi="宋体" w:eastAsia="宋体" w:cs="宋体"/>
          <w:color w:val="auto"/>
          <w:kern w:val="0"/>
          <w:sz w:val="24"/>
          <w:szCs w:val="24"/>
          <w:highlight w:val="none"/>
          <w:lang w:val="en-US" w:eastAsia="zh-CN" w:bidi="ar-SA"/>
        </w:rPr>
        <w:t>包含花卉的主材单价、运输费、栽植摆放费、种植土、土工布、养护、回收、清理、</w:t>
      </w:r>
      <w:r>
        <w:rPr>
          <w:rFonts w:hint="eastAsia" w:ascii="宋体" w:hAnsi="宋体" w:cs="宋体"/>
          <w:color w:val="auto"/>
          <w:kern w:val="0"/>
          <w:sz w:val="24"/>
          <w:szCs w:val="24"/>
          <w:highlight w:val="none"/>
          <w:lang w:val="en-US" w:eastAsia="zh-CN" w:bidi="ar-SA"/>
        </w:rPr>
        <w:t>花架花箱花钵清洗</w:t>
      </w:r>
      <w:r>
        <w:rPr>
          <w:rFonts w:hint="eastAsia" w:ascii="宋体" w:hAnsi="宋体" w:eastAsia="宋体" w:cs="宋体"/>
          <w:color w:val="auto"/>
          <w:kern w:val="0"/>
          <w:sz w:val="24"/>
          <w:szCs w:val="24"/>
          <w:highlight w:val="none"/>
          <w:lang w:val="en-US" w:eastAsia="zh-CN" w:bidi="ar-SA"/>
        </w:rPr>
        <w:t>等工作，过程中产生的人工、材料、清运费用及按国家现行税收政策征收的一切税费等。</w:t>
      </w:r>
    </w:p>
    <w:p w14:paraId="7A0BD95C">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lang w:eastAsia="zh-CN"/>
        </w:rPr>
        <w:t>2026年度安康中心城区公园广场及公共绿地时令花卉采购项目（二期）二标段</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中心城区公共绿地、人行天桥以及主要道路重点区域栽植摆放孔雀草、一串红、鸡冠花等时令花卉，并配套布设绿雕，采购预算约2994329元</w:t>
      </w:r>
      <w:r>
        <w:rPr>
          <w:rFonts w:hint="eastAsia" w:ascii="宋体" w:hAnsi="宋体" w:eastAsia="宋体" w:cs="宋体"/>
          <w:color w:val="auto"/>
          <w:sz w:val="24"/>
          <w:szCs w:val="24"/>
          <w:highlight w:val="none"/>
          <w:lang w:val="en-US" w:eastAsia="zh-CN"/>
        </w:rPr>
        <w:t>。</w:t>
      </w:r>
    </w:p>
    <w:tbl>
      <w:tblPr>
        <w:tblStyle w:val="26"/>
        <w:tblW w:w="95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2"/>
        <w:gridCol w:w="1148"/>
        <w:gridCol w:w="3215"/>
        <w:gridCol w:w="1239"/>
        <w:gridCol w:w="1516"/>
        <w:gridCol w:w="1656"/>
      </w:tblGrid>
      <w:tr w14:paraId="106EA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D7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587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品种</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4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CE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p w14:paraId="36C12F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（株或㎡）</w:t>
            </w: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E7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预算</w:t>
            </w:r>
            <w:r>
              <w:rPr>
                <w:rFonts w:hint="eastAsia" w:ascii="宋体" w:hAnsi="宋体" w:eastAsia="宋体" w:cs="宋体"/>
                <w:b/>
                <w:bCs/>
                <w:i w:val="0"/>
                <w:iCs w:val="0"/>
                <w:color w:val="000000"/>
                <w:kern w:val="0"/>
                <w:sz w:val="22"/>
                <w:szCs w:val="22"/>
                <w:u w:val="none"/>
                <w:lang w:val="en-US" w:eastAsia="zh-CN" w:bidi="ar"/>
              </w:rPr>
              <w:t>单价（元/株或元/㎡）</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07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17ECC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5F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0F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孔雀草</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A77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22D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162750</w:t>
            </w:r>
          </w:p>
        </w:tc>
        <w:tc>
          <w:tcPr>
            <w:tcW w:w="1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1D1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2.10 </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1896">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3AC81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89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9A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一串红</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3D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FB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162750</w:t>
            </w: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F529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F6A7">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43CCA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33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ED3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鸡冠花</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BC4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20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162750</w:t>
            </w: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2DCA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1E5B">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75EFA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02F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7B8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夏堇</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4F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花卉高度在15-20㎝，冠幅达到10-12㎝，7cm营养杯</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18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162750</w:t>
            </w: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3261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E3150">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0FBB4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642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095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比哥海棠</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011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带营养钵，冠幅20-30cm，高度30-40cm</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64D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19304</w:t>
            </w:r>
          </w:p>
        </w:tc>
        <w:tc>
          <w:tcPr>
            <w:tcW w:w="1516" w:type="dxa"/>
            <w:vMerge w:val="restart"/>
            <w:tcBorders>
              <w:top w:val="nil"/>
              <w:left w:val="single" w:color="000000" w:sz="4" w:space="0"/>
              <w:bottom w:val="nil"/>
              <w:right w:val="single" w:color="000000" w:sz="4" w:space="0"/>
            </w:tcBorders>
            <w:shd w:val="clear" w:color="auto" w:fill="auto"/>
            <w:vAlign w:val="center"/>
          </w:tcPr>
          <w:p w14:paraId="676D17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22.00 </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EBE9">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5EAA9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CBB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1E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超级凤仙</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C48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带营养钵，冠幅20-30cm，高度30-40cm</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9E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19312</w:t>
            </w:r>
          </w:p>
        </w:tc>
        <w:tc>
          <w:tcPr>
            <w:tcW w:w="1516" w:type="dxa"/>
            <w:vMerge w:val="continue"/>
            <w:tcBorders>
              <w:top w:val="nil"/>
              <w:left w:val="single" w:color="000000" w:sz="4" w:space="0"/>
              <w:bottom w:val="nil"/>
              <w:right w:val="single" w:color="000000" w:sz="4" w:space="0"/>
            </w:tcBorders>
            <w:shd w:val="clear" w:color="auto" w:fill="auto"/>
            <w:vAlign w:val="center"/>
          </w:tcPr>
          <w:p w14:paraId="79938D2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84BF">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0F7AE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EBF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85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孔雀草</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D0F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花卉高度在25-30㎝，冠幅达到15-20㎝，9cm营养杯</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9AA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17600</w:t>
            </w:r>
          </w:p>
        </w:tc>
        <w:tc>
          <w:tcPr>
            <w:tcW w:w="1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F22C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5.90 </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EB0B">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5B646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93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AB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一串红</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87F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花卉高度在25-30㎝，冠幅达到15-20㎝，9cm营养杯</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21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17600</w:t>
            </w: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D0FC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0A673">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7F932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F4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156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鸡冠花</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0D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花卉高度在25-30㎝，冠幅达到15-20㎝，9cm营养杯</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3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17600</w:t>
            </w: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7C56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857B">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r>
      <w:tr w14:paraId="68D77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7E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71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非洲凤仙</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88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纯基质花卉，高度13-15cm，冠幅14-16cm，盆径13cm</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D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43830</w:t>
            </w: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57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7.90 </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9701A">
            <w:pPr>
              <w:keepNext w:val="0"/>
              <w:keepLines w:val="0"/>
              <w:pageBreakBefore w:val="0"/>
              <w:widowControl/>
              <w:suppressLineNumbers w:val="0"/>
              <w:kinsoku/>
              <w:wordWrap/>
              <w:overflowPunct/>
              <w:topLinePunct w:val="0"/>
              <w:autoSpaceDE/>
              <w:autoSpaceDN/>
              <w:bidi w:val="0"/>
              <w:adjustRightInd/>
              <w:snapToGrid w:val="0"/>
              <w:ind w:left="-105" w:leftChars="-50" w:right="-105" w:rightChars="-5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-19050</wp:posOffset>
                  </wp:positionH>
                  <wp:positionV relativeFrom="paragraph">
                    <wp:posOffset>570865</wp:posOffset>
                  </wp:positionV>
                  <wp:extent cx="1047750" cy="1805305"/>
                  <wp:effectExtent l="0" t="0" r="0" b="4445"/>
                  <wp:wrapNone/>
                  <wp:docPr id="4" name="组合_3"/>
                  <wp:cNvGraphicFramePr/>
                  <a:graphic xmlns:a="http://schemas.openxmlformats.org/drawingml/2006/main">
                    <a:graphicData uri="http://schemas.openxmlformats.org/drawingml/2006/picture">
                      <pic:pic xmlns:pic="http://schemas.openxmlformats.org/drawingml/2006/picture">
                        <pic:nvPicPr>
                          <pic:cNvPr id="4" name="组合_3"/>
                          <pic:cNvPicPr/>
                        </pic:nvPicPr>
                        <pic:blipFill>
                          <a:blip r:embed="rId15"/>
                          <a:stretch>
                            <a:fillRect/>
                          </a:stretch>
                        </pic:blipFill>
                        <pic:spPr>
                          <a:xfrm>
                            <a:off x="0" y="0"/>
                            <a:ext cx="1047750" cy="1805305"/>
                          </a:xfrm>
                          <a:prstGeom prst="rect">
                            <a:avLst/>
                          </a:prstGeom>
                          <a:noFill/>
                          <a:ln>
                            <a:noFill/>
                          </a:ln>
                        </pic:spPr>
                      </pic:pic>
                    </a:graphicData>
                  </a:graphic>
                </wp:anchor>
              </w:drawing>
            </w:r>
            <w:r>
              <w:rPr>
                <w:rFonts w:hint="eastAsia" w:ascii="宋体" w:hAnsi="宋体" w:eastAsia="宋体" w:cs="宋体"/>
                <w:i w:val="0"/>
                <w:iCs w:val="0"/>
                <w:color w:val="000000"/>
                <w:kern w:val="0"/>
                <w:sz w:val="22"/>
                <w:szCs w:val="22"/>
                <w:u w:val="none"/>
                <w:lang w:val="en-US" w:eastAsia="zh-CN" w:bidi="ar"/>
              </w:rPr>
              <w:t>含海绵包土保湿、pp材质网套固定（含卡盆、卡扣）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卡扣、卡盆</w:t>
            </w:r>
          </w:p>
        </w:tc>
      </w:tr>
      <w:tr w14:paraId="49CED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jc w:val="center"/>
        </w:trPr>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7F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8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绿雕</w:t>
            </w:r>
          </w:p>
        </w:tc>
        <w:tc>
          <w:tcPr>
            <w:tcW w:w="3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3C5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定制钢架结构，仿真草包裹覆盖绿雕2个，每个约54.5㎡，合计109㎡</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DF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B7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1100.00 </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351B">
            <w:pPr>
              <w:keepNext w:val="0"/>
              <w:keepLines w:val="0"/>
              <w:pageBreakBefore w:val="0"/>
              <w:widowControl/>
              <w:suppressLineNumbers w:val="0"/>
              <w:kinsoku/>
              <w:wordWrap/>
              <w:overflowPunct/>
              <w:topLinePunct w:val="0"/>
              <w:autoSpaceDE/>
              <w:autoSpaceDN/>
              <w:bidi w:val="0"/>
              <w:adjustRightInd/>
              <w:snapToGrid w:val="0"/>
              <w:ind w:left="-105" w:leftChars="-50" w:right="-105" w:rightChars="-5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具体造型以实际设计方案为准</w:t>
            </w:r>
          </w:p>
        </w:tc>
      </w:tr>
    </w:tbl>
    <w:p w14:paraId="0BD97FA5">
      <w:pPr>
        <w:spacing w:line="360" w:lineRule="auto"/>
        <w:ind w:firstLine="480" w:firstLineChars="200"/>
        <w:rPr>
          <w:rFonts w:hint="eastAsia"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备注：</w:t>
      </w:r>
    </w:p>
    <w:p w14:paraId="5C254CC7">
      <w:pPr>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（1）花卉</w:t>
      </w:r>
      <w:r>
        <w:rPr>
          <w:rFonts w:hint="eastAsia" w:ascii="宋体" w:hAnsi="宋体" w:eastAsia="宋体" w:cs="宋体"/>
          <w:color w:val="auto"/>
          <w:kern w:val="0"/>
          <w:sz w:val="24"/>
          <w:szCs w:val="24"/>
          <w:highlight w:val="none"/>
          <w:lang w:val="en-US" w:eastAsia="zh-CN" w:bidi="ar-SA"/>
        </w:rPr>
        <w:t>具体品种、数量以设计方案、实际发生、现场验收及结算为准。</w:t>
      </w:r>
    </w:p>
    <w:p w14:paraId="4B35BFFB">
      <w:pPr>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（2）供应商报价不得超过采购预算，</w:t>
      </w:r>
      <w:r>
        <w:rPr>
          <w:rFonts w:hint="eastAsia" w:asciiTheme="minorEastAsia" w:hAnsiTheme="minorEastAsia" w:eastAsiaTheme="minorEastAsia" w:cstheme="minorEastAsia"/>
          <w:color w:val="auto"/>
          <w:sz w:val="24"/>
          <w:szCs w:val="24"/>
          <w:highlight w:val="none"/>
          <w:lang w:val="en-US" w:eastAsia="zh-CN"/>
        </w:rPr>
        <w:t>报价包含</w:t>
      </w:r>
      <w:r>
        <w:rPr>
          <w:rFonts w:hint="eastAsia" w:ascii="宋体" w:hAnsi="宋体" w:cs="宋体"/>
          <w:color w:val="auto"/>
          <w:sz w:val="24"/>
          <w:szCs w:val="24"/>
          <w:highlight w:val="none"/>
          <w:lang w:eastAsia="zh-CN"/>
        </w:rPr>
        <w:t>花卉的主材单价、运输费、栽植摆放费、种植土、土工布、海绵包土、pp材质网套固定、养护费、清理回收、</w:t>
      </w:r>
      <w:r>
        <w:rPr>
          <w:rFonts w:hint="eastAsia" w:ascii="宋体" w:hAnsi="宋体" w:cs="宋体"/>
          <w:color w:val="auto"/>
          <w:kern w:val="0"/>
          <w:sz w:val="24"/>
          <w:szCs w:val="24"/>
          <w:highlight w:val="none"/>
          <w:lang w:val="en-US" w:eastAsia="zh-CN" w:bidi="ar-SA"/>
        </w:rPr>
        <w:t>花架花箱花钵清洗</w:t>
      </w:r>
      <w:r>
        <w:rPr>
          <w:rFonts w:hint="eastAsia" w:ascii="宋体" w:hAnsi="宋体" w:eastAsia="宋体" w:cs="宋体"/>
          <w:color w:val="auto"/>
          <w:kern w:val="0"/>
          <w:sz w:val="24"/>
          <w:szCs w:val="24"/>
          <w:highlight w:val="none"/>
          <w:lang w:val="en-US" w:eastAsia="zh-CN" w:bidi="ar-SA"/>
        </w:rPr>
        <w:t>等工作</w:t>
      </w:r>
      <w:r>
        <w:rPr>
          <w:rFonts w:hint="eastAsia" w:ascii="宋体" w:hAnsi="宋体" w:cs="宋体"/>
          <w:color w:val="auto"/>
          <w:sz w:val="24"/>
          <w:szCs w:val="24"/>
          <w:highlight w:val="none"/>
          <w:lang w:eastAsia="zh-CN"/>
        </w:rPr>
        <w:t>，过程中产生的人工、材料、清运等费用及按国家现行税收政策征收的一切税费等</w:t>
      </w:r>
      <w:r>
        <w:rPr>
          <w:rFonts w:hint="eastAsia" w:asciiTheme="minorEastAsia" w:hAnsiTheme="minorEastAsia" w:eastAsiaTheme="minorEastAsia" w:cstheme="minorEastAsia"/>
          <w:color w:val="auto"/>
          <w:sz w:val="24"/>
          <w:szCs w:val="24"/>
          <w:highlight w:val="none"/>
          <w:lang w:val="en-US" w:eastAsia="zh-CN"/>
        </w:rPr>
        <w:t>。</w:t>
      </w:r>
    </w:p>
    <w:p w14:paraId="2EA6A35B">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left="0" w:leftChars="0"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栽植、摆放要求：</w:t>
      </w:r>
    </w:p>
    <w:p w14:paraId="41E301AD">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1.供应商应根据采购人需求进行实施。具体在栽植或摆放花卉时应由采购人对花卉进行验收，经验收合格后方可进行栽植或摆放，如验收不合格，供应商必须无条件撤回，重新组织花源，并承担相应费用。</w:t>
      </w:r>
    </w:p>
    <w:p w14:paraId="72B4BE16">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2.花卉布设整体要求饱满密实、无空缺缝隙，配色协调美观、整体线条规整流畅，必须保证在节气期间鲜花盛开。</w:t>
      </w:r>
    </w:p>
    <w:p w14:paraId="3C3B3C03">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3.各栽植或摆放花卉的点位应保证鲜花盛开且花坛内不得出现黄土裸露、盆花枯死现象，现场无杂物、垃圾，花钵花盆摆放整齐统一、无倾倒凌乱，花盆外表保持干净整洁，不得附着花叶、泥土及各类杂物。</w:t>
      </w:r>
    </w:p>
    <w:p w14:paraId="0B9A2B67">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4.各节点花卉规格统一标准，草花的根、茎、叶、花长势优良、花朵完好完整，叶色鲜亮无枯叶、焦边等问题；植株长势健壮无病害、无虫源。单株开花数量不少于三朵，整体配色协调、造型整洁美观。</w:t>
      </w:r>
    </w:p>
    <w:p w14:paraId="25A6A91C">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5.成交供应商全权负责项目全过程花卉运输、现场栽植摆放、日常管护、后期清理回收以及全部花箱、花钵清洁清洗等全部工作。</w:t>
      </w:r>
    </w:p>
    <w:p w14:paraId="45424089">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6.在花卉栽植摆放期间，随摆随清，保证现场清洁，秩序井然，各布置点必须安排专人管理和养护。</w:t>
      </w:r>
    </w:p>
    <w:p w14:paraId="2E45BE12">
      <w:pPr>
        <w:spacing w:line="360" w:lineRule="auto"/>
        <w:ind w:firstLine="480" w:firstLineChars="200"/>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7.花期结束后，供应商须及时对全部残败、枯死花卉统一清理清运，现场恢复整洁。</w:t>
      </w:r>
      <w:r>
        <w:rPr>
          <w:rFonts w:hint="eastAsia" w:ascii="宋体" w:hAnsi="宋体" w:cs="宋体"/>
          <w:b/>
          <w:bCs/>
          <w:color w:val="auto"/>
          <w:sz w:val="24"/>
          <w:szCs w:val="24"/>
          <w:highlight w:val="none"/>
          <w:lang w:val="en-US" w:eastAsia="zh-CN"/>
        </w:rPr>
        <w:t>四、养护要求:</w:t>
      </w:r>
    </w:p>
    <w:p w14:paraId="1D5FAFAC">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养护内容：负责花卉栽植、摆放期间的日常卫生保洁、浇水、除草、防虫打药等，负责各类花卉栽植、摆放期间的花箱、花钵清洗工作，对枯死、残败、缺失花卉及人为破坏的花卉及时进行清理、回收、补栽，维护良好的景观效果。</w:t>
      </w:r>
    </w:p>
    <w:p w14:paraId="78A19CCC">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养护要求：除人为不可抗力因素外，因管护不力(枯死、残败、缺失、病虫害等因素)造成的花卉死亡、缺失等进行补栽的花卉及各项费用需供应商承担。</w:t>
      </w:r>
    </w:p>
    <w:p w14:paraId="72FB2ABF">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、工期要求</w:t>
      </w:r>
    </w:p>
    <w:p w14:paraId="5E8644B2">
      <w:pPr>
        <w:spacing w:line="360" w:lineRule="auto"/>
        <w:ind w:firstLine="482" w:firstLineChars="200"/>
        <w:rPr>
          <w:rFonts w:hint="eastAsia"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交货期：</w:t>
      </w:r>
      <w:r>
        <w:rPr>
          <w:rFonts w:hint="eastAsia" w:ascii="宋体" w:hAnsi="宋体" w:cs="宋体"/>
          <w:color w:val="auto"/>
          <w:sz w:val="24"/>
          <w:szCs w:val="24"/>
          <w:highlight w:val="none"/>
          <w:lang w:eastAsia="zh-CN"/>
        </w:rPr>
        <w:t>具体交货时间以采购人指定时间为准。</w:t>
      </w:r>
    </w:p>
    <w:p w14:paraId="72500CDD">
      <w:pPr>
        <w:spacing w:line="360" w:lineRule="auto"/>
        <w:ind w:firstLine="482" w:firstLineChars="200"/>
        <w:rPr>
          <w:rFonts w:hint="eastAsia"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质量管护期：</w:t>
      </w:r>
      <w:r>
        <w:rPr>
          <w:rFonts w:hint="eastAsia" w:ascii="宋体" w:hAnsi="宋体" w:cs="宋体"/>
          <w:color w:val="auto"/>
          <w:sz w:val="24"/>
          <w:szCs w:val="24"/>
          <w:highlight w:val="none"/>
          <w:lang w:eastAsia="zh-CN"/>
        </w:rPr>
        <w:t>自花卉栽植、摆放完成并通过验收之日起至花期自然败落清理回收完成之日结束。</w:t>
      </w:r>
    </w:p>
    <w:p w14:paraId="6069B38E">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060BDEE3">
      <w:pPr>
        <w:tabs>
          <w:tab w:val="right" w:pos="4860"/>
        </w:tabs>
        <w:adjustRightInd w:val="0"/>
        <w:snapToGrid w:val="0"/>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第四部分  主要合同条款</w:t>
      </w:r>
    </w:p>
    <w:p w14:paraId="5BBC7C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kern w:val="2"/>
          <w:sz w:val="24"/>
          <w:szCs w:val="24"/>
          <w:lang w:val="en-US" w:eastAsia="zh-CN" w:bidi="ar-SA"/>
        </w:rPr>
        <w:t>一、</w:t>
      </w:r>
      <w:r>
        <w:rPr>
          <w:rFonts w:hint="eastAsia" w:ascii="宋体" w:hAnsi="宋体" w:eastAsia="宋体" w:cs="宋体"/>
          <w:b/>
          <w:bCs/>
          <w:sz w:val="24"/>
          <w:szCs w:val="24"/>
          <w:highlight w:val="none"/>
          <w:lang w:val="en-US" w:eastAsia="zh-CN"/>
        </w:rPr>
        <w:t>项目名称：</w:t>
      </w:r>
      <w:r>
        <w:rPr>
          <w:rFonts w:hint="eastAsia" w:ascii="宋体" w:hAnsi="宋体" w:cs="宋体"/>
          <w:b w:val="0"/>
          <w:bCs w:val="0"/>
          <w:sz w:val="24"/>
          <w:szCs w:val="24"/>
          <w:highlight w:val="none"/>
          <w:lang w:eastAsia="zh-CN"/>
        </w:rPr>
        <w:t>2026年度安康中心城区公园广场及公共绿地时令花卉采购项目（二期）</w:t>
      </w:r>
    </w:p>
    <w:p w14:paraId="21B229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二、合同价款</w:t>
      </w:r>
    </w:p>
    <w:p w14:paraId="260064A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(一)总价款为人民币:(小写) </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w:t>
      </w:r>
    </w:p>
    <w:p w14:paraId="0E5C081D">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w:t>
      </w:r>
    </w:p>
    <w:p w14:paraId="3B2F861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招标花卉量为估算用量，最终按实际验收完成量结算。</w:t>
      </w:r>
      <w:r>
        <w:rPr>
          <w:rFonts w:hint="eastAsia" w:ascii="宋体" w:hAnsi="宋体" w:eastAsia="宋体" w:cs="宋体"/>
          <w:i w:val="0"/>
          <w:iCs w:val="0"/>
          <w:color w:val="000000"/>
          <w:kern w:val="0"/>
          <w:sz w:val="24"/>
          <w:szCs w:val="24"/>
          <w:highlight w:val="none"/>
          <w:u w:val="none"/>
          <w:lang w:val="en-US" w:eastAsia="zh-CN" w:bidi="ar"/>
        </w:rPr>
        <w:t>最终成交价包含花卉的主材价、运输费、栽植摆放费、种植土、土工布、吸水棉铺设、海绵包土、pp材质网套固定、养护费、清理回收、各类花箱、花钵清洗等工作，过程中产生的人工、材料、清运等费用及按国家现行税收政策征收的一切税费等，养护时间自摆放之日起至花期结束，一般为60天（包含养护期内花卉损耗）。</w:t>
      </w:r>
    </w:p>
    <w:p w14:paraId="253B7AFD">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三、款项结算</w:t>
      </w:r>
    </w:p>
    <w:p w14:paraId="3A9C377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(一)合同价款的支付:</w:t>
      </w:r>
    </w:p>
    <w:p w14:paraId="745529C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乙方花卉摆放、</w:t>
      </w:r>
      <w:r>
        <w:rPr>
          <w:rFonts w:hint="eastAsia" w:ascii="宋体" w:hAnsi="宋体" w:eastAsia="宋体" w:cs="宋体"/>
          <w:color w:val="auto"/>
          <w:sz w:val="24"/>
          <w:szCs w:val="24"/>
          <w:highlight w:val="none"/>
          <w:u w:val="none"/>
          <w:lang w:val="en-US" w:eastAsia="zh-CN"/>
        </w:rPr>
        <w:t>栽植完成后付40%，</w:t>
      </w:r>
      <w:r>
        <w:rPr>
          <w:rFonts w:hint="eastAsia" w:ascii="宋体" w:hAnsi="宋体" w:eastAsia="宋体" w:cs="宋体"/>
          <w:color w:val="auto"/>
          <w:sz w:val="24"/>
          <w:szCs w:val="24"/>
          <w:highlight w:val="none"/>
          <w:u w:val="none"/>
        </w:rPr>
        <w:t>养护、清理等工作完成甲方验收合格后</w:t>
      </w:r>
      <w:r>
        <w:rPr>
          <w:rFonts w:hint="eastAsia" w:ascii="宋体" w:hAnsi="宋体" w:eastAsia="宋体" w:cs="宋体"/>
          <w:color w:val="auto"/>
          <w:sz w:val="24"/>
          <w:szCs w:val="24"/>
          <w:highlight w:val="none"/>
          <w:u w:val="none"/>
          <w:lang w:val="en-US" w:eastAsia="zh-CN"/>
        </w:rPr>
        <w:t>一次性付清剩余价款。</w:t>
      </w:r>
    </w:p>
    <w:p w14:paraId="3A8FBEE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支付方式:银行转帐</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由甲方负责与乙方结算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乙方必须按甲方要求开具正式发票。</w:t>
      </w:r>
    </w:p>
    <w:p w14:paraId="15A097A0">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四、交货条件:</w:t>
      </w:r>
    </w:p>
    <w:p w14:paraId="748BD49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(一)供货地点:</w:t>
      </w:r>
      <w:r>
        <w:rPr>
          <w:rFonts w:hint="eastAsia" w:ascii="宋体" w:hAnsi="宋体" w:eastAsia="宋体" w:cs="宋体"/>
          <w:sz w:val="24"/>
          <w:szCs w:val="24"/>
          <w:highlight w:val="none"/>
          <w:lang w:val="en-US" w:eastAsia="zh-CN"/>
        </w:rPr>
        <w:t>按甲方指定的点位</w:t>
      </w:r>
      <w:r>
        <w:rPr>
          <w:rFonts w:hint="eastAsia" w:ascii="宋体" w:hAnsi="宋体" w:eastAsia="宋体" w:cs="宋体"/>
          <w:sz w:val="24"/>
          <w:szCs w:val="24"/>
          <w:highlight w:val="none"/>
        </w:rPr>
        <w:t>栽植、摆放花卉。</w:t>
      </w:r>
    </w:p>
    <w:p w14:paraId="50FB697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(二)交货期:</w:t>
      </w:r>
      <w:r>
        <w:rPr>
          <w:rFonts w:hint="eastAsia" w:ascii="宋体" w:hAnsi="宋体" w:eastAsia="宋体" w:cs="宋体"/>
          <w:sz w:val="24"/>
          <w:szCs w:val="24"/>
          <w:lang w:val="en-US" w:eastAsia="zh-CN"/>
        </w:rPr>
        <w:t>以</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指</w:t>
      </w:r>
      <w:r>
        <w:rPr>
          <w:rFonts w:hint="eastAsia" w:ascii="宋体" w:hAnsi="宋体" w:eastAsia="宋体" w:cs="宋体"/>
          <w:sz w:val="24"/>
          <w:szCs w:val="24"/>
          <w:highlight w:val="none"/>
          <w:lang w:val="en-US" w:eastAsia="zh-CN"/>
        </w:rPr>
        <w:t>定时间</w:t>
      </w:r>
      <w:r>
        <w:rPr>
          <w:rFonts w:hint="eastAsia" w:ascii="宋体" w:hAnsi="宋体" w:eastAsia="宋体" w:cs="宋体"/>
          <w:sz w:val="24"/>
          <w:szCs w:val="24"/>
          <w:lang w:val="en-US" w:eastAsia="zh-CN"/>
        </w:rPr>
        <w:t>分批供货</w:t>
      </w:r>
      <w:r>
        <w:rPr>
          <w:rFonts w:hint="eastAsia" w:ascii="宋体" w:hAnsi="宋体" w:eastAsia="宋体" w:cs="宋体"/>
          <w:sz w:val="24"/>
          <w:szCs w:val="24"/>
          <w:highlight w:val="none"/>
          <w:lang w:val="en-US" w:eastAsia="zh-CN"/>
        </w:rPr>
        <w:t>。</w:t>
      </w:r>
    </w:p>
    <w:p w14:paraId="293ACFAC">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五、包装、运输要求</w:t>
      </w:r>
    </w:p>
    <w:p w14:paraId="21785A1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(一)乙方负责将花卉运抵甲方指定交货地点的一切运</w:t>
      </w:r>
      <w:r>
        <w:rPr>
          <w:rFonts w:hint="eastAsia" w:ascii="宋体" w:hAnsi="宋体" w:eastAsia="宋体" w:cs="宋体"/>
          <w:w w:val="98"/>
          <w:sz w:val="24"/>
          <w:szCs w:val="24"/>
          <w:highlight w:val="none"/>
        </w:rPr>
        <w:t>输事项，</w:t>
      </w:r>
      <w:r>
        <w:rPr>
          <w:rFonts w:hint="eastAsia" w:ascii="宋体" w:hAnsi="宋体" w:eastAsia="宋体" w:cs="宋体"/>
          <w:w w:val="98"/>
          <w:sz w:val="24"/>
          <w:szCs w:val="24"/>
          <w:highlight w:val="none"/>
          <w:lang w:val="en-US" w:eastAsia="zh-CN"/>
        </w:rPr>
        <w:t>发生的</w:t>
      </w:r>
      <w:r>
        <w:rPr>
          <w:rFonts w:hint="eastAsia" w:ascii="宋体" w:hAnsi="宋体" w:eastAsia="宋体" w:cs="宋体"/>
          <w:w w:val="98"/>
          <w:sz w:val="24"/>
          <w:szCs w:val="24"/>
          <w:highlight w:val="none"/>
        </w:rPr>
        <w:t>运杂费包含在</w:t>
      </w:r>
      <w:r>
        <w:rPr>
          <w:rFonts w:hint="eastAsia" w:ascii="宋体" w:hAnsi="宋体" w:eastAsia="宋体" w:cs="宋体"/>
          <w:w w:val="98"/>
          <w:sz w:val="24"/>
          <w:szCs w:val="24"/>
          <w:highlight w:val="none"/>
          <w:lang w:val="en-US" w:eastAsia="zh-CN"/>
        </w:rPr>
        <w:t>总价款</w:t>
      </w:r>
      <w:r>
        <w:rPr>
          <w:rFonts w:hint="eastAsia" w:ascii="宋体" w:hAnsi="宋体" w:eastAsia="宋体" w:cs="宋体"/>
          <w:w w:val="98"/>
          <w:sz w:val="24"/>
          <w:szCs w:val="24"/>
          <w:highlight w:val="none"/>
        </w:rPr>
        <w:t>内，包括从产品供应地点</w:t>
      </w:r>
      <w:r>
        <w:rPr>
          <w:rFonts w:hint="eastAsia" w:ascii="宋体" w:hAnsi="宋体" w:eastAsia="宋体" w:cs="宋体"/>
          <w:sz w:val="24"/>
          <w:szCs w:val="24"/>
          <w:highlight w:val="none"/>
        </w:rPr>
        <w:t>到交货地点所包含的运输费、装卸费、保险费等。</w:t>
      </w:r>
    </w:p>
    <w:p w14:paraId="609A86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(二)乙方须提供花卉运至最终目的地所需要的包装,以防止花卉在转运中损坏或变质。应保证</w:t>
      </w:r>
      <w:r>
        <w:rPr>
          <w:rFonts w:hint="eastAsia" w:ascii="宋体" w:hAnsi="宋体" w:eastAsia="宋体" w:cs="宋体"/>
          <w:sz w:val="24"/>
          <w:szCs w:val="24"/>
          <w:highlight w:val="none"/>
          <w:lang w:val="en-US" w:eastAsia="zh-CN"/>
        </w:rPr>
        <w:t>花卉在交货期内</w:t>
      </w:r>
      <w:r>
        <w:rPr>
          <w:rFonts w:hint="eastAsia" w:ascii="宋体" w:hAnsi="宋体" w:eastAsia="宋体" w:cs="宋体"/>
          <w:sz w:val="24"/>
          <w:szCs w:val="24"/>
          <w:highlight w:val="none"/>
        </w:rPr>
        <w:t>运输到</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指定地点，到场卸货必须在</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技术人员的监督下进行,花卉要充分做好保湿、保鲜、防晒、防雨淋、防风吹等防止其它损坏的必要保护措施，从而保护花卉能够经受长途运输。</w:t>
      </w:r>
    </w:p>
    <w:p w14:paraId="6ACF691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(三)乙方应承担由于其包装或防护措施不妥而引起的花卉损坏和丢失等任何损失造成的责任或费用。</w:t>
      </w:r>
    </w:p>
    <w:p w14:paraId="44601298">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六、质量及技术要求</w:t>
      </w:r>
    </w:p>
    <w:p w14:paraId="592E8F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241" w:firstLineChars="10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（一）栽植、摆放要求：</w:t>
      </w:r>
    </w:p>
    <w:p w14:paraId="4A7CB8D0">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1、供应商应根据采购人需求进行实施。具体在栽植或摆放花卉时应由采购人对花卉进行验收，经验收合格后方可进行栽植或摆放，如验收不合格，供应商必须无条件撤回，重新组织花源，并承担相应费用。</w:t>
      </w:r>
    </w:p>
    <w:p w14:paraId="0C783224">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花卉布设整体</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饱满密实、无空缺缝隙，配色协调美观、整体线条规整流畅，必须保证在</w:t>
      </w:r>
      <w:r>
        <w:rPr>
          <w:rFonts w:hint="eastAsia" w:ascii="宋体" w:hAnsi="宋体" w:eastAsia="宋体" w:cs="宋体"/>
          <w:color w:val="auto"/>
          <w:sz w:val="24"/>
          <w:szCs w:val="24"/>
          <w:highlight w:val="none"/>
          <w:lang w:val="en-US" w:eastAsia="zh-CN"/>
        </w:rPr>
        <w:t>节气</w:t>
      </w:r>
      <w:r>
        <w:rPr>
          <w:rFonts w:hint="eastAsia" w:ascii="宋体" w:hAnsi="宋体" w:eastAsia="宋体" w:cs="宋体"/>
          <w:color w:val="auto"/>
          <w:sz w:val="24"/>
          <w:szCs w:val="24"/>
          <w:highlight w:val="none"/>
          <w:lang w:eastAsia="zh-CN"/>
        </w:rPr>
        <w:t>期间鲜花盛开。</w:t>
      </w:r>
    </w:p>
    <w:p w14:paraId="179E10E8">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各栽植或摆放花卉的</w:t>
      </w:r>
      <w:r>
        <w:rPr>
          <w:rFonts w:hint="eastAsia" w:ascii="宋体" w:hAnsi="宋体" w:eastAsia="宋体" w:cs="宋体"/>
          <w:color w:val="auto"/>
          <w:sz w:val="24"/>
          <w:szCs w:val="24"/>
          <w:highlight w:val="none"/>
          <w:lang w:val="en-US" w:eastAsia="zh-CN"/>
        </w:rPr>
        <w:t>点位</w:t>
      </w:r>
      <w:r>
        <w:rPr>
          <w:rFonts w:hint="eastAsia" w:ascii="宋体" w:hAnsi="宋体" w:eastAsia="宋体" w:cs="宋体"/>
          <w:color w:val="auto"/>
          <w:sz w:val="24"/>
          <w:szCs w:val="24"/>
          <w:highlight w:val="none"/>
          <w:lang w:eastAsia="zh-CN"/>
        </w:rPr>
        <w:t>应保证鲜花盛开且花坛内不得出现黄土裸露、盆花枯死现象，现场无杂物、垃圾，花钵花盆摆放整齐统一、无倾倒凌乱，花盆外表保持干净整洁，不得附着花叶、泥土及各类杂物。</w:t>
      </w:r>
    </w:p>
    <w:p w14:paraId="4EAD046E">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各</w:t>
      </w:r>
      <w:r>
        <w:rPr>
          <w:rFonts w:hint="eastAsia" w:ascii="宋体" w:hAnsi="宋体" w:eastAsia="宋体" w:cs="宋体"/>
          <w:color w:val="auto"/>
          <w:sz w:val="24"/>
          <w:szCs w:val="24"/>
          <w:highlight w:val="none"/>
          <w:lang w:val="en-US" w:eastAsia="zh-CN"/>
        </w:rPr>
        <w:t>节点</w:t>
      </w:r>
      <w:r>
        <w:rPr>
          <w:rFonts w:hint="eastAsia" w:ascii="宋体" w:hAnsi="宋体" w:eastAsia="宋体" w:cs="宋体"/>
          <w:color w:val="auto"/>
          <w:sz w:val="24"/>
          <w:szCs w:val="24"/>
          <w:highlight w:val="none"/>
          <w:lang w:eastAsia="zh-CN"/>
        </w:rPr>
        <w:t>花卉规格统一</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lang w:eastAsia="zh-CN"/>
        </w:rPr>
        <w:t>，草花的根、茎、叶、花长势优良、花朵完好完整，叶色鲜亮无枯叶、焦边等问题；植株长势健壮无病害、无虫源。单株开花数量不少于三朵，整体配色协调、造型整洁美观。</w:t>
      </w:r>
    </w:p>
    <w:p w14:paraId="49229167">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成交供应商全权负责项目全过程花卉运输、现场栽植摆放、日常管护、后期清理回收以及全部花箱、花钵清洁清洗等全部工作。</w:t>
      </w:r>
    </w:p>
    <w:p w14:paraId="556F25EC">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在花卉栽植摆放期间，随摆随清，保证现场清洁，秩序井然，各布置点必须</w:t>
      </w:r>
      <w:r>
        <w:rPr>
          <w:rFonts w:hint="eastAsia" w:ascii="宋体" w:hAnsi="宋体" w:eastAsia="宋体" w:cs="宋体"/>
          <w:color w:val="auto"/>
          <w:sz w:val="24"/>
          <w:szCs w:val="24"/>
          <w:highlight w:val="none"/>
          <w:lang w:val="en-US" w:eastAsia="zh-CN"/>
        </w:rPr>
        <w:t>安排</w:t>
      </w:r>
      <w:r>
        <w:rPr>
          <w:rFonts w:hint="eastAsia" w:ascii="宋体" w:hAnsi="宋体" w:eastAsia="宋体" w:cs="宋体"/>
          <w:color w:val="auto"/>
          <w:sz w:val="24"/>
          <w:szCs w:val="24"/>
          <w:highlight w:val="none"/>
          <w:lang w:eastAsia="zh-CN"/>
        </w:rPr>
        <w:t>专人管理和养护。</w:t>
      </w:r>
    </w:p>
    <w:p w14:paraId="26626B30">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花期结束后，供应商须及时对全部残败、枯死花卉统一清理清运，现场恢复整洁。</w:t>
      </w:r>
    </w:p>
    <w:p w14:paraId="1B940F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（二）养护内容及要求:</w:t>
      </w:r>
    </w:p>
    <w:p w14:paraId="6612B03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管护</w:t>
      </w:r>
      <w:r>
        <w:rPr>
          <w:rFonts w:hint="eastAsia" w:ascii="宋体" w:hAnsi="宋体" w:eastAsia="宋体" w:cs="宋体"/>
          <w:color w:val="auto"/>
          <w:kern w:val="2"/>
          <w:sz w:val="24"/>
          <w:szCs w:val="24"/>
          <w:highlight w:val="none"/>
          <w:lang w:val="en-US" w:eastAsia="zh-CN" w:bidi="ar-SA"/>
        </w:rPr>
        <w:t>内容：负责花卉栽植、摆放期间的日常卫生保洁、浇水、除草、防虫打药等，负责各类花卉栽植、摆放期间的花箱、花钵清洗工作，对枯死、残败、缺失花卉及人为破坏的花卉及时进行清理、回收、补栽，维护良好的景观效果。</w:t>
      </w:r>
    </w:p>
    <w:p w14:paraId="110A23F6">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管护</w:t>
      </w:r>
      <w:r>
        <w:rPr>
          <w:rFonts w:hint="eastAsia" w:ascii="宋体" w:hAnsi="宋体" w:eastAsia="宋体" w:cs="宋体"/>
          <w:color w:val="auto"/>
          <w:kern w:val="2"/>
          <w:sz w:val="24"/>
          <w:szCs w:val="24"/>
          <w:highlight w:val="none"/>
          <w:lang w:val="en-US" w:eastAsia="zh-CN" w:bidi="ar-SA"/>
        </w:rPr>
        <w:t>要求：除人为不可抗力因素外，因管护不力(枯死、残败、缺失、病虫害等因素)造成的花卉死亡、缺失等进行补栽的花卉及各项费用需供应商承担。</w:t>
      </w:r>
    </w:p>
    <w:p w14:paraId="774F29C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七、</w:t>
      </w:r>
      <w:r>
        <w:rPr>
          <w:rFonts w:hint="eastAsia" w:ascii="宋体" w:hAnsi="宋体" w:eastAsia="宋体" w:cs="宋体"/>
          <w:b/>
          <w:bCs/>
          <w:sz w:val="24"/>
          <w:szCs w:val="24"/>
          <w:highlight w:val="none"/>
          <w:lang w:val="en-US" w:eastAsia="zh-CN"/>
        </w:rPr>
        <w:t>双方职责</w:t>
      </w:r>
    </w:p>
    <w:p w14:paraId="10B26CE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(一)甲方职责</w:t>
      </w:r>
    </w:p>
    <w:p w14:paraId="7F82FC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核实进场花卉品种、规格、数量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质量</w:t>
      </w:r>
      <w:r>
        <w:rPr>
          <w:rFonts w:hint="eastAsia" w:ascii="宋体" w:hAnsi="宋体" w:eastAsia="宋体" w:cs="宋体"/>
          <w:sz w:val="24"/>
          <w:szCs w:val="24"/>
          <w:highlight w:val="none"/>
        </w:rPr>
        <w:t>是否与“采购清单”相符，如不一致，督促乙方及时调换;</w:t>
      </w:r>
    </w:p>
    <w:p w14:paraId="3DDA3A0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协助乙方做好花卉栽植中的技术指导工作;</w:t>
      </w:r>
    </w:p>
    <w:p w14:paraId="45BD58C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负责合同履行，对花卉质量进行验收等事宜;</w:t>
      </w:r>
    </w:p>
    <w:p w14:paraId="6092D47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按实际收货清单支付花卉款项</w:t>
      </w:r>
      <w:r>
        <w:rPr>
          <w:rFonts w:hint="eastAsia" w:ascii="宋体" w:hAnsi="宋体" w:eastAsia="宋体" w:cs="宋体"/>
          <w:sz w:val="24"/>
          <w:szCs w:val="24"/>
          <w:highlight w:val="none"/>
          <w:lang w:eastAsia="zh-CN"/>
        </w:rPr>
        <w:t>。</w:t>
      </w:r>
    </w:p>
    <w:p w14:paraId="33984CB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(二)乙方职责</w:t>
      </w:r>
    </w:p>
    <w:p w14:paraId="1AB78CC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乙方必须</w:t>
      </w:r>
      <w:r>
        <w:rPr>
          <w:rFonts w:hint="eastAsia" w:ascii="宋体" w:hAnsi="宋体" w:eastAsia="宋体" w:cs="宋体"/>
          <w:sz w:val="24"/>
          <w:szCs w:val="24"/>
          <w:highlight w:val="none"/>
          <w:lang w:val="en-US" w:eastAsia="zh-CN"/>
        </w:rPr>
        <w:t>严格按照采购清单中要求的品种、规格数量、质量等提供花卉；</w:t>
      </w:r>
    </w:p>
    <w:p w14:paraId="687E83E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乙方必须提供花卉栽植验收合格之日起到栽植(摆放)结束期间的</w:t>
      </w:r>
      <w:r>
        <w:rPr>
          <w:rFonts w:hint="eastAsia" w:ascii="宋体" w:hAnsi="宋体" w:cs="宋体"/>
          <w:sz w:val="24"/>
          <w:szCs w:val="24"/>
          <w:highlight w:val="none"/>
          <w:lang w:eastAsia="zh-CN"/>
        </w:rPr>
        <w:t>管护</w:t>
      </w:r>
      <w:r>
        <w:rPr>
          <w:rFonts w:hint="eastAsia" w:ascii="宋体" w:hAnsi="宋体" w:eastAsia="宋体" w:cs="宋体"/>
          <w:sz w:val="24"/>
          <w:szCs w:val="24"/>
          <w:highlight w:val="none"/>
        </w:rPr>
        <w:t>管理服务;</w:t>
      </w:r>
    </w:p>
    <w:p w14:paraId="08DE134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乙方应提供</w:t>
      </w:r>
      <w:r>
        <w:rPr>
          <w:rFonts w:hint="eastAsia" w:ascii="宋体" w:hAnsi="宋体" w:eastAsia="宋体" w:cs="宋体"/>
          <w:sz w:val="24"/>
          <w:szCs w:val="24"/>
          <w:highlight w:val="none"/>
          <w:lang w:val="en-US" w:eastAsia="zh-CN"/>
        </w:rPr>
        <w:t>固定的</w:t>
      </w:r>
      <w:r>
        <w:rPr>
          <w:rFonts w:hint="eastAsia" w:ascii="宋体" w:hAnsi="宋体" w:cs="宋体"/>
          <w:sz w:val="24"/>
          <w:szCs w:val="24"/>
          <w:highlight w:val="none"/>
          <w:lang w:eastAsia="zh-CN"/>
        </w:rPr>
        <w:t>管护</w:t>
      </w:r>
      <w:r>
        <w:rPr>
          <w:rFonts w:hint="eastAsia" w:ascii="宋体" w:hAnsi="宋体" w:eastAsia="宋体" w:cs="宋体"/>
          <w:sz w:val="24"/>
          <w:szCs w:val="24"/>
          <w:highlight w:val="none"/>
        </w:rPr>
        <w:t>管理人员的地址、</w:t>
      </w:r>
      <w:r>
        <w:rPr>
          <w:rFonts w:hint="eastAsia" w:ascii="宋体" w:hAnsi="宋体" w:eastAsia="宋体" w:cs="宋体"/>
          <w:sz w:val="24"/>
          <w:szCs w:val="24"/>
          <w:highlight w:val="none"/>
          <w:lang w:val="en-US" w:eastAsia="zh-CN"/>
        </w:rPr>
        <w:t>联系</w:t>
      </w:r>
      <w:r>
        <w:rPr>
          <w:rFonts w:hint="eastAsia" w:ascii="宋体" w:hAnsi="宋体" w:eastAsia="宋体" w:cs="宋体"/>
          <w:sz w:val="24"/>
          <w:szCs w:val="24"/>
          <w:highlight w:val="none"/>
        </w:rPr>
        <w:t>电话等信息。</w:t>
      </w:r>
    </w:p>
    <w:p w14:paraId="71B0498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除人为不可抗力因素外，如因</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人为管护不力造成的花卉死亡，丢失等进行补栽的花卉需</w:t>
      </w:r>
      <w:r>
        <w:rPr>
          <w:rFonts w:hint="eastAsia" w:ascii="宋体" w:hAnsi="宋体" w:eastAsia="宋体" w:cs="宋体"/>
          <w:sz w:val="24"/>
          <w:szCs w:val="24"/>
          <w:highlight w:val="none"/>
          <w:lang w:val="en-US" w:eastAsia="zh-CN"/>
        </w:rPr>
        <w:t>由乙方</w:t>
      </w:r>
      <w:r>
        <w:rPr>
          <w:rFonts w:hint="eastAsia" w:ascii="宋体" w:hAnsi="宋体" w:eastAsia="宋体" w:cs="宋体"/>
          <w:sz w:val="24"/>
          <w:szCs w:val="24"/>
          <w:highlight w:val="none"/>
        </w:rPr>
        <w:t>自行承担费用。</w:t>
      </w:r>
    </w:p>
    <w:p w14:paraId="036A45C7">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八、验收</w:t>
      </w:r>
    </w:p>
    <w:p w14:paraId="18F9686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乙方应提前通知甲方，由甲方会同有关人员根据</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清单</w:t>
      </w:r>
      <w:r>
        <w:rPr>
          <w:rFonts w:hint="eastAsia" w:ascii="宋体" w:hAnsi="宋体" w:eastAsia="宋体" w:cs="宋体"/>
          <w:sz w:val="24"/>
          <w:szCs w:val="24"/>
          <w:highlight w:val="none"/>
          <w:lang w:val="en-US" w:eastAsia="zh-CN"/>
        </w:rPr>
        <w:t>及现场实际</w:t>
      </w:r>
      <w:r>
        <w:rPr>
          <w:rFonts w:hint="eastAsia" w:ascii="宋体" w:hAnsi="宋体" w:eastAsia="宋体" w:cs="宋体"/>
          <w:sz w:val="24"/>
          <w:szCs w:val="24"/>
          <w:highlight w:val="none"/>
        </w:rPr>
        <w:t>进行验收。</w:t>
      </w:r>
    </w:p>
    <w:p w14:paraId="225EAB9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(二)验收分为花卉</w:t>
      </w:r>
      <w:r>
        <w:rPr>
          <w:rFonts w:hint="eastAsia" w:ascii="宋体" w:hAnsi="宋体" w:eastAsia="宋体" w:cs="宋体"/>
          <w:sz w:val="24"/>
          <w:szCs w:val="24"/>
          <w:highlight w:val="none"/>
          <w:lang w:val="en-US" w:eastAsia="zh-CN"/>
        </w:rPr>
        <w:t>质量</w:t>
      </w:r>
      <w:r>
        <w:rPr>
          <w:rFonts w:hint="eastAsia" w:ascii="宋体" w:hAnsi="宋体" w:eastAsia="宋体" w:cs="宋体"/>
          <w:sz w:val="24"/>
          <w:szCs w:val="24"/>
          <w:highlight w:val="none"/>
        </w:rPr>
        <w:t>验收和栽植验收:</w:t>
      </w:r>
    </w:p>
    <w:p w14:paraId="3163751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(1)花卉的验收包括:花卉到货后甲方确认产品数量、外观、质量、包装和乙方承诺的其它指标。</w:t>
      </w:r>
    </w:p>
    <w:p w14:paraId="75A878B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(2)栽植竣工验收包括对整个项目整体质量的验收，验收依据</w:t>
      </w:r>
      <w:r>
        <w:rPr>
          <w:rFonts w:hint="eastAsia" w:ascii="宋体" w:hAnsi="宋体" w:eastAsia="宋体" w:cs="宋体"/>
          <w:sz w:val="24"/>
          <w:szCs w:val="24"/>
          <w:highlight w:val="none"/>
          <w:lang w:val="en-US" w:eastAsia="zh-CN"/>
        </w:rPr>
        <w:t>招投标文件、合同</w:t>
      </w:r>
      <w:r>
        <w:rPr>
          <w:rFonts w:hint="eastAsia" w:ascii="宋体" w:hAnsi="宋体" w:eastAsia="宋体" w:cs="宋体"/>
          <w:sz w:val="24"/>
          <w:szCs w:val="24"/>
          <w:highlight w:val="none"/>
        </w:rPr>
        <w:t>要求进行。</w:t>
      </w:r>
    </w:p>
    <w:p w14:paraId="4EADB61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)验收合格后，乙方应与甲方办理相关的验收手续，填写验收单，验收各方签字后送合同各方。</w:t>
      </w:r>
    </w:p>
    <w:p w14:paraId="1A5E421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)验收依据:</w:t>
      </w:r>
    </w:p>
    <w:p w14:paraId="6449049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1、合同文本、</w:t>
      </w:r>
      <w:r>
        <w:rPr>
          <w:rFonts w:hint="eastAsia" w:ascii="宋体" w:hAnsi="宋体" w:eastAsia="宋体" w:cs="宋体"/>
          <w:sz w:val="24"/>
          <w:szCs w:val="24"/>
          <w:highlight w:val="none"/>
          <w:lang w:eastAsia="zh-CN"/>
        </w:rPr>
        <w:t>招标文件、投标文件</w:t>
      </w:r>
      <w:r>
        <w:rPr>
          <w:rFonts w:hint="eastAsia" w:ascii="宋体" w:hAnsi="宋体" w:eastAsia="宋体" w:cs="宋体"/>
          <w:sz w:val="24"/>
          <w:szCs w:val="24"/>
          <w:highlight w:val="none"/>
        </w:rPr>
        <w:t>。</w:t>
      </w:r>
    </w:p>
    <w:p w14:paraId="491E14F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2.按照国家《园林绿化养护标准》CJJ/T287-2018和陕西省《城市绿化养护技术规程》DBJ61-50-2008有关花卉养护验收质量分级标准执行。</w:t>
      </w:r>
    </w:p>
    <w:p w14:paraId="5B8D2DC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九、质量管护期</w:t>
      </w:r>
    </w:p>
    <w:p w14:paraId="492384A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质量管护期自花卉栽植、摆放完成</w:t>
      </w:r>
      <w:r>
        <w:rPr>
          <w:rFonts w:hint="eastAsia" w:ascii="宋体" w:hAnsi="宋体" w:eastAsia="宋体" w:cs="宋体"/>
          <w:sz w:val="24"/>
          <w:szCs w:val="24"/>
          <w:highlight w:val="none"/>
          <w:lang w:val="en-US" w:eastAsia="zh-CN"/>
        </w:rPr>
        <w:t>验收</w:t>
      </w:r>
      <w:r>
        <w:rPr>
          <w:rFonts w:hint="eastAsia" w:ascii="宋体" w:hAnsi="宋体" w:eastAsia="宋体" w:cs="宋体"/>
          <w:sz w:val="24"/>
          <w:szCs w:val="24"/>
          <w:highlight w:val="none"/>
        </w:rPr>
        <w:t>之日起至花期自然败落清理回收完成之日结束。</w:t>
      </w:r>
    </w:p>
    <w:p w14:paraId="7844D819">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第五部分</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投标文件格式</w:t>
      </w:r>
    </w:p>
    <w:p w14:paraId="52B0C00D">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6848625C">
      <w:pPr>
        <w:adjustRightInd w:val="0"/>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项目编号：</w:t>
      </w:r>
      <w:r>
        <w:rPr>
          <w:rFonts w:hint="eastAsia" w:ascii="宋体" w:hAnsi="宋体" w:cs="宋体"/>
          <w:b/>
          <w:color w:val="auto"/>
          <w:sz w:val="24"/>
          <w:szCs w:val="24"/>
          <w:highlight w:val="none"/>
          <w:lang w:eastAsia="zh-CN"/>
        </w:rPr>
        <w:t>SXZY-AK2026028</w:t>
      </w:r>
    </w:p>
    <w:p w14:paraId="6F349806">
      <w:pPr>
        <w:tabs>
          <w:tab w:val="right" w:pos="4860"/>
        </w:tabs>
        <w:adjustRightInd w:val="0"/>
        <w:snapToGrid w:val="0"/>
        <w:spacing w:line="360" w:lineRule="auto"/>
        <w:jc w:val="right"/>
        <w:rPr>
          <w:rFonts w:ascii="宋体" w:hAnsi="宋体" w:cs="宋体"/>
          <w:b/>
          <w:color w:val="auto"/>
          <w:sz w:val="24"/>
          <w:szCs w:val="24"/>
          <w:highlight w:val="none"/>
        </w:rPr>
      </w:pPr>
    </w:p>
    <w:p w14:paraId="53726FAF">
      <w:pPr>
        <w:adjustRightInd w:val="0"/>
        <w:snapToGrid w:val="0"/>
        <w:spacing w:line="400" w:lineRule="exact"/>
        <w:jc w:val="left"/>
        <w:rPr>
          <w:rFonts w:ascii="宋体" w:hAnsi="宋体" w:cs="宋体"/>
          <w:b/>
          <w:color w:val="auto"/>
          <w:sz w:val="24"/>
          <w:szCs w:val="24"/>
          <w:highlight w:val="none"/>
        </w:rPr>
      </w:pPr>
    </w:p>
    <w:p w14:paraId="3BC9CE8C">
      <w:pPr>
        <w:adjustRightInd w:val="0"/>
        <w:snapToGrid w:val="0"/>
        <w:spacing w:line="400" w:lineRule="exact"/>
        <w:jc w:val="left"/>
        <w:rPr>
          <w:rFonts w:ascii="宋体" w:hAnsi="宋体" w:cs="宋体"/>
          <w:b/>
          <w:color w:val="auto"/>
          <w:sz w:val="24"/>
          <w:szCs w:val="24"/>
          <w:highlight w:val="none"/>
        </w:rPr>
      </w:pPr>
    </w:p>
    <w:p w14:paraId="41AE3124">
      <w:pPr>
        <w:adjustRightInd w:val="0"/>
        <w:snapToGrid w:val="0"/>
        <w:spacing w:line="400" w:lineRule="exact"/>
        <w:jc w:val="left"/>
        <w:rPr>
          <w:rFonts w:ascii="宋体" w:hAnsi="宋体" w:cs="宋体"/>
          <w:b/>
          <w:color w:val="auto"/>
          <w:sz w:val="24"/>
          <w:szCs w:val="24"/>
          <w:highlight w:val="none"/>
        </w:rPr>
      </w:pPr>
    </w:p>
    <w:p w14:paraId="0F2A764B">
      <w:pPr>
        <w:adjustRightInd w:val="0"/>
        <w:snapToGrid w:val="0"/>
        <w:spacing w:line="400" w:lineRule="exact"/>
        <w:jc w:val="left"/>
        <w:rPr>
          <w:rFonts w:ascii="宋体" w:hAnsi="宋体" w:cs="宋体"/>
          <w:b/>
          <w:color w:val="auto"/>
          <w:sz w:val="24"/>
          <w:szCs w:val="24"/>
          <w:highlight w:val="none"/>
        </w:rPr>
      </w:pPr>
    </w:p>
    <w:p w14:paraId="140F233F">
      <w:pPr>
        <w:adjustRightInd w:val="0"/>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lang w:eastAsia="zh-CN"/>
        </w:rPr>
        <w:t>2026年度安康中心城区公园广场及公共绿地时令花卉采购项目（二期）</w:t>
      </w:r>
      <w:r>
        <w:rPr>
          <w:rFonts w:hint="eastAsia" w:ascii="宋体" w:hAnsi="宋体" w:cs="宋体"/>
          <w:b/>
          <w:color w:val="auto"/>
          <w:sz w:val="44"/>
          <w:szCs w:val="44"/>
          <w:highlight w:val="none"/>
        </w:rPr>
        <w:t>（</w:t>
      </w:r>
      <w:r>
        <w:rPr>
          <w:rFonts w:hint="eastAsia" w:ascii="宋体" w:hAnsi="宋体" w:cs="宋体"/>
          <w:b/>
          <w:color w:val="auto"/>
          <w:sz w:val="44"/>
          <w:szCs w:val="44"/>
          <w:highlight w:val="none"/>
          <w:u w:val="single"/>
          <w:lang w:val="en-US" w:eastAsia="zh-CN"/>
        </w:rPr>
        <w:t xml:space="preserve">   </w:t>
      </w:r>
      <w:r>
        <w:rPr>
          <w:rFonts w:hint="eastAsia" w:ascii="宋体" w:hAnsi="宋体" w:cs="宋体"/>
          <w:b/>
          <w:color w:val="auto"/>
          <w:sz w:val="44"/>
          <w:szCs w:val="44"/>
          <w:highlight w:val="none"/>
          <w:lang w:val="en-US" w:eastAsia="zh-CN"/>
        </w:rPr>
        <w:t>标段</w:t>
      </w:r>
      <w:r>
        <w:rPr>
          <w:rFonts w:hint="eastAsia" w:ascii="宋体" w:hAnsi="宋体" w:cs="宋体"/>
          <w:b/>
          <w:color w:val="auto"/>
          <w:sz w:val="44"/>
          <w:szCs w:val="44"/>
          <w:highlight w:val="none"/>
        </w:rPr>
        <w:t>）</w:t>
      </w:r>
    </w:p>
    <w:p w14:paraId="53999C30">
      <w:pPr>
        <w:adjustRightInd w:val="0"/>
        <w:snapToGrid w:val="0"/>
        <w:spacing w:line="360" w:lineRule="auto"/>
        <w:jc w:val="center"/>
        <w:rPr>
          <w:rFonts w:ascii="宋体" w:hAnsi="宋体" w:cs="宋体"/>
          <w:b/>
          <w:color w:val="auto"/>
          <w:sz w:val="44"/>
          <w:szCs w:val="44"/>
          <w:highlight w:val="none"/>
        </w:rPr>
      </w:pPr>
    </w:p>
    <w:p w14:paraId="5FD4A1AF">
      <w:pPr>
        <w:adjustRightInd w:val="0"/>
        <w:snapToGrid w:val="0"/>
        <w:spacing w:line="360" w:lineRule="auto"/>
        <w:jc w:val="center"/>
        <w:rPr>
          <w:rFonts w:ascii="宋体" w:hAnsi="宋体" w:cs="宋体"/>
          <w:b/>
          <w:color w:val="auto"/>
          <w:sz w:val="44"/>
          <w:szCs w:val="44"/>
          <w:highlight w:val="none"/>
        </w:rPr>
      </w:pPr>
    </w:p>
    <w:p w14:paraId="05701ADD">
      <w:pPr>
        <w:adjustRightInd w:val="0"/>
        <w:snapToGrid w:val="0"/>
        <w:spacing w:line="360" w:lineRule="auto"/>
        <w:jc w:val="center"/>
        <w:rPr>
          <w:rFonts w:ascii="宋体" w:hAnsi="宋体" w:cs="宋体"/>
          <w:color w:val="auto"/>
          <w:sz w:val="24"/>
          <w:szCs w:val="24"/>
          <w:highlight w:val="none"/>
        </w:rPr>
      </w:pPr>
      <w:r>
        <w:rPr>
          <w:rFonts w:hint="eastAsia" w:ascii="宋体" w:hAnsi="宋体" w:cs="宋体"/>
          <w:b/>
          <w:color w:val="auto"/>
          <w:sz w:val="44"/>
          <w:szCs w:val="44"/>
          <w:highlight w:val="none"/>
        </w:rPr>
        <w:t>投标文件</w:t>
      </w:r>
    </w:p>
    <w:p w14:paraId="04D1D3C8">
      <w:pPr>
        <w:adjustRightInd w:val="0"/>
        <w:snapToGrid w:val="0"/>
        <w:spacing w:line="360" w:lineRule="auto"/>
        <w:rPr>
          <w:rFonts w:ascii="宋体" w:hAnsi="宋体" w:cs="宋体"/>
          <w:color w:val="auto"/>
          <w:sz w:val="24"/>
          <w:szCs w:val="24"/>
          <w:highlight w:val="none"/>
        </w:rPr>
      </w:pPr>
    </w:p>
    <w:p w14:paraId="74CAD366">
      <w:pPr>
        <w:adjustRightInd w:val="0"/>
        <w:snapToGrid w:val="0"/>
        <w:spacing w:line="360" w:lineRule="auto"/>
        <w:ind w:firstLine="2070"/>
        <w:rPr>
          <w:rFonts w:ascii="宋体" w:hAnsi="宋体" w:cs="宋体"/>
          <w:color w:val="auto"/>
          <w:sz w:val="24"/>
          <w:szCs w:val="24"/>
          <w:highlight w:val="none"/>
        </w:rPr>
      </w:pPr>
    </w:p>
    <w:p w14:paraId="2F898C8F">
      <w:pPr>
        <w:pStyle w:val="34"/>
        <w:ind w:firstLine="480"/>
        <w:rPr>
          <w:rFonts w:ascii="宋体" w:hAnsi="宋体" w:cs="宋体"/>
          <w:color w:val="auto"/>
          <w:sz w:val="24"/>
          <w:szCs w:val="24"/>
          <w:highlight w:val="none"/>
        </w:rPr>
      </w:pPr>
    </w:p>
    <w:p w14:paraId="5F7376EE">
      <w:pPr>
        <w:pStyle w:val="34"/>
        <w:ind w:firstLine="480"/>
        <w:rPr>
          <w:rFonts w:ascii="宋体" w:hAnsi="宋体" w:cs="宋体"/>
          <w:color w:val="auto"/>
          <w:sz w:val="24"/>
          <w:szCs w:val="24"/>
          <w:highlight w:val="none"/>
        </w:rPr>
      </w:pPr>
    </w:p>
    <w:p w14:paraId="1613D629">
      <w:pPr>
        <w:pStyle w:val="34"/>
        <w:ind w:firstLine="480"/>
        <w:rPr>
          <w:rFonts w:ascii="宋体" w:hAnsi="宋体" w:cs="宋体"/>
          <w:color w:val="auto"/>
          <w:sz w:val="24"/>
          <w:szCs w:val="24"/>
          <w:highlight w:val="none"/>
        </w:rPr>
      </w:pPr>
    </w:p>
    <w:p w14:paraId="7A1C6E5E">
      <w:pPr>
        <w:pStyle w:val="34"/>
        <w:ind w:firstLine="0" w:firstLineChars="0"/>
        <w:rPr>
          <w:rFonts w:ascii="宋体" w:hAnsi="宋体" w:cs="宋体"/>
          <w:color w:val="auto"/>
          <w:sz w:val="24"/>
          <w:szCs w:val="24"/>
          <w:highlight w:val="none"/>
        </w:rPr>
      </w:pPr>
    </w:p>
    <w:p w14:paraId="42078018">
      <w:pPr>
        <w:pStyle w:val="34"/>
        <w:ind w:firstLine="480"/>
        <w:rPr>
          <w:rFonts w:ascii="宋体" w:hAnsi="宋体" w:cs="宋体"/>
          <w:color w:val="auto"/>
          <w:sz w:val="24"/>
          <w:szCs w:val="24"/>
          <w:highlight w:val="none"/>
        </w:rPr>
      </w:pPr>
    </w:p>
    <w:p w14:paraId="4481C4FD">
      <w:pPr>
        <w:pStyle w:val="34"/>
        <w:ind w:firstLine="480"/>
        <w:rPr>
          <w:rFonts w:ascii="宋体" w:hAnsi="宋体" w:cs="宋体"/>
          <w:color w:val="auto"/>
          <w:sz w:val="24"/>
          <w:szCs w:val="24"/>
          <w:highlight w:val="none"/>
        </w:rPr>
      </w:pPr>
    </w:p>
    <w:p w14:paraId="44C34FE1">
      <w:pPr>
        <w:adjustRightInd w:val="0"/>
        <w:snapToGrid w:val="0"/>
        <w:spacing w:line="720" w:lineRule="auto"/>
        <w:ind w:firstLine="1576"/>
        <w:rPr>
          <w:rFonts w:ascii="宋体" w:hAnsi="宋体" w:cs="宋体"/>
          <w:b/>
          <w:bCs/>
          <w:color w:val="auto"/>
          <w:sz w:val="24"/>
          <w:szCs w:val="24"/>
          <w:highlight w:val="none"/>
        </w:rPr>
      </w:pPr>
      <w:r>
        <w:rPr>
          <w:rFonts w:hint="eastAsia" w:ascii="宋体" w:hAnsi="宋体" w:cs="宋体"/>
          <w:b/>
          <w:bCs/>
          <w:color w:val="auto"/>
          <w:sz w:val="24"/>
          <w:szCs w:val="24"/>
          <w:highlight w:val="none"/>
        </w:rPr>
        <w:t>供应商名称</w:t>
      </w:r>
      <w:r>
        <w:rPr>
          <w:rFonts w:hint="eastAsia" w:ascii="宋体" w:hAnsi="宋体" w:cs="宋体"/>
          <w:b/>
          <w:color w:val="auto"/>
          <w:sz w:val="24"/>
          <w:szCs w:val="24"/>
          <w:highlight w:val="none"/>
        </w:rPr>
        <w:t>：（盖章）</w:t>
      </w:r>
    </w:p>
    <w:p w14:paraId="694D5D7B">
      <w:pPr>
        <w:adjustRightInd w:val="0"/>
        <w:snapToGrid w:val="0"/>
        <w:spacing w:line="720" w:lineRule="auto"/>
        <w:ind w:firstLine="1576"/>
        <w:rPr>
          <w:rFonts w:ascii="宋体" w:hAnsi="宋体" w:cs="宋体"/>
          <w:b/>
          <w:color w:val="auto"/>
          <w:sz w:val="24"/>
          <w:szCs w:val="24"/>
          <w:highlight w:val="none"/>
        </w:rPr>
      </w:pPr>
      <w:r>
        <w:rPr>
          <w:rFonts w:hint="eastAsia" w:ascii="宋体" w:hAnsi="宋体" w:cs="宋体"/>
          <w:b/>
          <w:bCs/>
          <w:color w:val="auto"/>
          <w:sz w:val="24"/>
          <w:szCs w:val="24"/>
          <w:highlight w:val="none"/>
        </w:rPr>
        <w:t>法人或被授权人</w:t>
      </w:r>
      <w:r>
        <w:rPr>
          <w:rFonts w:hint="eastAsia" w:ascii="宋体" w:hAnsi="宋体" w:cs="宋体"/>
          <w:b/>
          <w:color w:val="auto"/>
          <w:sz w:val="24"/>
          <w:szCs w:val="24"/>
          <w:highlight w:val="none"/>
        </w:rPr>
        <w:t>：（签字或盖章）</w:t>
      </w:r>
    </w:p>
    <w:p w14:paraId="3465B55D">
      <w:pPr>
        <w:adjustRightInd w:val="0"/>
        <w:snapToGrid w:val="0"/>
        <w:spacing w:line="720" w:lineRule="auto"/>
        <w:ind w:firstLine="1576"/>
        <w:rPr>
          <w:rFonts w:ascii="宋体" w:hAnsi="宋体" w:cs="宋体"/>
          <w:color w:val="auto"/>
          <w:sz w:val="24"/>
          <w:szCs w:val="24"/>
          <w:highlight w:val="none"/>
        </w:rPr>
      </w:pPr>
      <w:r>
        <w:rPr>
          <w:rFonts w:hint="eastAsia" w:ascii="宋体" w:hAnsi="宋体" w:cs="宋体"/>
          <w:b/>
          <w:color w:val="auto"/>
          <w:sz w:val="24"/>
          <w:szCs w:val="24"/>
          <w:highlight w:val="none"/>
        </w:rPr>
        <w:t>时间</w:t>
      </w:r>
      <w:r>
        <w:rPr>
          <w:rFonts w:hint="eastAsia" w:ascii="宋体" w:hAnsi="宋体" w:cs="宋体"/>
          <w:color w:val="auto"/>
          <w:sz w:val="24"/>
          <w:szCs w:val="24"/>
          <w:highlight w:val="none"/>
        </w:rPr>
        <w:t>：</w:t>
      </w:r>
    </w:p>
    <w:p w14:paraId="19431105">
      <w:pPr>
        <w:rPr>
          <w:color w:val="auto"/>
          <w:highlight w:val="none"/>
        </w:rPr>
      </w:pPr>
    </w:p>
    <w:p w14:paraId="72088D18">
      <w:pPr>
        <w:pStyle w:val="8"/>
        <w:rPr>
          <w:color w:val="auto"/>
          <w:highlight w:val="none"/>
        </w:rPr>
      </w:pPr>
    </w:p>
    <w:p w14:paraId="626DBC5F">
      <w:pPr>
        <w:jc w:val="center"/>
        <w:rPr>
          <w:rFonts w:ascii="宋体" w:hAnsi="宋体" w:cs="宋体"/>
          <w:b/>
          <w:color w:val="auto"/>
          <w:sz w:val="24"/>
          <w:szCs w:val="24"/>
          <w:highlight w:val="none"/>
        </w:rPr>
      </w:pPr>
    </w:p>
    <w:p w14:paraId="5CE54020">
      <w:pPr>
        <w:jc w:val="center"/>
        <w:rPr>
          <w:rFonts w:ascii="宋体" w:hAnsi="宋体" w:cs="宋体"/>
          <w:b/>
          <w:color w:val="auto"/>
          <w:sz w:val="24"/>
          <w:szCs w:val="24"/>
          <w:highlight w:val="none"/>
        </w:rPr>
      </w:pPr>
    </w:p>
    <w:p w14:paraId="570B1329">
      <w:pPr>
        <w:rPr>
          <w:rFonts w:ascii="宋体" w:hAnsi="宋体" w:cs="宋体"/>
          <w:b/>
          <w:color w:val="auto"/>
          <w:sz w:val="24"/>
          <w:szCs w:val="24"/>
          <w:highlight w:val="none"/>
        </w:rPr>
      </w:pPr>
    </w:p>
    <w:p w14:paraId="2CB3861D">
      <w:pPr>
        <w:jc w:val="center"/>
        <w:rPr>
          <w:rFonts w:ascii="宋体" w:hAnsi="宋体" w:cs="宋体"/>
          <w:b/>
          <w:color w:val="auto"/>
          <w:sz w:val="24"/>
          <w:szCs w:val="24"/>
          <w:highlight w:val="none"/>
        </w:rPr>
      </w:pPr>
      <w:r>
        <w:rPr>
          <w:rFonts w:hint="eastAsia" w:ascii="宋体" w:hAnsi="宋体" w:cs="宋体"/>
          <w:b/>
          <w:color w:val="auto"/>
          <w:sz w:val="24"/>
          <w:szCs w:val="24"/>
          <w:highlight w:val="none"/>
        </w:rPr>
        <w:t>目录</w:t>
      </w:r>
    </w:p>
    <w:p w14:paraId="0E8786ED">
      <w:pPr>
        <w:pStyle w:val="12"/>
        <w:spacing w:after="156"/>
        <w:rPr>
          <w:color w:val="auto"/>
          <w:highlight w:val="none"/>
        </w:rPr>
      </w:pPr>
    </w:p>
    <w:p w14:paraId="5A075A6A">
      <w:pPr>
        <w:pStyle w:val="25"/>
        <w:ind w:firstLine="241"/>
        <w:jc w:val="center"/>
        <w:rPr>
          <w:rFonts w:ascii="宋体" w:hAnsi="宋体" w:cs="宋体"/>
          <w:color w:val="auto"/>
          <w:sz w:val="24"/>
          <w:szCs w:val="24"/>
          <w:highlight w:val="none"/>
        </w:rPr>
      </w:pPr>
      <w:r>
        <w:rPr>
          <w:rFonts w:hint="eastAsia" w:ascii="宋体" w:hAnsi="宋体" w:cs="宋体"/>
          <w:b/>
          <w:color w:val="auto"/>
          <w:sz w:val="24"/>
          <w:szCs w:val="24"/>
          <w:highlight w:val="none"/>
        </w:rPr>
        <w:t>（必须包含以下内容，但不限于以下内容，可以扩充）</w:t>
      </w:r>
    </w:p>
    <w:p w14:paraId="705016C9">
      <w:pPr>
        <w:adjustRightInd w:val="0"/>
        <w:snapToGrid w:val="0"/>
        <w:spacing w:line="240" w:lineRule="exact"/>
        <w:rPr>
          <w:rFonts w:ascii="宋体" w:hAnsi="宋体" w:cs="宋体"/>
          <w:b/>
          <w:color w:val="auto"/>
          <w:sz w:val="24"/>
          <w:szCs w:val="24"/>
          <w:highlight w:val="none"/>
        </w:rPr>
      </w:pPr>
    </w:p>
    <w:p w14:paraId="16C1FEF1">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第一部分：投标函</w:t>
      </w:r>
    </w:p>
    <w:p w14:paraId="71716D04">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第二部分：投标报价表（唱标报告）</w:t>
      </w:r>
    </w:p>
    <w:p w14:paraId="4F4BF0A2">
      <w:pPr>
        <w:adjustRightInd w:val="0"/>
        <w:snapToGrid w:val="0"/>
        <w:spacing w:line="480" w:lineRule="auto"/>
        <w:ind w:firstLine="3614" w:firstLineChars="1500"/>
        <w:rPr>
          <w:rFonts w:ascii="宋体" w:hAnsi="宋体" w:cs="宋体"/>
          <w:b/>
          <w:color w:val="auto"/>
          <w:sz w:val="24"/>
          <w:szCs w:val="24"/>
          <w:highlight w:val="none"/>
        </w:rPr>
      </w:pPr>
      <w:r>
        <w:rPr>
          <w:rFonts w:hint="eastAsia" w:ascii="宋体" w:hAnsi="宋体" w:cs="宋体"/>
          <w:b/>
          <w:color w:val="auto"/>
          <w:sz w:val="24"/>
          <w:szCs w:val="24"/>
          <w:highlight w:val="none"/>
        </w:rPr>
        <w:t>投标分项报价表</w:t>
      </w:r>
    </w:p>
    <w:p w14:paraId="61D1748C">
      <w:pPr>
        <w:pStyle w:val="12"/>
        <w:spacing w:after="156"/>
        <w:ind w:left="1050" w:leftChars="500" w:firstLine="1446" w:firstLineChars="600"/>
        <w:rPr>
          <w:rFonts w:cs="宋体"/>
          <w:b/>
          <w:color w:val="auto"/>
          <w:szCs w:val="24"/>
          <w:highlight w:val="none"/>
        </w:rPr>
      </w:pPr>
      <w:r>
        <w:rPr>
          <w:rFonts w:hint="eastAsia" w:cs="宋体"/>
          <w:b/>
          <w:color w:val="auto"/>
          <w:szCs w:val="24"/>
          <w:highlight w:val="none"/>
        </w:rPr>
        <w:t>第三部分</w:t>
      </w:r>
      <w:r>
        <w:rPr>
          <w:rFonts w:hint="eastAsia" w:cs="宋体"/>
          <w:b/>
          <w:color w:val="auto"/>
          <w:szCs w:val="24"/>
          <w:highlight w:val="none"/>
          <w:lang w:eastAsia="zh-CN"/>
        </w:rPr>
        <w:t>：</w:t>
      </w:r>
      <w:r>
        <w:rPr>
          <w:rFonts w:hint="eastAsia" w:cs="宋体"/>
          <w:b/>
          <w:color w:val="auto"/>
          <w:szCs w:val="24"/>
          <w:highlight w:val="none"/>
        </w:rPr>
        <w:t>商务响应表</w:t>
      </w:r>
    </w:p>
    <w:p w14:paraId="4755F99F">
      <w:pPr>
        <w:pStyle w:val="12"/>
        <w:spacing w:after="156"/>
        <w:ind w:left="1050" w:leftChars="500" w:firstLine="1446" w:firstLineChars="600"/>
        <w:rPr>
          <w:color w:val="auto"/>
          <w:highlight w:val="none"/>
        </w:rPr>
      </w:pPr>
      <w:r>
        <w:rPr>
          <w:rFonts w:hint="eastAsia" w:cs="宋体"/>
          <w:b/>
          <w:color w:val="auto"/>
          <w:szCs w:val="24"/>
          <w:highlight w:val="none"/>
        </w:rPr>
        <w:t>第四部分</w:t>
      </w:r>
      <w:r>
        <w:rPr>
          <w:rFonts w:hint="eastAsia" w:cs="宋体"/>
          <w:b/>
          <w:color w:val="auto"/>
          <w:szCs w:val="24"/>
          <w:highlight w:val="none"/>
          <w:lang w:eastAsia="zh-CN"/>
        </w:rPr>
        <w:t>：</w:t>
      </w:r>
      <w:r>
        <w:rPr>
          <w:rFonts w:hint="eastAsia" w:cs="宋体"/>
          <w:b/>
          <w:color w:val="auto"/>
          <w:szCs w:val="24"/>
          <w:highlight w:val="none"/>
        </w:rPr>
        <w:t>技术响应偏离表</w:t>
      </w:r>
    </w:p>
    <w:p w14:paraId="55C3E39B">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第五部分：法人代表授权书</w:t>
      </w:r>
    </w:p>
    <w:p w14:paraId="3C36263B">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第六部分：供应商资格证明</w:t>
      </w:r>
    </w:p>
    <w:p w14:paraId="6EEE2667">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第七部分：投标方案</w:t>
      </w:r>
    </w:p>
    <w:p w14:paraId="797EB4F9">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第八部分：售后承诺</w:t>
      </w:r>
    </w:p>
    <w:p w14:paraId="42C9F403">
      <w:pPr>
        <w:adjustRightInd w:val="0"/>
        <w:snapToGrid w:val="0"/>
        <w:spacing w:line="480" w:lineRule="auto"/>
        <w:ind w:left="840" w:leftChars="400" w:firstLine="1600"/>
        <w:rPr>
          <w:rFonts w:ascii="宋体" w:hAnsi="宋体" w:cs="宋体"/>
          <w:b/>
          <w:color w:val="auto"/>
          <w:kern w:val="0"/>
          <w:sz w:val="24"/>
          <w:szCs w:val="24"/>
          <w:highlight w:val="none"/>
        </w:rPr>
      </w:pPr>
      <w:r>
        <w:rPr>
          <w:rFonts w:hint="eastAsia" w:ascii="宋体" w:hAnsi="宋体" w:cs="宋体"/>
          <w:b/>
          <w:color w:val="auto"/>
          <w:sz w:val="24"/>
          <w:szCs w:val="24"/>
          <w:highlight w:val="none"/>
        </w:rPr>
        <w:t>第九部分：</w:t>
      </w:r>
      <w:r>
        <w:rPr>
          <w:rFonts w:hint="eastAsia" w:ascii="宋体" w:hAnsi="宋体" w:cs="宋体"/>
          <w:b/>
          <w:color w:val="auto"/>
          <w:kern w:val="0"/>
          <w:sz w:val="24"/>
          <w:szCs w:val="24"/>
          <w:highlight w:val="none"/>
        </w:rPr>
        <w:t>供应商承诺</w:t>
      </w:r>
    </w:p>
    <w:p w14:paraId="5AE7CDD7">
      <w:pPr>
        <w:adjustRightInd w:val="0"/>
        <w:snapToGrid w:val="0"/>
        <w:spacing w:line="480" w:lineRule="auto"/>
        <w:ind w:left="840" w:leftChars="400" w:firstLine="1600"/>
        <w:rPr>
          <w:rFonts w:ascii="宋体" w:hAnsi="宋体" w:cs="宋体"/>
          <w:b/>
          <w:color w:val="auto"/>
          <w:kern w:val="0"/>
          <w:sz w:val="24"/>
          <w:szCs w:val="24"/>
          <w:highlight w:val="none"/>
        </w:rPr>
      </w:pPr>
      <w:r>
        <w:rPr>
          <w:rFonts w:hint="eastAsia" w:ascii="宋体" w:hAnsi="宋体" w:cs="宋体"/>
          <w:b/>
          <w:bCs/>
          <w:color w:val="auto"/>
          <w:kern w:val="0"/>
          <w:sz w:val="24"/>
          <w:szCs w:val="24"/>
          <w:highlight w:val="none"/>
        </w:rPr>
        <w:t>第十部分 供应商认为有必要提供的其他材料</w:t>
      </w:r>
    </w:p>
    <w:p w14:paraId="1B540607">
      <w:pPr>
        <w:adjustRightInd w:val="0"/>
        <w:snapToGrid w:val="0"/>
        <w:spacing w:line="500" w:lineRule="exact"/>
        <w:ind w:firstLine="1600"/>
        <w:rPr>
          <w:rFonts w:ascii="宋体" w:hAnsi="宋体" w:cs="宋体"/>
          <w:color w:val="auto"/>
          <w:sz w:val="24"/>
          <w:szCs w:val="24"/>
          <w:highlight w:val="none"/>
        </w:rPr>
      </w:pPr>
    </w:p>
    <w:p w14:paraId="0ED426B2">
      <w:pPr>
        <w:adjustRightInd w:val="0"/>
        <w:snapToGrid w:val="0"/>
        <w:spacing w:line="360" w:lineRule="auto"/>
        <w:rPr>
          <w:rFonts w:ascii="宋体" w:hAnsi="宋体" w:cs="宋体"/>
          <w:color w:val="auto"/>
          <w:sz w:val="24"/>
          <w:szCs w:val="24"/>
          <w:highlight w:val="none"/>
        </w:rPr>
        <w:sectPr>
          <w:pgSz w:w="11906" w:h="16838"/>
          <w:pgMar w:top="1440" w:right="1293" w:bottom="1440" w:left="1293" w:header="851" w:footer="992" w:gutter="0"/>
          <w:pgNumType w:start="1"/>
          <w:cols w:space="720" w:num="1"/>
          <w:titlePg/>
          <w:docGrid w:type="lines" w:linePitch="312" w:charSpace="0"/>
        </w:sectPr>
      </w:pPr>
    </w:p>
    <w:p w14:paraId="6CEA5C63">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第一部分</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投标函</w:t>
      </w:r>
    </w:p>
    <w:p w14:paraId="7329C89E">
      <w:pPr>
        <w:adjustRightInd w:val="0"/>
        <w:snapToGrid w:val="0"/>
        <w:spacing w:line="500" w:lineRule="exact"/>
        <w:rPr>
          <w:rFonts w:ascii="宋体" w:hAnsi="宋体" w:cs="宋体"/>
          <w:b/>
          <w:bCs/>
          <w:color w:val="auto"/>
          <w:sz w:val="24"/>
          <w:szCs w:val="24"/>
          <w:highlight w:val="none"/>
        </w:rPr>
      </w:pPr>
      <w:r>
        <w:rPr>
          <w:rFonts w:hint="eastAsia" w:ascii="宋体" w:hAnsi="宋体" w:cs="宋体"/>
          <w:b/>
          <w:color w:val="auto"/>
          <w:sz w:val="24"/>
          <w:szCs w:val="24"/>
          <w:highlight w:val="none"/>
          <w:lang w:eastAsia="zh-CN"/>
        </w:rPr>
        <w:t>陕西中源项目管理有限公司</w:t>
      </w:r>
      <w:r>
        <w:rPr>
          <w:rFonts w:hint="eastAsia" w:ascii="宋体" w:hAnsi="宋体" w:cs="宋体"/>
          <w:b/>
          <w:bCs/>
          <w:color w:val="auto"/>
          <w:sz w:val="24"/>
          <w:szCs w:val="24"/>
          <w:highlight w:val="none"/>
        </w:rPr>
        <w:t>：</w:t>
      </w:r>
    </w:p>
    <w:p w14:paraId="64C050BB">
      <w:pPr>
        <w:adjustRightInd w:val="0"/>
        <w:snapToGrid w:val="0"/>
        <w:spacing w:line="480" w:lineRule="exact"/>
        <w:ind w:firstLine="640"/>
        <w:rPr>
          <w:rFonts w:ascii="宋体" w:hAnsi="宋体" w:cs="宋体"/>
          <w:color w:val="auto"/>
          <w:sz w:val="24"/>
          <w:szCs w:val="24"/>
          <w:highlight w:val="none"/>
        </w:rPr>
      </w:pPr>
      <w:r>
        <w:rPr>
          <w:rFonts w:hint="eastAsia" w:ascii="宋体" w:hAnsi="宋体" w:cs="宋体"/>
          <w:color w:val="auto"/>
          <w:sz w:val="24"/>
          <w:szCs w:val="24"/>
          <w:highlight w:val="none"/>
        </w:rPr>
        <w:t>我单位收到</w:t>
      </w:r>
      <w:r>
        <w:rPr>
          <w:rFonts w:hint="eastAsia" w:ascii="宋体" w:hAnsi="宋体" w:cs="宋体"/>
          <w:color w:val="auto"/>
          <w:sz w:val="24"/>
          <w:szCs w:val="24"/>
          <w:highlight w:val="none"/>
          <w:lang w:eastAsia="zh-CN"/>
        </w:rPr>
        <w:t>SXZY-AK2026028</w:t>
      </w:r>
      <w:r>
        <w:rPr>
          <w:rFonts w:hint="eastAsia" w:ascii="宋体" w:hAnsi="宋体" w:cs="宋体"/>
          <w:color w:val="auto"/>
          <w:sz w:val="24"/>
          <w:szCs w:val="24"/>
          <w:highlight w:val="none"/>
        </w:rPr>
        <w:t>号招标文件，经详细研究，我们决定参加</w:t>
      </w:r>
      <w:r>
        <w:rPr>
          <w:rFonts w:hint="eastAsia" w:ascii="宋体" w:hAnsi="宋体" w:cs="宋体"/>
          <w:color w:val="auto"/>
          <w:sz w:val="24"/>
          <w:szCs w:val="24"/>
          <w:highlight w:val="none"/>
          <w:u w:val="single"/>
        </w:rPr>
        <w:t xml:space="preserve">         (项目名称)</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的投标活动。为此，我方郑重声明以下诸点，并负法律责任。</w:t>
      </w:r>
    </w:p>
    <w:p w14:paraId="0D664360">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1、愿意按照招标文件中的一切要求，提供设备、货物及技术服务，完成合同的责任和义务。</w:t>
      </w:r>
    </w:p>
    <w:p w14:paraId="47A98491">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2、按照招标文件的规定，完成总体项目的报价为：人民币（大写）小写（￥：元）</w:t>
      </w:r>
    </w:p>
    <w:p w14:paraId="5E81C423">
      <w:pPr>
        <w:pStyle w:val="49"/>
        <w:adjustRightInd w:val="0"/>
        <w:snapToGrid w:val="0"/>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3、我们已详细阅读了招标文件，完全理解并同意放弃提出含糊不清和误解问题的权力。   </w:t>
      </w:r>
    </w:p>
    <w:p w14:paraId="17236A0C">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4、我们同意向贵方提供贵方可能要求的、与本次投标有关的任何证据资料。</w:t>
      </w:r>
    </w:p>
    <w:p w14:paraId="5A874B4F">
      <w:pPr>
        <w:adjustRightInd w:val="0"/>
        <w:snapToGrid w:val="0"/>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5、我们理解，最低报价不是成交的唯一条件，你们有选择成交者的权力。</w:t>
      </w:r>
    </w:p>
    <w:p w14:paraId="2ED2E59D">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highlight w:val="none"/>
        </w:rPr>
        <w:t>6、我方愿按《中华人民共和国民法典》第三编（合同）履行自己的全部责任。</w:t>
      </w:r>
    </w:p>
    <w:p w14:paraId="2042F4AA">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7、我方的投标文件在投标后90天内有效。</w:t>
      </w:r>
    </w:p>
    <w:p w14:paraId="77CAD94F">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8、所有关于本次投标的函电，请按下列地址联系：</w:t>
      </w:r>
    </w:p>
    <w:p w14:paraId="1B414CAB">
      <w:pPr>
        <w:adjustRightInd w:val="0"/>
        <w:snapToGrid w:val="0"/>
        <w:spacing w:line="48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供应商名称：（盖章）</w:t>
      </w:r>
    </w:p>
    <w:p w14:paraId="5C760D2C">
      <w:pPr>
        <w:adjustRightInd w:val="0"/>
        <w:snapToGrid w:val="0"/>
        <w:spacing w:line="48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地址：</w:t>
      </w:r>
    </w:p>
    <w:p w14:paraId="56AFADDA">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开户银行：</w:t>
      </w:r>
    </w:p>
    <w:p w14:paraId="5B23BD27">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帐号：</w:t>
      </w:r>
    </w:p>
    <w:p w14:paraId="2B4594B3">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电话：</w:t>
      </w:r>
    </w:p>
    <w:p w14:paraId="4C28D756">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授权代表（签字或盖章）：</w:t>
      </w:r>
    </w:p>
    <w:p w14:paraId="7F15C022">
      <w:pPr>
        <w:adjustRightInd w:val="0"/>
        <w:snapToGrid w:val="0"/>
        <w:spacing w:line="500" w:lineRule="exact"/>
        <w:ind w:firstLine="480" w:firstLineChars="200"/>
        <w:rPr>
          <w:rFonts w:ascii="宋体" w:hAnsi="宋体" w:cs="宋体"/>
          <w:color w:val="auto"/>
          <w:sz w:val="24"/>
          <w:szCs w:val="24"/>
          <w:highlight w:val="none"/>
        </w:rPr>
      </w:pPr>
    </w:p>
    <w:p w14:paraId="32CA6FA4">
      <w:pPr>
        <w:wordWrap w:val="0"/>
        <w:adjustRightInd w:val="0"/>
        <w:snapToGrid w:val="0"/>
        <w:spacing w:line="500" w:lineRule="exact"/>
        <w:ind w:right="560" w:firstLine="720" w:firstLineChars="300"/>
        <w:jc w:val="center"/>
        <w:rPr>
          <w:rFonts w:ascii="宋体" w:hAnsi="宋体" w:cs="宋体"/>
          <w:color w:val="auto"/>
          <w:sz w:val="24"/>
          <w:szCs w:val="24"/>
          <w:highlight w:val="none"/>
        </w:rPr>
        <w:sectPr>
          <w:pgSz w:w="11906" w:h="16838"/>
          <w:pgMar w:top="1440" w:right="1293" w:bottom="1440" w:left="1293" w:header="851" w:footer="992" w:gutter="0"/>
          <w:cols w:space="720" w:num="1"/>
          <w:titlePg/>
          <w:docGrid w:type="lines" w:linePitch="312" w:charSpace="0"/>
        </w:sectPr>
      </w:pPr>
      <w:r>
        <w:rPr>
          <w:rFonts w:hint="eastAsia" w:ascii="宋体" w:hAnsi="宋体" w:cs="宋体"/>
          <w:color w:val="auto"/>
          <w:sz w:val="24"/>
          <w:szCs w:val="24"/>
          <w:highlight w:val="none"/>
        </w:rPr>
        <w:t xml:space="preserve">                               年   月   日</w:t>
      </w:r>
    </w:p>
    <w:p w14:paraId="5FD98D12">
      <w:pPr>
        <w:adjustRightInd w:val="0"/>
        <w:snapToGrid w:val="0"/>
        <w:spacing w:line="360" w:lineRule="auto"/>
        <w:jc w:val="center"/>
        <w:rPr>
          <w:rFonts w:ascii="宋体" w:hAnsi="宋体" w:cs="宋体"/>
          <w:bCs/>
          <w:color w:val="auto"/>
          <w:sz w:val="24"/>
          <w:szCs w:val="24"/>
          <w:highlight w:val="none"/>
        </w:rPr>
      </w:pPr>
      <w:r>
        <w:rPr>
          <w:rFonts w:hint="eastAsia" w:ascii="宋体" w:hAnsi="宋体" w:cs="宋体"/>
          <w:b/>
          <w:bCs/>
          <w:color w:val="auto"/>
          <w:sz w:val="24"/>
          <w:szCs w:val="24"/>
          <w:highlight w:val="none"/>
        </w:rPr>
        <w:t>第二部分 投标报价表（开标一览表）</w:t>
      </w:r>
    </w:p>
    <w:tbl>
      <w:tblPr>
        <w:tblStyle w:val="26"/>
        <w:tblpPr w:leftFromText="180" w:rightFromText="180" w:vertAnchor="text" w:horzAnchor="page" w:tblpX="1256" w:tblpY="403"/>
        <w:tblOverlap w:val="never"/>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9"/>
        <w:gridCol w:w="2423"/>
        <w:gridCol w:w="2424"/>
        <w:gridCol w:w="1482"/>
      </w:tblGrid>
      <w:tr w14:paraId="2610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3169" w:type="dxa"/>
            <w:vAlign w:val="center"/>
          </w:tcPr>
          <w:p w14:paraId="726584AA">
            <w:pPr>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投标总报价（元）</w:t>
            </w:r>
          </w:p>
        </w:tc>
        <w:tc>
          <w:tcPr>
            <w:tcW w:w="2423" w:type="dxa"/>
            <w:vAlign w:val="center"/>
          </w:tcPr>
          <w:p w14:paraId="5952D555">
            <w:pPr>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供货期</w:t>
            </w:r>
          </w:p>
        </w:tc>
        <w:tc>
          <w:tcPr>
            <w:tcW w:w="2424" w:type="dxa"/>
            <w:vAlign w:val="center"/>
          </w:tcPr>
          <w:p w14:paraId="2B9343A8">
            <w:pPr>
              <w:jc w:val="center"/>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质量管护期</w:t>
            </w:r>
          </w:p>
        </w:tc>
        <w:tc>
          <w:tcPr>
            <w:tcW w:w="1482" w:type="dxa"/>
            <w:vAlign w:val="center"/>
          </w:tcPr>
          <w:p w14:paraId="1088F9C7">
            <w:pPr>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w:t>
            </w:r>
          </w:p>
        </w:tc>
      </w:tr>
      <w:tr w14:paraId="30BB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3169" w:type="dxa"/>
            <w:vAlign w:val="center"/>
          </w:tcPr>
          <w:p w14:paraId="5C93B3B8">
            <w:pPr>
              <w:jc w:val="center"/>
              <w:rPr>
                <w:rFonts w:ascii="宋体" w:hAnsi="宋体" w:cs="宋体"/>
                <w:color w:val="auto"/>
                <w:kern w:val="0"/>
                <w:sz w:val="24"/>
                <w:szCs w:val="24"/>
                <w:highlight w:val="none"/>
              </w:rPr>
            </w:pPr>
          </w:p>
        </w:tc>
        <w:tc>
          <w:tcPr>
            <w:tcW w:w="2423" w:type="dxa"/>
            <w:vAlign w:val="center"/>
          </w:tcPr>
          <w:p w14:paraId="169F04FC">
            <w:pPr>
              <w:jc w:val="center"/>
              <w:rPr>
                <w:rFonts w:ascii="宋体" w:hAnsi="宋体" w:cs="宋体"/>
                <w:color w:val="auto"/>
                <w:kern w:val="0"/>
                <w:sz w:val="24"/>
                <w:szCs w:val="24"/>
                <w:highlight w:val="none"/>
              </w:rPr>
            </w:pPr>
          </w:p>
        </w:tc>
        <w:tc>
          <w:tcPr>
            <w:tcW w:w="2424" w:type="dxa"/>
            <w:vAlign w:val="center"/>
          </w:tcPr>
          <w:p w14:paraId="38E192A3">
            <w:pPr>
              <w:jc w:val="center"/>
              <w:rPr>
                <w:rFonts w:ascii="宋体" w:hAnsi="宋体" w:cs="宋体"/>
                <w:color w:val="auto"/>
                <w:kern w:val="0"/>
                <w:sz w:val="24"/>
                <w:szCs w:val="24"/>
                <w:highlight w:val="none"/>
              </w:rPr>
            </w:pPr>
          </w:p>
        </w:tc>
        <w:tc>
          <w:tcPr>
            <w:tcW w:w="1482" w:type="dxa"/>
            <w:vAlign w:val="center"/>
          </w:tcPr>
          <w:p w14:paraId="16A33E63">
            <w:pPr>
              <w:jc w:val="center"/>
              <w:rPr>
                <w:rFonts w:ascii="宋体" w:hAnsi="宋体" w:cs="宋体"/>
                <w:color w:val="auto"/>
                <w:kern w:val="0"/>
                <w:sz w:val="24"/>
                <w:szCs w:val="24"/>
                <w:highlight w:val="none"/>
              </w:rPr>
            </w:pPr>
          </w:p>
        </w:tc>
      </w:tr>
      <w:tr w14:paraId="6EFA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9498" w:type="dxa"/>
            <w:gridSpan w:val="4"/>
            <w:vAlign w:val="center"/>
          </w:tcPr>
          <w:p w14:paraId="140DA8B6">
            <w:pPr>
              <w:jc w:val="both"/>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投标总报价（大写）：                            </w:t>
            </w:r>
          </w:p>
          <w:p w14:paraId="4C834AE6">
            <w:pPr>
              <w:jc w:val="center"/>
              <w:rPr>
                <w:rFonts w:hint="eastAsia" w:ascii="宋体" w:hAnsi="宋体" w:cs="宋体"/>
                <w:color w:val="auto"/>
                <w:kern w:val="0"/>
                <w:sz w:val="24"/>
                <w:szCs w:val="24"/>
                <w:highlight w:val="none"/>
              </w:rPr>
            </w:pPr>
          </w:p>
          <w:p w14:paraId="38365A11">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（小写：￥       ）</w:t>
            </w:r>
          </w:p>
        </w:tc>
      </w:tr>
      <w:tr w14:paraId="584C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9498" w:type="dxa"/>
            <w:gridSpan w:val="4"/>
            <w:vAlign w:val="center"/>
          </w:tcPr>
          <w:p w14:paraId="481F884D">
            <w:pPr>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备注：表内总报价保留小数点后两位。</w:t>
            </w:r>
          </w:p>
        </w:tc>
      </w:tr>
    </w:tbl>
    <w:p w14:paraId="2292FB0C">
      <w:pPr>
        <w:adjustRightInd w:val="0"/>
        <w:snapToGrid w:val="0"/>
        <w:spacing w:line="27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一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p w14:paraId="5B979094">
      <w:pPr>
        <w:spacing w:line="360" w:lineRule="auto"/>
        <w:ind w:firstLine="440" w:firstLineChars="200"/>
        <w:rPr>
          <w:rFonts w:hint="eastAsia" w:ascii="宋体" w:hAnsi="宋体" w:cs="宋体"/>
          <w:color w:val="auto"/>
          <w:sz w:val="22"/>
          <w:szCs w:val="21"/>
          <w:highlight w:val="none"/>
        </w:rPr>
      </w:pPr>
      <w:r>
        <w:rPr>
          <w:rFonts w:hint="eastAsia" w:ascii="宋体" w:hAnsi="宋体" w:cs="宋体"/>
          <w:bCs/>
          <w:color w:val="auto"/>
          <w:kern w:val="0"/>
          <w:sz w:val="22"/>
          <w:szCs w:val="21"/>
          <w:highlight w:val="none"/>
        </w:rPr>
        <w:t>说明：</w:t>
      </w:r>
      <w:r>
        <w:rPr>
          <w:rFonts w:ascii="宋体" w:hAnsi="宋体" w:eastAsia="宋体" w:cs="宋体"/>
          <w:color w:val="auto"/>
          <w:kern w:val="2"/>
          <w:sz w:val="22"/>
          <w:szCs w:val="21"/>
          <w:highlight w:val="none"/>
          <w:lang w:val="en-US" w:eastAsia="zh-CN" w:bidi="ar-SA"/>
        </w:rPr>
        <w:t>1.</w:t>
      </w:r>
      <w:r>
        <w:rPr>
          <w:rFonts w:hint="eastAsia" w:ascii="宋体" w:hAnsi="宋体" w:cs="宋体"/>
          <w:color w:val="auto"/>
          <w:sz w:val="22"/>
          <w:szCs w:val="21"/>
          <w:highlight w:val="none"/>
        </w:rPr>
        <w:t>任何有选择的报价将不予接受（不可修正或者另行备注此报价表），否则按无效文件处理。</w:t>
      </w:r>
    </w:p>
    <w:p w14:paraId="7B0670B7">
      <w:pPr>
        <w:spacing w:line="360" w:lineRule="auto"/>
        <w:ind w:firstLine="440" w:firstLineChars="200"/>
        <w:rPr>
          <w:rFonts w:hint="eastAsia" w:ascii="宋体" w:hAnsi="宋体" w:eastAsia="宋体" w:cs="宋体"/>
          <w:color w:val="auto"/>
          <w:kern w:val="0"/>
          <w:sz w:val="24"/>
          <w:szCs w:val="24"/>
          <w:highlight w:val="yellow"/>
          <w:lang w:val="en-US" w:eastAsia="zh-CN" w:bidi="ar-SA"/>
        </w:rPr>
      </w:pPr>
      <w:r>
        <w:rPr>
          <w:rFonts w:hint="eastAsia" w:ascii="宋体" w:hAnsi="宋体" w:cs="宋体"/>
          <w:color w:val="auto"/>
          <w:sz w:val="22"/>
          <w:szCs w:val="21"/>
          <w:highlight w:val="none"/>
          <w:lang w:val="en-US" w:eastAsia="zh-CN"/>
        </w:rPr>
        <w:t>2.</w:t>
      </w:r>
      <w:r>
        <w:rPr>
          <w:rFonts w:hint="eastAsia" w:ascii="宋体" w:hAnsi="宋体" w:cs="宋体"/>
          <w:color w:val="auto"/>
          <w:kern w:val="0"/>
          <w:sz w:val="24"/>
          <w:szCs w:val="24"/>
          <w:highlight w:val="none"/>
          <w:lang w:val="en-US" w:eastAsia="zh-CN" w:bidi="ar-SA"/>
        </w:rPr>
        <w:t>供应商报价不得超过采购预算，报价</w:t>
      </w:r>
      <w:r>
        <w:rPr>
          <w:rFonts w:hint="eastAsia" w:ascii="宋体" w:hAnsi="宋体" w:eastAsia="宋体" w:cs="宋体"/>
          <w:color w:val="auto"/>
          <w:kern w:val="0"/>
          <w:sz w:val="24"/>
          <w:szCs w:val="24"/>
          <w:highlight w:val="none"/>
          <w:lang w:val="en-US" w:eastAsia="zh-CN" w:bidi="ar-SA"/>
        </w:rPr>
        <w:t>包含花卉的主材单价、运输费、栽植摆放费、种植土、土工布、</w:t>
      </w:r>
      <w:r>
        <w:rPr>
          <w:rFonts w:hint="eastAsia" w:ascii="宋体" w:hAnsi="宋体" w:cs="宋体"/>
          <w:color w:val="auto"/>
          <w:kern w:val="0"/>
          <w:sz w:val="24"/>
          <w:szCs w:val="24"/>
          <w:highlight w:val="none"/>
          <w:lang w:val="en-US" w:eastAsia="zh-CN" w:bidi="ar-SA"/>
        </w:rPr>
        <w:t>管护</w:t>
      </w:r>
      <w:r>
        <w:rPr>
          <w:rFonts w:hint="eastAsia" w:ascii="宋体" w:hAnsi="宋体" w:eastAsia="宋体" w:cs="宋体"/>
          <w:color w:val="auto"/>
          <w:kern w:val="0"/>
          <w:sz w:val="24"/>
          <w:szCs w:val="24"/>
          <w:highlight w:val="none"/>
          <w:lang w:val="en-US" w:eastAsia="zh-CN" w:bidi="ar-SA"/>
        </w:rPr>
        <w:t>、回收、清理、花架花箱</w:t>
      </w:r>
      <w:r>
        <w:rPr>
          <w:rFonts w:hint="eastAsia" w:ascii="宋体" w:hAnsi="宋体" w:cs="宋体"/>
          <w:color w:val="auto"/>
          <w:kern w:val="0"/>
          <w:sz w:val="24"/>
          <w:szCs w:val="24"/>
          <w:highlight w:val="none"/>
          <w:lang w:val="en-US" w:eastAsia="zh-CN" w:bidi="ar-SA"/>
        </w:rPr>
        <w:t>花钵</w:t>
      </w:r>
      <w:r>
        <w:rPr>
          <w:rFonts w:hint="eastAsia" w:ascii="宋体" w:hAnsi="宋体" w:eastAsia="宋体" w:cs="宋体"/>
          <w:color w:val="auto"/>
          <w:kern w:val="0"/>
          <w:sz w:val="24"/>
          <w:szCs w:val="24"/>
          <w:highlight w:val="none"/>
          <w:lang w:val="en-US" w:eastAsia="zh-CN" w:bidi="ar-SA"/>
        </w:rPr>
        <w:t>清洗等工作，过程中产生的人工、材料、清运费用及按国家现行税收政策征收的一切税费等。</w:t>
      </w:r>
    </w:p>
    <w:p w14:paraId="2F754936">
      <w:pPr>
        <w:keepNext w:val="0"/>
        <w:keepLines w:val="0"/>
        <w:pageBreakBefore w:val="0"/>
        <w:widowControl w:val="0"/>
        <w:kinsoku/>
        <w:wordWrap/>
        <w:overflowPunct/>
        <w:topLinePunct w:val="0"/>
        <w:autoSpaceDE/>
        <w:autoSpaceDN/>
        <w:bidi w:val="0"/>
        <w:adjustRightInd w:val="0"/>
        <w:snapToGrid w:val="0"/>
        <w:spacing w:line="276" w:lineRule="auto"/>
        <w:jc w:val="both"/>
        <w:textAlignment w:val="auto"/>
        <w:rPr>
          <w:rFonts w:hint="eastAsia" w:ascii="宋体" w:hAnsi="宋体" w:eastAsia="宋体" w:cs="宋体"/>
          <w:color w:val="auto"/>
          <w:sz w:val="22"/>
          <w:szCs w:val="21"/>
          <w:highlight w:val="none"/>
          <w:lang w:eastAsia="zh-CN"/>
        </w:rPr>
      </w:pPr>
    </w:p>
    <w:p w14:paraId="19BEADEF">
      <w:pPr>
        <w:spacing w:line="480" w:lineRule="auto"/>
        <w:ind w:right="-161"/>
        <w:rPr>
          <w:rFonts w:ascii="宋体" w:hAnsi="宋体" w:cs="宋体"/>
          <w:color w:val="auto"/>
          <w:sz w:val="24"/>
          <w:szCs w:val="24"/>
          <w:highlight w:val="none"/>
        </w:rPr>
      </w:pPr>
    </w:p>
    <w:p w14:paraId="30E5AC98">
      <w:pPr>
        <w:spacing w:line="480" w:lineRule="auto"/>
        <w:ind w:right="-161"/>
        <w:rPr>
          <w:rFonts w:ascii="宋体" w:hAnsi="宋体" w:cs="宋体"/>
          <w:color w:val="auto"/>
          <w:sz w:val="24"/>
          <w:szCs w:val="24"/>
          <w:highlight w:val="none"/>
        </w:rPr>
      </w:pPr>
    </w:p>
    <w:p w14:paraId="461F30D9">
      <w:pPr>
        <w:spacing w:line="480" w:lineRule="auto"/>
        <w:ind w:right="-161"/>
        <w:rPr>
          <w:rFonts w:ascii="宋体" w:hAnsi="宋体" w:cs="宋体"/>
          <w:color w:val="auto"/>
          <w:sz w:val="24"/>
          <w:szCs w:val="24"/>
          <w:highlight w:val="none"/>
          <w:u w:val="single"/>
        </w:rPr>
      </w:pPr>
      <w:r>
        <w:rPr>
          <w:rFonts w:hint="eastAsia" w:ascii="宋体" w:hAnsi="宋体" w:cs="宋体"/>
          <w:color w:val="auto"/>
          <w:sz w:val="24"/>
          <w:szCs w:val="24"/>
          <w:highlight w:val="none"/>
        </w:rPr>
        <w:t>法定代表人或被授权代表签字或盖章：</w:t>
      </w:r>
    </w:p>
    <w:p w14:paraId="6727CD3A">
      <w:pPr>
        <w:spacing w:line="480" w:lineRule="auto"/>
        <w:ind w:right="-161"/>
        <w:rPr>
          <w:rFonts w:ascii="宋体" w:hAnsi="宋体" w:cs="宋体"/>
          <w:color w:val="auto"/>
          <w:sz w:val="24"/>
          <w:szCs w:val="24"/>
          <w:highlight w:val="none"/>
        </w:rPr>
      </w:pPr>
      <w:r>
        <w:rPr>
          <w:rFonts w:hint="eastAsia" w:ascii="宋体" w:hAnsi="宋体" w:cs="宋体"/>
          <w:color w:val="auto"/>
          <w:sz w:val="24"/>
          <w:szCs w:val="24"/>
          <w:highlight w:val="none"/>
        </w:rPr>
        <w:t>供应商名称：（盖章）</w:t>
      </w:r>
    </w:p>
    <w:p w14:paraId="74E180C0">
      <w:pPr>
        <w:adjustRightInd w:val="0"/>
        <w:snapToGrid w:val="0"/>
        <w:spacing w:line="400" w:lineRule="exact"/>
        <w:rPr>
          <w:rFonts w:ascii="宋体" w:hAnsi="宋体" w:cs="宋体"/>
          <w:b/>
          <w:color w:val="auto"/>
          <w:sz w:val="24"/>
          <w:szCs w:val="24"/>
          <w:highlight w:val="none"/>
          <w:u w:val="single"/>
        </w:rPr>
        <w:sectPr>
          <w:footerReference r:id="rId11" w:type="first"/>
          <w:pgSz w:w="11906" w:h="16838"/>
          <w:pgMar w:top="1440" w:right="1293" w:bottom="1440" w:left="1293" w:header="851" w:footer="992" w:gutter="340"/>
          <w:cols w:space="720" w:num="1"/>
          <w:titlePg/>
          <w:docGrid w:type="lines" w:linePitch="312" w:charSpace="0"/>
        </w:sectPr>
      </w:pPr>
      <w:r>
        <w:rPr>
          <w:rFonts w:hint="eastAsia" w:ascii="宋体" w:hAnsi="宋体" w:cs="宋体"/>
          <w:color w:val="auto"/>
          <w:sz w:val="24"/>
          <w:szCs w:val="24"/>
          <w:highlight w:val="none"/>
        </w:rPr>
        <w:t>日期：</w:t>
      </w:r>
    </w:p>
    <w:p w14:paraId="7D6E2487">
      <w:pPr>
        <w:adjustRightInd w:val="0"/>
        <w:snapToGrid w:val="0"/>
        <w:spacing w:line="360" w:lineRule="auto"/>
        <w:jc w:val="center"/>
        <w:rPr>
          <w:rFonts w:ascii="宋体" w:hAnsi="宋体" w:cs="宋体"/>
          <w:bCs/>
          <w:color w:val="auto"/>
          <w:sz w:val="24"/>
          <w:szCs w:val="24"/>
          <w:highlight w:val="none"/>
        </w:rPr>
      </w:pPr>
      <w:r>
        <w:rPr>
          <w:rFonts w:hint="eastAsia" w:ascii="宋体" w:hAnsi="宋体" w:cs="宋体"/>
          <w:b/>
          <w:bCs/>
          <w:color w:val="auto"/>
          <w:sz w:val="24"/>
          <w:szCs w:val="24"/>
          <w:highlight w:val="none"/>
        </w:rPr>
        <w:t>投标报价表（开标一览表）</w:t>
      </w:r>
    </w:p>
    <w:tbl>
      <w:tblPr>
        <w:tblStyle w:val="26"/>
        <w:tblpPr w:leftFromText="180" w:rightFromText="180" w:vertAnchor="text" w:horzAnchor="page" w:tblpX="1256" w:tblpY="403"/>
        <w:tblOverlap w:val="never"/>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9"/>
        <w:gridCol w:w="2423"/>
        <w:gridCol w:w="2424"/>
        <w:gridCol w:w="1482"/>
      </w:tblGrid>
      <w:tr w14:paraId="519E9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3169" w:type="dxa"/>
            <w:vAlign w:val="center"/>
          </w:tcPr>
          <w:p w14:paraId="340D5BAF">
            <w:pPr>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投标总报价（元）</w:t>
            </w:r>
          </w:p>
        </w:tc>
        <w:tc>
          <w:tcPr>
            <w:tcW w:w="2423" w:type="dxa"/>
            <w:vAlign w:val="center"/>
          </w:tcPr>
          <w:p w14:paraId="6FC5D728">
            <w:pPr>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供货期</w:t>
            </w:r>
          </w:p>
        </w:tc>
        <w:tc>
          <w:tcPr>
            <w:tcW w:w="2424" w:type="dxa"/>
            <w:vAlign w:val="center"/>
          </w:tcPr>
          <w:p w14:paraId="0C21B180">
            <w:pPr>
              <w:jc w:val="center"/>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质量管护期</w:t>
            </w:r>
          </w:p>
        </w:tc>
        <w:tc>
          <w:tcPr>
            <w:tcW w:w="1482" w:type="dxa"/>
            <w:vAlign w:val="center"/>
          </w:tcPr>
          <w:p w14:paraId="73F221A4">
            <w:pPr>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w:t>
            </w:r>
          </w:p>
        </w:tc>
      </w:tr>
      <w:tr w14:paraId="594BE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3169" w:type="dxa"/>
            <w:vAlign w:val="center"/>
          </w:tcPr>
          <w:p w14:paraId="63D6463C">
            <w:pPr>
              <w:jc w:val="center"/>
              <w:rPr>
                <w:rFonts w:ascii="宋体" w:hAnsi="宋体" w:cs="宋体"/>
                <w:color w:val="auto"/>
                <w:kern w:val="0"/>
                <w:sz w:val="24"/>
                <w:szCs w:val="24"/>
                <w:highlight w:val="none"/>
              </w:rPr>
            </w:pPr>
          </w:p>
        </w:tc>
        <w:tc>
          <w:tcPr>
            <w:tcW w:w="2423" w:type="dxa"/>
            <w:vAlign w:val="center"/>
          </w:tcPr>
          <w:p w14:paraId="52AF1A4D">
            <w:pPr>
              <w:jc w:val="center"/>
              <w:rPr>
                <w:rFonts w:ascii="宋体" w:hAnsi="宋体" w:cs="宋体"/>
                <w:color w:val="auto"/>
                <w:kern w:val="0"/>
                <w:sz w:val="24"/>
                <w:szCs w:val="24"/>
                <w:highlight w:val="none"/>
              </w:rPr>
            </w:pPr>
          </w:p>
        </w:tc>
        <w:tc>
          <w:tcPr>
            <w:tcW w:w="2424" w:type="dxa"/>
            <w:vAlign w:val="center"/>
          </w:tcPr>
          <w:p w14:paraId="3C161B06">
            <w:pPr>
              <w:jc w:val="center"/>
              <w:rPr>
                <w:rFonts w:ascii="宋体" w:hAnsi="宋体" w:cs="宋体"/>
                <w:color w:val="auto"/>
                <w:kern w:val="0"/>
                <w:sz w:val="24"/>
                <w:szCs w:val="24"/>
                <w:highlight w:val="none"/>
              </w:rPr>
            </w:pPr>
          </w:p>
        </w:tc>
        <w:tc>
          <w:tcPr>
            <w:tcW w:w="1482" w:type="dxa"/>
            <w:vAlign w:val="center"/>
          </w:tcPr>
          <w:p w14:paraId="17AAF3C7">
            <w:pPr>
              <w:jc w:val="center"/>
              <w:rPr>
                <w:rFonts w:ascii="宋体" w:hAnsi="宋体" w:cs="宋体"/>
                <w:color w:val="auto"/>
                <w:kern w:val="0"/>
                <w:sz w:val="24"/>
                <w:szCs w:val="24"/>
                <w:highlight w:val="none"/>
              </w:rPr>
            </w:pPr>
          </w:p>
        </w:tc>
      </w:tr>
      <w:tr w14:paraId="1F22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9498" w:type="dxa"/>
            <w:gridSpan w:val="4"/>
            <w:vAlign w:val="center"/>
          </w:tcPr>
          <w:p w14:paraId="548AC005">
            <w:pPr>
              <w:jc w:val="both"/>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投标总报价（大写）：                            </w:t>
            </w:r>
          </w:p>
          <w:p w14:paraId="0EBCCC83">
            <w:pPr>
              <w:jc w:val="center"/>
              <w:rPr>
                <w:rFonts w:hint="eastAsia" w:ascii="宋体" w:hAnsi="宋体" w:cs="宋体"/>
                <w:color w:val="auto"/>
                <w:kern w:val="0"/>
                <w:sz w:val="24"/>
                <w:szCs w:val="24"/>
                <w:highlight w:val="none"/>
              </w:rPr>
            </w:pPr>
          </w:p>
          <w:p w14:paraId="4F9C943A">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（小写：￥       ）</w:t>
            </w:r>
          </w:p>
        </w:tc>
      </w:tr>
      <w:tr w14:paraId="1D36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9498" w:type="dxa"/>
            <w:gridSpan w:val="4"/>
            <w:vAlign w:val="center"/>
          </w:tcPr>
          <w:p w14:paraId="13861F6C">
            <w:pPr>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备注：表内总报价保留小数点后两位。</w:t>
            </w:r>
          </w:p>
        </w:tc>
      </w:tr>
    </w:tbl>
    <w:p w14:paraId="4D1F986D">
      <w:pPr>
        <w:adjustRightInd w:val="0"/>
        <w:snapToGrid w:val="0"/>
        <w:spacing w:line="27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二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p w14:paraId="067F25E5">
      <w:pPr>
        <w:keepNext w:val="0"/>
        <w:keepLines w:val="0"/>
        <w:pageBreakBefore w:val="0"/>
        <w:widowControl w:val="0"/>
        <w:kinsoku/>
        <w:wordWrap/>
        <w:overflowPunct/>
        <w:topLinePunct w:val="0"/>
        <w:autoSpaceDE/>
        <w:autoSpaceDN/>
        <w:bidi w:val="0"/>
        <w:adjustRightInd w:val="0"/>
        <w:snapToGrid w:val="0"/>
        <w:spacing w:line="276" w:lineRule="auto"/>
        <w:jc w:val="both"/>
        <w:textAlignment w:val="auto"/>
        <w:rPr>
          <w:rFonts w:hint="eastAsia" w:ascii="宋体" w:hAnsi="宋体" w:cs="宋体"/>
          <w:color w:val="auto"/>
          <w:sz w:val="22"/>
          <w:szCs w:val="21"/>
          <w:highlight w:val="none"/>
        </w:rPr>
      </w:pPr>
      <w:r>
        <w:rPr>
          <w:rFonts w:hint="eastAsia" w:ascii="宋体" w:hAnsi="宋体" w:cs="宋体"/>
          <w:bCs/>
          <w:color w:val="auto"/>
          <w:kern w:val="0"/>
          <w:sz w:val="22"/>
          <w:szCs w:val="21"/>
          <w:highlight w:val="none"/>
        </w:rPr>
        <w:t>说</w:t>
      </w:r>
      <w:r>
        <w:rPr>
          <w:rFonts w:hint="eastAsia" w:ascii="宋体" w:hAnsi="宋体" w:cs="宋体"/>
          <w:color w:val="auto"/>
          <w:sz w:val="22"/>
          <w:szCs w:val="21"/>
          <w:highlight w:val="none"/>
        </w:rPr>
        <w:t>明：</w:t>
      </w:r>
      <w:r>
        <w:rPr>
          <w:rFonts w:hint="eastAsia" w:ascii="宋体" w:hAnsi="宋体" w:cs="宋体"/>
          <w:color w:val="auto"/>
          <w:sz w:val="22"/>
          <w:szCs w:val="21"/>
          <w:highlight w:val="none"/>
          <w:lang w:val="en-US" w:eastAsia="zh-CN"/>
        </w:rPr>
        <w:t>1.</w:t>
      </w:r>
      <w:r>
        <w:rPr>
          <w:rFonts w:hint="eastAsia" w:ascii="宋体" w:hAnsi="宋体" w:cs="宋体"/>
          <w:color w:val="auto"/>
          <w:sz w:val="22"/>
          <w:szCs w:val="21"/>
          <w:highlight w:val="none"/>
        </w:rPr>
        <w:t>任何有选择的报价将不予接受（不可修正或者另行备注此报价表），否则按无效文件处理。</w:t>
      </w:r>
    </w:p>
    <w:p w14:paraId="1B26F00C">
      <w:pPr>
        <w:keepNext w:val="0"/>
        <w:keepLines w:val="0"/>
        <w:pageBreakBefore w:val="0"/>
        <w:widowControl w:val="0"/>
        <w:kinsoku/>
        <w:wordWrap/>
        <w:overflowPunct/>
        <w:topLinePunct w:val="0"/>
        <w:autoSpaceDE/>
        <w:autoSpaceDN/>
        <w:bidi w:val="0"/>
        <w:adjustRightInd w:val="0"/>
        <w:snapToGrid w:val="0"/>
        <w:spacing w:line="276" w:lineRule="auto"/>
        <w:jc w:val="both"/>
        <w:textAlignment w:val="auto"/>
        <w:rPr>
          <w:rFonts w:hint="eastAsia" w:ascii="宋体" w:hAnsi="宋体" w:cs="宋体"/>
          <w:color w:val="auto"/>
          <w:sz w:val="22"/>
          <w:szCs w:val="21"/>
          <w:highlight w:val="none"/>
          <w:lang w:eastAsia="zh-CN"/>
        </w:rPr>
      </w:pPr>
      <w:r>
        <w:rPr>
          <w:rFonts w:hint="eastAsia" w:ascii="宋体" w:hAnsi="宋体" w:cs="宋体"/>
          <w:color w:val="auto"/>
          <w:sz w:val="22"/>
          <w:szCs w:val="21"/>
          <w:highlight w:val="none"/>
          <w:lang w:val="en-US" w:eastAsia="zh-CN"/>
        </w:rPr>
        <w:t>2.</w:t>
      </w:r>
      <w:r>
        <w:rPr>
          <w:rFonts w:hint="eastAsia" w:ascii="宋体" w:hAnsi="宋体" w:cs="宋体"/>
          <w:color w:val="auto"/>
          <w:kern w:val="0"/>
          <w:sz w:val="24"/>
          <w:szCs w:val="24"/>
          <w:highlight w:val="none"/>
          <w:lang w:val="en-US" w:eastAsia="zh-CN" w:bidi="ar-SA"/>
        </w:rPr>
        <w:t>供应商报价不得超过采购预算，</w:t>
      </w:r>
      <w:r>
        <w:rPr>
          <w:rFonts w:hint="eastAsia" w:asciiTheme="minorEastAsia" w:hAnsiTheme="minorEastAsia" w:eastAsiaTheme="minorEastAsia" w:cstheme="minorEastAsia"/>
          <w:color w:val="auto"/>
          <w:sz w:val="24"/>
          <w:szCs w:val="24"/>
          <w:highlight w:val="none"/>
          <w:lang w:val="en-US" w:eastAsia="zh-CN"/>
        </w:rPr>
        <w:t>报价包含花卉的主材单价、运输费、栽植摆放费、种植土、土工布、海绵包土、pp材质网套固定、养护费、清理回收、</w:t>
      </w:r>
      <w:r>
        <w:rPr>
          <w:rFonts w:hint="eastAsia" w:ascii="宋体" w:hAnsi="宋体" w:eastAsia="宋体" w:cs="宋体"/>
          <w:color w:val="auto"/>
          <w:kern w:val="0"/>
          <w:sz w:val="24"/>
          <w:szCs w:val="24"/>
          <w:highlight w:val="none"/>
          <w:lang w:val="en-US" w:eastAsia="zh-CN" w:bidi="ar-SA"/>
        </w:rPr>
        <w:t>花架花箱</w:t>
      </w:r>
      <w:r>
        <w:rPr>
          <w:rFonts w:hint="eastAsia" w:ascii="宋体" w:hAnsi="宋体" w:cs="宋体"/>
          <w:color w:val="auto"/>
          <w:kern w:val="0"/>
          <w:sz w:val="24"/>
          <w:szCs w:val="24"/>
          <w:highlight w:val="none"/>
          <w:lang w:val="en-US" w:eastAsia="zh-CN" w:bidi="ar-SA"/>
        </w:rPr>
        <w:t>花钵</w:t>
      </w:r>
      <w:r>
        <w:rPr>
          <w:rFonts w:hint="eastAsia" w:asciiTheme="minorEastAsia" w:hAnsiTheme="minorEastAsia" w:eastAsiaTheme="minorEastAsia" w:cstheme="minorEastAsia"/>
          <w:color w:val="auto"/>
          <w:sz w:val="24"/>
          <w:szCs w:val="24"/>
          <w:highlight w:val="none"/>
          <w:lang w:val="en-US" w:eastAsia="zh-CN"/>
        </w:rPr>
        <w:t>清洗等工作，过程中产生的人工、材料、清运等费用及按国家现行税收政策征收的一切税费等。</w:t>
      </w:r>
    </w:p>
    <w:p w14:paraId="3FB70E30">
      <w:pPr>
        <w:spacing w:line="480" w:lineRule="auto"/>
        <w:ind w:right="-161"/>
        <w:rPr>
          <w:rFonts w:ascii="宋体" w:hAnsi="宋体" w:cs="宋体"/>
          <w:color w:val="auto"/>
          <w:sz w:val="24"/>
          <w:szCs w:val="24"/>
          <w:highlight w:val="none"/>
        </w:rPr>
      </w:pPr>
    </w:p>
    <w:p w14:paraId="731F2AE7">
      <w:pPr>
        <w:spacing w:line="480" w:lineRule="auto"/>
        <w:ind w:right="-161"/>
        <w:rPr>
          <w:rFonts w:ascii="宋体" w:hAnsi="宋体" w:cs="宋体"/>
          <w:color w:val="auto"/>
          <w:sz w:val="24"/>
          <w:szCs w:val="24"/>
          <w:highlight w:val="none"/>
        </w:rPr>
      </w:pPr>
    </w:p>
    <w:p w14:paraId="089741F4">
      <w:pPr>
        <w:spacing w:line="480" w:lineRule="auto"/>
        <w:ind w:right="-161"/>
        <w:rPr>
          <w:rFonts w:ascii="宋体" w:hAnsi="宋体" w:cs="宋体"/>
          <w:color w:val="auto"/>
          <w:sz w:val="24"/>
          <w:szCs w:val="24"/>
          <w:highlight w:val="none"/>
          <w:u w:val="single"/>
        </w:rPr>
      </w:pPr>
      <w:r>
        <w:rPr>
          <w:rFonts w:hint="eastAsia" w:ascii="宋体" w:hAnsi="宋体" w:cs="宋体"/>
          <w:color w:val="auto"/>
          <w:sz w:val="24"/>
          <w:szCs w:val="24"/>
          <w:highlight w:val="none"/>
        </w:rPr>
        <w:t>法定代表人或被授权代表签字或盖章：</w:t>
      </w:r>
    </w:p>
    <w:p w14:paraId="09C1F8AD">
      <w:pPr>
        <w:spacing w:line="480" w:lineRule="auto"/>
        <w:ind w:right="-161"/>
        <w:rPr>
          <w:rFonts w:ascii="宋体" w:hAnsi="宋体" w:cs="宋体"/>
          <w:color w:val="auto"/>
          <w:sz w:val="24"/>
          <w:szCs w:val="24"/>
          <w:highlight w:val="none"/>
        </w:rPr>
      </w:pPr>
      <w:r>
        <w:rPr>
          <w:rFonts w:hint="eastAsia" w:ascii="宋体" w:hAnsi="宋体" w:cs="宋体"/>
          <w:color w:val="auto"/>
          <w:sz w:val="24"/>
          <w:szCs w:val="24"/>
          <w:highlight w:val="none"/>
        </w:rPr>
        <w:t>供应商名称：（盖章）</w:t>
      </w:r>
    </w:p>
    <w:p w14:paraId="7E33B065">
      <w:pPr>
        <w:adjustRightInd w:val="0"/>
        <w:snapToGrid w:val="0"/>
        <w:spacing w:line="400" w:lineRule="exact"/>
        <w:rPr>
          <w:rFonts w:ascii="宋体" w:hAnsi="宋体" w:cs="宋体"/>
          <w:b/>
          <w:color w:val="auto"/>
          <w:sz w:val="24"/>
          <w:szCs w:val="24"/>
          <w:highlight w:val="none"/>
          <w:u w:val="single"/>
        </w:rPr>
        <w:sectPr>
          <w:footerReference r:id="rId12" w:type="first"/>
          <w:pgSz w:w="11906" w:h="16838"/>
          <w:pgMar w:top="1440" w:right="1293" w:bottom="1440" w:left="1293" w:header="851" w:footer="992" w:gutter="340"/>
          <w:cols w:space="720" w:num="1"/>
          <w:titlePg/>
          <w:docGrid w:type="lines" w:linePitch="312" w:charSpace="0"/>
        </w:sectPr>
      </w:pPr>
      <w:r>
        <w:rPr>
          <w:rFonts w:hint="eastAsia" w:ascii="宋体" w:hAnsi="宋体" w:cs="宋体"/>
          <w:color w:val="auto"/>
          <w:sz w:val="24"/>
          <w:szCs w:val="24"/>
          <w:highlight w:val="none"/>
        </w:rPr>
        <w:t>日期：</w:t>
      </w:r>
    </w:p>
    <w:p w14:paraId="46EE58AE">
      <w:pPr>
        <w:adjustRightInd w:val="0"/>
        <w:snapToGrid w:val="0"/>
        <w:spacing w:line="4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1、分项报价表</w:t>
      </w:r>
    </w:p>
    <w:p w14:paraId="3E2BDF79">
      <w:pPr>
        <w:pStyle w:val="34"/>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tbl>
      <w:tblPr>
        <w:tblStyle w:val="26"/>
        <w:tblW w:w="10016" w:type="dxa"/>
        <w:tblInd w:w="-45" w:type="dxa"/>
        <w:tblLayout w:type="fixed"/>
        <w:tblCellMar>
          <w:top w:w="0" w:type="dxa"/>
          <w:left w:w="108" w:type="dxa"/>
          <w:bottom w:w="0" w:type="dxa"/>
          <w:right w:w="108" w:type="dxa"/>
        </w:tblCellMar>
      </w:tblPr>
      <w:tblGrid>
        <w:gridCol w:w="885"/>
        <w:gridCol w:w="1607"/>
        <w:gridCol w:w="1652"/>
        <w:gridCol w:w="1392"/>
        <w:gridCol w:w="1564"/>
        <w:gridCol w:w="1458"/>
        <w:gridCol w:w="1458"/>
      </w:tblGrid>
      <w:tr w14:paraId="46D22DFB">
        <w:tblPrEx>
          <w:tblCellMar>
            <w:top w:w="0" w:type="dxa"/>
            <w:left w:w="108" w:type="dxa"/>
            <w:bottom w:w="0" w:type="dxa"/>
            <w:right w:w="108" w:type="dxa"/>
          </w:tblCellMar>
        </w:tblPrEx>
        <w:trPr>
          <w:trHeight w:val="893" w:hRule="atLeast"/>
        </w:trPr>
        <w:tc>
          <w:tcPr>
            <w:tcW w:w="885" w:type="dxa"/>
            <w:tcBorders>
              <w:top w:val="single" w:color="000000" w:sz="4" w:space="0"/>
              <w:left w:val="single" w:color="000000" w:sz="4" w:space="0"/>
              <w:bottom w:val="single" w:color="000000" w:sz="4" w:space="0"/>
              <w:right w:val="single" w:color="000000" w:sz="4" w:space="0"/>
            </w:tcBorders>
            <w:vAlign w:val="center"/>
          </w:tcPr>
          <w:p w14:paraId="037932D9">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序号</w:t>
            </w:r>
          </w:p>
        </w:tc>
        <w:tc>
          <w:tcPr>
            <w:tcW w:w="1607" w:type="dxa"/>
            <w:tcBorders>
              <w:top w:val="single" w:color="000000" w:sz="4" w:space="0"/>
              <w:left w:val="single" w:color="000000" w:sz="4" w:space="0"/>
              <w:bottom w:val="single" w:color="000000" w:sz="4" w:space="0"/>
              <w:right w:val="single" w:color="000000" w:sz="4" w:space="0"/>
            </w:tcBorders>
            <w:vAlign w:val="center"/>
          </w:tcPr>
          <w:p w14:paraId="5CA9BEC5">
            <w:pPr>
              <w:widowControl/>
              <w:jc w:val="center"/>
              <w:textAlignment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品种</w:t>
            </w:r>
          </w:p>
        </w:tc>
        <w:tc>
          <w:tcPr>
            <w:tcW w:w="1652" w:type="dxa"/>
            <w:tcBorders>
              <w:top w:val="single" w:color="000000" w:sz="4" w:space="0"/>
              <w:left w:val="single" w:color="000000" w:sz="4" w:space="0"/>
              <w:bottom w:val="single" w:color="000000" w:sz="4" w:space="0"/>
              <w:right w:val="single" w:color="000000" w:sz="4" w:space="0"/>
            </w:tcBorders>
            <w:vAlign w:val="center"/>
          </w:tcPr>
          <w:p w14:paraId="15D9D2E5">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规格</w:t>
            </w:r>
          </w:p>
        </w:tc>
        <w:tc>
          <w:tcPr>
            <w:tcW w:w="1392" w:type="dxa"/>
            <w:tcBorders>
              <w:top w:val="single" w:color="000000" w:sz="4" w:space="0"/>
              <w:left w:val="single" w:color="000000" w:sz="4" w:space="0"/>
              <w:bottom w:val="single" w:color="000000" w:sz="4" w:space="0"/>
              <w:right w:val="single" w:color="000000" w:sz="4" w:space="0"/>
            </w:tcBorders>
            <w:vAlign w:val="center"/>
          </w:tcPr>
          <w:p w14:paraId="4FB9A069">
            <w:pPr>
              <w:widowControl/>
              <w:jc w:val="center"/>
              <w:textAlignment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kern w:val="0"/>
                <w:sz w:val="24"/>
                <w:szCs w:val="24"/>
                <w:highlight w:val="none"/>
              </w:rPr>
              <w:t>数量</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株</w:t>
            </w:r>
            <w:r>
              <w:rPr>
                <w:rFonts w:hint="eastAsia" w:ascii="宋体" w:hAnsi="宋体" w:cs="宋体"/>
                <w:b/>
                <w:bCs/>
                <w:color w:val="auto"/>
                <w:kern w:val="0"/>
                <w:sz w:val="24"/>
                <w:szCs w:val="24"/>
                <w:highlight w:val="none"/>
                <w:lang w:eastAsia="zh-CN"/>
              </w:rPr>
              <w:t>）</w:t>
            </w:r>
          </w:p>
        </w:tc>
        <w:tc>
          <w:tcPr>
            <w:tcW w:w="1564" w:type="dxa"/>
            <w:tcBorders>
              <w:top w:val="single" w:color="000000" w:sz="4" w:space="0"/>
              <w:left w:val="single" w:color="000000" w:sz="4" w:space="0"/>
              <w:bottom w:val="single" w:color="000000" w:sz="4" w:space="0"/>
              <w:right w:val="single" w:color="000000" w:sz="4" w:space="0"/>
            </w:tcBorders>
            <w:vAlign w:val="center"/>
          </w:tcPr>
          <w:p w14:paraId="256562BB">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单价（元/</w:t>
            </w:r>
            <w:r>
              <w:rPr>
                <w:rFonts w:hint="eastAsia" w:ascii="宋体" w:hAnsi="宋体" w:cs="宋体"/>
                <w:b/>
                <w:bCs/>
                <w:color w:val="auto"/>
                <w:kern w:val="0"/>
                <w:sz w:val="24"/>
                <w:szCs w:val="24"/>
                <w:highlight w:val="none"/>
                <w:lang w:val="en-US" w:eastAsia="zh-CN"/>
              </w:rPr>
              <w:t>株/㎡</w:t>
            </w:r>
            <w:r>
              <w:rPr>
                <w:rFonts w:hint="eastAsia" w:ascii="宋体" w:hAnsi="宋体" w:cs="宋体"/>
                <w:b/>
                <w:bCs/>
                <w:color w:val="auto"/>
                <w:kern w:val="0"/>
                <w:sz w:val="24"/>
                <w:szCs w:val="24"/>
                <w:highlight w:val="none"/>
              </w:rPr>
              <w:t>）</w:t>
            </w:r>
          </w:p>
        </w:tc>
        <w:tc>
          <w:tcPr>
            <w:tcW w:w="1458" w:type="dxa"/>
            <w:tcBorders>
              <w:top w:val="single" w:color="000000" w:sz="4" w:space="0"/>
              <w:left w:val="single" w:color="000000" w:sz="4" w:space="0"/>
              <w:bottom w:val="single" w:color="000000" w:sz="4" w:space="0"/>
              <w:right w:val="single" w:color="000000" w:sz="4" w:space="0"/>
            </w:tcBorders>
            <w:vAlign w:val="center"/>
          </w:tcPr>
          <w:p w14:paraId="7F38ECB9">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合计（元）</w:t>
            </w:r>
          </w:p>
        </w:tc>
        <w:tc>
          <w:tcPr>
            <w:tcW w:w="1458" w:type="dxa"/>
            <w:tcBorders>
              <w:top w:val="single" w:color="000000" w:sz="4" w:space="0"/>
              <w:left w:val="single" w:color="000000" w:sz="4" w:space="0"/>
              <w:bottom w:val="single" w:color="000000" w:sz="4" w:space="0"/>
              <w:right w:val="single" w:color="000000" w:sz="4" w:space="0"/>
            </w:tcBorders>
            <w:vAlign w:val="center"/>
          </w:tcPr>
          <w:p w14:paraId="0FB3637F">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备注</w:t>
            </w:r>
          </w:p>
        </w:tc>
      </w:tr>
      <w:tr w14:paraId="51815606">
        <w:tblPrEx>
          <w:tblCellMar>
            <w:top w:w="0" w:type="dxa"/>
            <w:left w:w="108" w:type="dxa"/>
            <w:bottom w:w="0" w:type="dxa"/>
            <w:right w:w="108" w:type="dxa"/>
          </w:tblCellMar>
        </w:tblPrEx>
        <w:trPr>
          <w:trHeight w:val="1277" w:hRule="atLeast"/>
        </w:trPr>
        <w:tc>
          <w:tcPr>
            <w:tcW w:w="885" w:type="dxa"/>
            <w:tcBorders>
              <w:top w:val="single" w:color="000000" w:sz="4" w:space="0"/>
              <w:left w:val="single" w:color="000000" w:sz="4" w:space="0"/>
              <w:bottom w:val="single" w:color="000000" w:sz="4" w:space="0"/>
              <w:right w:val="single" w:color="000000" w:sz="4" w:space="0"/>
            </w:tcBorders>
            <w:vAlign w:val="center"/>
          </w:tcPr>
          <w:p w14:paraId="37AAAA43">
            <w:pPr>
              <w:widowControl/>
              <w:jc w:val="center"/>
              <w:textAlignment w:val="center"/>
              <w:rPr>
                <w:rFonts w:ascii="宋体" w:hAnsi="宋体" w:cs="宋体"/>
                <w:color w:val="auto"/>
                <w:sz w:val="22"/>
                <w:highlight w:val="none"/>
              </w:rPr>
            </w:pPr>
          </w:p>
        </w:tc>
        <w:tc>
          <w:tcPr>
            <w:tcW w:w="1607" w:type="dxa"/>
            <w:tcBorders>
              <w:top w:val="single" w:color="000000" w:sz="4" w:space="0"/>
              <w:left w:val="single" w:color="000000" w:sz="4" w:space="0"/>
              <w:bottom w:val="single" w:color="000000" w:sz="4" w:space="0"/>
              <w:right w:val="single" w:color="000000" w:sz="4" w:space="0"/>
            </w:tcBorders>
            <w:vAlign w:val="center"/>
          </w:tcPr>
          <w:p w14:paraId="71D2BDF8">
            <w:pPr>
              <w:widowControl/>
              <w:jc w:val="center"/>
              <w:textAlignment w:val="center"/>
              <w:rPr>
                <w:rFonts w:ascii="宋体" w:hAnsi="宋体" w:cs="宋体"/>
                <w:color w:val="auto"/>
                <w:sz w:val="22"/>
                <w:highlight w:val="none"/>
              </w:rPr>
            </w:pPr>
          </w:p>
        </w:tc>
        <w:tc>
          <w:tcPr>
            <w:tcW w:w="1652" w:type="dxa"/>
            <w:tcBorders>
              <w:top w:val="single" w:color="000000" w:sz="4" w:space="0"/>
              <w:left w:val="single" w:color="000000" w:sz="4" w:space="0"/>
              <w:bottom w:val="single" w:color="000000" w:sz="4" w:space="0"/>
              <w:right w:val="single" w:color="000000" w:sz="4" w:space="0"/>
            </w:tcBorders>
            <w:vAlign w:val="center"/>
          </w:tcPr>
          <w:p w14:paraId="1126F752">
            <w:pPr>
              <w:widowControl/>
              <w:jc w:val="center"/>
              <w:textAlignment w:val="center"/>
              <w:rPr>
                <w:rFonts w:ascii="宋体" w:hAnsi="宋体" w:cs="宋体"/>
                <w:color w:val="auto"/>
                <w:sz w:val="22"/>
                <w:highlight w:val="none"/>
              </w:rPr>
            </w:pPr>
          </w:p>
        </w:tc>
        <w:tc>
          <w:tcPr>
            <w:tcW w:w="1392" w:type="dxa"/>
            <w:tcBorders>
              <w:top w:val="single" w:color="000000" w:sz="4" w:space="0"/>
              <w:left w:val="single" w:color="000000" w:sz="4" w:space="0"/>
              <w:bottom w:val="single" w:color="000000" w:sz="4" w:space="0"/>
              <w:right w:val="single" w:color="000000" w:sz="4" w:space="0"/>
            </w:tcBorders>
            <w:vAlign w:val="center"/>
          </w:tcPr>
          <w:p w14:paraId="5AD75F41">
            <w:pPr>
              <w:widowControl/>
              <w:jc w:val="center"/>
              <w:textAlignment w:val="center"/>
              <w:rPr>
                <w:rFonts w:ascii="宋体" w:hAnsi="宋体" w:cs="宋体"/>
                <w:color w:val="auto"/>
                <w:sz w:val="22"/>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26074B6">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6875E3CC">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7EC0087F">
            <w:pPr>
              <w:jc w:val="center"/>
              <w:rPr>
                <w:rFonts w:ascii="宋体" w:hAnsi="宋体" w:cs="宋体"/>
                <w:color w:val="auto"/>
                <w:sz w:val="22"/>
                <w:highlight w:val="none"/>
              </w:rPr>
            </w:pPr>
          </w:p>
        </w:tc>
      </w:tr>
      <w:tr w14:paraId="47987371">
        <w:tblPrEx>
          <w:tblCellMar>
            <w:top w:w="0" w:type="dxa"/>
            <w:left w:w="108" w:type="dxa"/>
            <w:bottom w:w="0" w:type="dxa"/>
            <w:right w:w="108" w:type="dxa"/>
          </w:tblCellMar>
        </w:tblPrEx>
        <w:trPr>
          <w:trHeight w:val="1541" w:hRule="atLeast"/>
        </w:trPr>
        <w:tc>
          <w:tcPr>
            <w:tcW w:w="885" w:type="dxa"/>
            <w:tcBorders>
              <w:top w:val="single" w:color="000000" w:sz="4" w:space="0"/>
              <w:left w:val="single" w:color="000000" w:sz="4" w:space="0"/>
              <w:bottom w:val="single" w:color="000000" w:sz="4" w:space="0"/>
              <w:right w:val="single" w:color="000000" w:sz="4" w:space="0"/>
            </w:tcBorders>
            <w:vAlign w:val="center"/>
          </w:tcPr>
          <w:p w14:paraId="70818ECE">
            <w:pPr>
              <w:widowControl/>
              <w:jc w:val="center"/>
              <w:textAlignment w:val="center"/>
              <w:rPr>
                <w:rFonts w:ascii="宋体" w:hAnsi="宋体" w:cs="宋体"/>
                <w:color w:val="auto"/>
                <w:sz w:val="22"/>
                <w:highlight w:val="none"/>
              </w:rPr>
            </w:pPr>
          </w:p>
        </w:tc>
        <w:tc>
          <w:tcPr>
            <w:tcW w:w="1607" w:type="dxa"/>
            <w:tcBorders>
              <w:top w:val="single" w:color="000000" w:sz="4" w:space="0"/>
              <w:left w:val="single" w:color="000000" w:sz="4" w:space="0"/>
              <w:bottom w:val="single" w:color="000000" w:sz="4" w:space="0"/>
              <w:right w:val="nil"/>
            </w:tcBorders>
            <w:vAlign w:val="center"/>
          </w:tcPr>
          <w:p w14:paraId="2A436299">
            <w:pPr>
              <w:widowControl/>
              <w:jc w:val="center"/>
              <w:textAlignment w:val="center"/>
              <w:rPr>
                <w:rFonts w:ascii="宋体" w:hAnsi="宋体" w:cs="宋体"/>
                <w:color w:val="auto"/>
                <w:sz w:val="22"/>
                <w:highlight w:val="none"/>
              </w:rPr>
            </w:pPr>
          </w:p>
        </w:tc>
        <w:tc>
          <w:tcPr>
            <w:tcW w:w="1652" w:type="dxa"/>
            <w:tcBorders>
              <w:top w:val="single" w:color="000000" w:sz="4" w:space="0"/>
              <w:left w:val="single" w:color="000000" w:sz="4" w:space="0"/>
              <w:bottom w:val="single" w:color="000000" w:sz="4" w:space="0"/>
              <w:right w:val="nil"/>
            </w:tcBorders>
            <w:vAlign w:val="center"/>
          </w:tcPr>
          <w:p w14:paraId="03C78E14">
            <w:pPr>
              <w:widowControl/>
              <w:jc w:val="center"/>
              <w:textAlignment w:val="center"/>
              <w:rPr>
                <w:rFonts w:ascii="宋体" w:hAnsi="宋体" w:cs="宋体"/>
                <w:color w:val="auto"/>
                <w:sz w:val="22"/>
                <w:highlight w:val="none"/>
              </w:rPr>
            </w:pPr>
          </w:p>
        </w:tc>
        <w:tc>
          <w:tcPr>
            <w:tcW w:w="1392" w:type="dxa"/>
            <w:tcBorders>
              <w:top w:val="single" w:color="000000" w:sz="4" w:space="0"/>
              <w:left w:val="single" w:color="000000" w:sz="4" w:space="0"/>
              <w:bottom w:val="single" w:color="000000" w:sz="4" w:space="0"/>
              <w:right w:val="single" w:color="000000" w:sz="4" w:space="0"/>
            </w:tcBorders>
            <w:vAlign w:val="center"/>
          </w:tcPr>
          <w:p w14:paraId="6503A434">
            <w:pPr>
              <w:widowControl/>
              <w:jc w:val="center"/>
              <w:textAlignment w:val="center"/>
              <w:rPr>
                <w:rFonts w:ascii="宋体" w:hAnsi="宋体" w:cs="宋体"/>
                <w:color w:val="auto"/>
                <w:sz w:val="22"/>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BB54FBF">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70C12F97">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79D54714">
            <w:pPr>
              <w:jc w:val="center"/>
              <w:rPr>
                <w:rFonts w:ascii="仿宋_GB2312" w:hAnsi="宋体" w:eastAsia="仿宋_GB2312" w:cs="仿宋_GB2312"/>
                <w:color w:val="auto"/>
                <w:sz w:val="22"/>
                <w:highlight w:val="none"/>
              </w:rPr>
            </w:pPr>
          </w:p>
        </w:tc>
      </w:tr>
      <w:tr w14:paraId="346D61BE">
        <w:tblPrEx>
          <w:tblCellMar>
            <w:top w:w="0" w:type="dxa"/>
            <w:left w:w="108" w:type="dxa"/>
            <w:bottom w:w="0" w:type="dxa"/>
            <w:right w:w="108" w:type="dxa"/>
          </w:tblCellMar>
        </w:tblPrEx>
        <w:trPr>
          <w:trHeight w:val="1277" w:hRule="atLeast"/>
        </w:trPr>
        <w:tc>
          <w:tcPr>
            <w:tcW w:w="885" w:type="dxa"/>
            <w:tcBorders>
              <w:top w:val="single" w:color="000000" w:sz="4" w:space="0"/>
              <w:left w:val="single" w:color="000000" w:sz="4" w:space="0"/>
              <w:bottom w:val="single" w:color="000000" w:sz="4" w:space="0"/>
              <w:right w:val="single" w:color="000000" w:sz="4" w:space="0"/>
            </w:tcBorders>
            <w:vAlign w:val="center"/>
          </w:tcPr>
          <w:p w14:paraId="7D0EC845">
            <w:pPr>
              <w:widowControl/>
              <w:jc w:val="center"/>
              <w:textAlignment w:val="center"/>
              <w:rPr>
                <w:rFonts w:ascii="宋体" w:hAnsi="宋体" w:cs="宋体"/>
                <w:color w:val="auto"/>
                <w:sz w:val="22"/>
                <w:highlight w:val="none"/>
              </w:rPr>
            </w:pPr>
          </w:p>
        </w:tc>
        <w:tc>
          <w:tcPr>
            <w:tcW w:w="1607" w:type="dxa"/>
            <w:tcBorders>
              <w:top w:val="single" w:color="000000" w:sz="4" w:space="0"/>
              <w:left w:val="single" w:color="000000" w:sz="4" w:space="0"/>
              <w:bottom w:val="single" w:color="000000" w:sz="4" w:space="0"/>
              <w:right w:val="single" w:color="000000" w:sz="4" w:space="0"/>
            </w:tcBorders>
            <w:vAlign w:val="center"/>
          </w:tcPr>
          <w:p w14:paraId="4FE83D46">
            <w:pPr>
              <w:widowControl/>
              <w:jc w:val="center"/>
              <w:textAlignment w:val="center"/>
              <w:rPr>
                <w:rFonts w:ascii="宋体" w:hAnsi="宋体" w:cs="宋体"/>
                <w:color w:val="auto"/>
                <w:sz w:val="22"/>
                <w:highlight w:val="none"/>
              </w:rPr>
            </w:pPr>
          </w:p>
        </w:tc>
        <w:tc>
          <w:tcPr>
            <w:tcW w:w="1652" w:type="dxa"/>
            <w:tcBorders>
              <w:top w:val="single" w:color="000000" w:sz="4" w:space="0"/>
              <w:left w:val="single" w:color="000000" w:sz="4" w:space="0"/>
              <w:bottom w:val="single" w:color="000000" w:sz="4" w:space="0"/>
              <w:right w:val="single" w:color="000000" w:sz="4" w:space="0"/>
            </w:tcBorders>
            <w:vAlign w:val="center"/>
          </w:tcPr>
          <w:p w14:paraId="3EA909C4">
            <w:pPr>
              <w:widowControl/>
              <w:jc w:val="center"/>
              <w:textAlignment w:val="center"/>
              <w:rPr>
                <w:rFonts w:ascii="宋体" w:hAnsi="宋体" w:cs="宋体"/>
                <w:color w:val="auto"/>
                <w:sz w:val="22"/>
                <w:highlight w:val="none"/>
              </w:rPr>
            </w:pPr>
          </w:p>
        </w:tc>
        <w:tc>
          <w:tcPr>
            <w:tcW w:w="1392" w:type="dxa"/>
            <w:tcBorders>
              <w:top w:val="single" w:color="000000" w:sz="4" w:space="0"/>
              <w:left w:val="single" w:color="000000" w:sz="4" w:space="0"/>
              <w:bottom w:val="single" w:color="000000" w:sz="4" w:space="0"/>
              <w:right w:val="single" w:color="000000" w:sz="4" w:space="0"/>
            </w:tcBorders>
            <w:vAlign w:val="center"/>
          </w:tcPr>
          <w:p w14:paraId="3FF10402">
            <w:pPr>
              <w:widowControl/>
              <w:jc w:val="center"/>
              <w:textAlignment w:val="center"/>
              <w:rPr>
                <w:rFonts w:ascii="宋体" w:hAnsi="宋体" w:cs="宋体"/>
                <w:color w:val="auto"/>
                <w:sz w:val="22"/>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260560F">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3B7C9F80">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2604D07B">
            <w:pPr>
              <w:jc w:val="center"/>
              <w:rPr>
                <w:rFonts w:ascii="仿宋_GB2312" w:hAnsi="宋体" w:eastAsia="仿宋_GB2312" w:cs="仿宋_GB2312"/>
                <w:color w:val="auto"/>
                <w:sz w:val="22"/>
                <w:highlight w:val="none"/>
              </w:rPr>
            </w:pPr>
          </w:p>
        </w:tc>
      </w:tr>
      <w:tr w14:paraId="0FE411A5">
        <w:tblPrEx>
          <w:tblCellMar>
            <w:top w:w="0" w:type="dxa"/>
            <w:left w:w="108" w:type="dxa"/>
            <w:bottom w:w="0" w:type="dxa"/>
            <w:right w:w="108" w:type="dxa"/>
          </w:tblCellMar>
        </w:tblPrEx>
        <w:trPr>
          <w:trHeight w:val="1305" w:hRule="atLeast"/>
        </w:trPr>
        <w:tc>
          <w:tcPr>
            <w:tcW w:w="885" w:type="dxa"/>
            <w:tcBorders>
              <w:top w:val="single" w:color="000000" w:sz="4" w:space="0"/>
              <w:left w:val="single" w:color="000000" w:sz="4" w:space="0"/>
              <w:bottom w:val="single" w:color="000000" w:sz="4" w:space="0"/>
              <w:right w:val="single" w:color="000000" w:sz="4" w:space="0"/>
            </w:tcBorders>
            <w:vAlign w:val="center"/>
          </w:tcPr>
          <w:p w14:paraId="1F631CF7">
            <w:pPr>
              <w:widowControl/>
              <w:jc w:val="center"/>
              <w:textAlignment w:val="center"/>
              <w:rPr>
                <w:rFonts w:ascii="宋体" w:hAnsi="宋体" w:cs="宋体"/>
                <w:color w:val="auto"/>
                <w:sz w:val="22"/>
                <w:highlight w:val="none"/>
              </w:rPr>
            </w:pPr>
          </w:p>
        </w:tc>
        <w:tc>
          <w:tcPr>
            <w:tcW w:w="1607" w:type="dxa"/>
            <w:tcBorders>
              <w:top w:val="single" w:color="000000" w:sz="4" w:space="0"/>
              <w:left w:val="single" w:color="000000" w:sz="4" w:space="0"/>
              <w:bottom w:val="single" w:color="000000" w:sz="4" w:space="0"/>
              <w:right w:val="single" w:color="000000" w:sz="4" w:space="0"/>
            </w:tcBorders>
            <w:vAlign w:val="center"/>
          </w:tcPr>
          <w:p w14:paraId="09E37E16">
            <w:pPr>
              <w:widowControl/>
              <w:jc w:val="center"/>
              <w:textAlignment w:val="center"/>
              <w:rPr>
                <w:rFonts w:ascii="宋体" w:hAnsi="宋体" w:cs="宋体"/>
                <w:color w:val="auto"/>
                <w:sz w:val="22"/>
                <w:highlight w:val="none"/>
              </w:rPr>
            </w:pPr>
          </w:p>
        </w:tc>
        <w:tc>
          <w:tcPr>
            <w:tcW w:w="1652" w:type="dxa"/>
            <w:tcBorders>
              <w:top w:val="single" w:color="000000" w:sz="4" w:space="0"/>
              <w:left w:val="single" w:color="000000" w:sz="4" w:space="0"/>
              <w:bottom w:val="single" w:color="000000" w:sz="4" w:space="0"/>
              <w:right w:val="single" w:color="000000" w:sz="4" w:space="0"/>
            </w:tcBorders>
            <w:vAlign w:val="center"/>
          </w:tcPr>
          <w:p w14:paraId="552D59FC">
            <w:pPr>
              <w:widowControl/>
              <w:jc w:val="center"/>
              <w:textAlignment w:val="center"/>
              <w:rPr>
                <w:rFonts w:ascii="宋体" w:hAnsi="宋体" w:cs="宋体"/>
                <w:color w:val="auto"/>
                <w:sz w:val="22"/>
                <w:highlight w:val="none"/>
              </w:rPr>
            </w:pPr>
          </w:p>
        </w:tc>
        <w:tc>
          <w:tcPr>
            <w:tcW w:w="1392" w:type="dxa"/>
            <w:tcBorders>
              <w:top w:val="single" w:color="000000" w:sz="4" w:space="0"/>
              <w:left w:val="single" w:color="000000" w:sz="4" w:space="0"/>
              <w:bottom w:val="single" w:color="000000" w:sz="4" w:space="0"/>
              <w:right w:val="single" w:color="000000" w:sz="4" w:space="0"/>
            </w:tcBorders>
            <w:vAlign w:val="center"/>
          </w:tcPr>
          <w:p w14:paraId="17E8DFF5">
            <w:pPr>
              <w:widowControl/>
              <w:jc w:val="center"/>
              <w:textAlignment w:val="center"/>
              <w:rPr>
                <w:rFonts w:ascii="宋体" w:hAnsi="宋体" w:cs="宋体"/>
                <w:color w:val="auto"/>
                <w:sz w:val="22"/>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5051463">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75C811F7">
            <w:pPr>
              <w:widowControl/>
              <w:jc w:val="center"/>
              <w:textAlignment w:val="center"/>
              <w:rPr>
                <w:rFonts w:ascii="宋体" w:hAnsi="宋体" w:cs="宋体"/>
                <w:color w:val="auto"/>
                <w:sz w:val="22"/>
                <w:highlight w:val="none"/>
              </w:rPr>
            </w:pPr>
          </w:p>
        </w:tc>
        <w:tc>
          <w:tcPr>
            <w:tcW w:w="1458" w:type="dxa"/>
            <w:tcBorders>
              <w:top w:val="single" w:color="000000" w:sz="4" w:space="0"/>
              <w:left w:val="single" w:color="000000" w:sz="4" w:space="0"/>
              <w:bottom w:val="single" w:color="000000" w:sz="4" w:space="0"/>
              <w:right w:val="single" w:color="000000" w:sz="4" w:space="0"/>
            </w:tcBorders>
            <w:vAlign w:val="center"/>
          </w:tcPr>
          <w:p w14:paraId="17B32D38">
            <w:pPr>
              <w:jc w:val="center"/>
              <w:rPr>
                <w:rFonts w:ascii="仿宋_GB2312" w:hAnsi="宋体" w:eastAsia="仿宋_GB2312" w:cs="仿宋_GB2312"/>
                <w:color w:val="auto"/>
                <w:sz w:val="22"/>
                <w:highlight w:val="none"/>
              </w:rPr>
            </w:pPr>
          </w:p>
        </w:tc>
      </w:tr>
    </w:tbl>
    <w:p w14:paraId="1E26D09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注：1.供应商可根据实际情况自行扩展表格细项。</w:t>
      </w:r>
    </w:p>
    <w:p w14:paraId="5E88B6B8">
      <w:pPr>
        <w:numPr>
          <w:ilvl w:val="0"/>
          <w:numId w:val="0"/>
        </w:numPr>
        <w:spacing w:line="360" w:lineRule="auto"/>
        <w:ind w:firstLine="480" w:firstLineChars="200"/>
        <w:rPr>
          <w:rFonts w:hint="eastAsia" w:ascii="宋体" w:hAnsi="宋体" w:cs="仿宋"/>
          <w:color w:val="auto"/>
          <w:sz w:val="24"/>
          <w:szCs w:val="24"/>
          <w:highlight w:val="none"/>
          <w:lang w:eastAsia="zh-CN"/>
        </w:rPr>
      </w:pPr>
      <w:r>
        <w:rPr>
          <w:rFonts w:hint="eastAsia" w:ascii="宋体" w:hAnsi="宋体" w:eastAsia="宋体" w:cs="仿宋"/>
          <w:color w:val="auto"/>
          <w:kern w:val="2"/>
          <w:sz w:val="24"/>
          <w:szCs w:val="24"/>
          <w:highlight w:val="none"/>
          <w:lang w:val="en-US" w:eastAsia="zh-CN" w:bidi="ar-SA"/>
        </w:rPr>
        <w:t>2.</w:t>
      </w:r>
      <w:r>
        <w:rPr>
          <w:rFonts w:hint="eastAsia" w:ascii="宋体" w:hAnsi="宋体" w:cs="仿宋"/>
          <w:color w:val="auto"/>
          <w:sz w:val="24"/>
          <w:szCs w:val="24"/>
          <w:highlight w:val="none"/>
        </w:rPr>
        <w:t>如果分项报价合计与投标总报价不一致，以分项报价合计为准进行结算</w:t>
      </w:r>
      <w:r>
        <w:rPr>
          <w:rFonts w:hint="eastAsia" w:ascii="宋体" w:hAnsi="宋体" w:cs="仿宋"/>
          <w:color w:val="auto"/>
          <w:sz w:val="24"/>
          <w:szCs w:val="24"/>
          <w:highlight w:val="none"/>
          <w:lang w:eastAsia="zh-CN"/>
        </w:rPr>
        <w:t>。</w:t>
      </w:r>
    </w:p>
    <w:p w14:paraId="7D577512">
      <w:pPr>
        <w:spacing w:line="360" w:lineRule="auto"/>
        <w:ind w:firstLine="480" w:firstLineChars="200"/>
        <w:rPr>
          <w:rFonts w:hint="eastAsia" w:ascii="宋体" w:hAnsi="宋体" w:cs="仿宋"/>
          <w:color w:val="auto"/>
          <w:sz w:val="24"/>
          <w:szCs w:val="24"/>
          <w:highlight w:val="none"/>
        </w:rPr>
      </w:pPr>
      <w:r>
        <w:rPr>
          <w:rFonts w:ascii="宋体" w:hAnsi="宋体" w:eastAsia="宋体" w:cs="仿宋"/>
          <w:color w:val="auto"/>
          <w:kern w:val="2"/>
          <w:sz w:val="24"/>
          <w:szCs w:val="24"/>
          <w:highlight w:val="none"/>
          <w:lang w:val="en-US" w:eastAsia="zh-CN" w:bidi="ar-SA"/>
        </w:rPr>
        <w:t>3.</w:t>
      </w:r>
      <w:r>
        <w:rPr>
          <w:rFonts w:hint="eastAsia" w:ascii="宋体" w:hAnsi="宋体" w:cs="仿宋"/>
          <w:color w:val="auto"/>
          <w:sz w:val="24"/>
          <w:szCs w:val="24"/>
          <w:highlight w:val="none"/>
        </w:rPr>
        <w:t>如果不提供详细分项报价将视为没有实质性响应招标文件。</w:t>
      </w:r>
    </w:p>
    <w:p w14:paraId="4139A39D">
      <w:pPr>
        <w:spacing w:line="360" w:lineRule="auto"/>
        <w:ind w:firstLine="480" w:firstLineChars="200"/>
        <w:rPr>
          <w:rFonts w:hint="default"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4.投标单价不得超过招标文件“第三部分采购内容及技术要求”中的采购预算单价。</w:t>
      </w:r>
    </w:p>
    <w:p w14:paraId="0890B741">
      <w:pPr>
        <w:spacing w:line="360" w:lineRule="auto"/>
        <w:rPr>
          <w:rFonts w:ascii="宋体" w:hAnsi="宋体" w:cs="仿宋"/>
          <w:color w:val="auto"/>
          <w:sz w:val="24"/>
          <w:szCs w:val="24"/>
          <w:highlight w:val="none"/>
        </w:rPr>
      </w:pPr>
    </w:p>
    <w:p w14:paraId="18F522FF">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法定代表人/被授权人：(签字或盖章)</w:t>
      </w:r>
    </w:p>
    <w:p w14:paraId="5E8FF5F3">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供应商名称：（盖章）</w:t>
      </w:r>
    </w:p>
    <w:p w14:paraId="5CBE3119">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日    期：    年     月     日</w:t>
      </w:r>
    </w:p>
    <w:p w14:paraId="5080FD61">
      <w:pPr>
        <w:pStyle w:val="35"/>
        <w:jc w:val="center"/>
        <w:rPr>
          <w:b/>
          <w:color w:val="auto"/>
          <w:kern w:val="2"/>
          <w:highlight w:val="none"/>
        </w:rPr>
      </w:pPr>
    </w:p>
    <w:p w14:paraId="567D7314">
      <w:pPr>
        <w:pStyle w:val="35"/>
        <w:jc w:val="center"/>
        <w:rPr>
          <w:b/>
          <w:color w:val="auto"/>
          <w:kern w:val="2"/>
          <w:highlight w:val="none"/>
        </w:rPr>
      </w:pPr>
    </w:p>
    <w:p w14:paraId="34474556">
      <w:pPr>
        <w:pStyle w:val="35"/>
        <w:jc w:val="center"/>
        <w:rPr>
          <w:b/>
          <w:color w:val="auto"/>
          <w:kern w:val="2"/>
          <w:highlight w:val="none"/>
        </w:rPr>
      </w:pPr>
    </w:p>
    <w:p w14:paraId="19F170A6">
      <w:pPr>
        <w:rPr>
          <w:b/>
          <w:color w:val="auto"/>
          <w:kern w:val="2"/>
          <w:highlight w:val="none"/>
        </w:rPr>
      </w:pPr>
    </w:p>
    <w:p w14:paraId="4A6AB48F">
      <w:pPr>
        <w:rPr>
          <w:b/>
          <w:color w:val="auto"/>
          <w:kern w:val="2"/>
          <w:highlight w:val="none"/>
        </w:rPr>
      </w:pPr>
    </w:p>
    <w:p w14:paraId="516C3227">
      <w:pPr>
        <w:rPr>
          <w:b/>
          <w:color w:val="auto"/>
          <w:kern w:val="2"/>
          <w:highlight w:val="none"/>
        </w:rPr>
      </w:pPr>
    </w:p>
    <w:p w14:paraId="07B9500B">
      <w:pPr>
        <w:rPr>
          <w:b/>
          <w:color w:val="auto"/>
          <w:kern w:val="2"/>
          <w:highlight w:val="none"/>
        </w:rPr>
      </w:pPr>
    </w:p>
    <w:p w14:paraId="7AF33027">
      <w:pPr>
        <w:rPr>
          <w:b/>
          <w:color w:val="auto"/>
          <w:kern w:val="2"/>
          <w:highlight w:val="none"/>
        </w:rPr>
      </w:pPr>
    </w:p>
    <w:p w14:paraId="7D7F010C">
      <w:pPr>
        <w:rPr>
          <w:b/>
          <w:color w:val="auto"/>
          <w:kern w:val="2"/>
          <w:highlight w:val="none"/>
        </w:rPr>
      </w:pPr>
    </w:p>
    <w:p w14:paraId="30723A27">
      <w:pPr>
        <w:adjustRightInd w:val="0"/>
        <w:snapToGrid w:val="0"/>
        <w:spacing w:line="400" w:lineRule="exact"/>
        <w:jc w:val="center"/>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第三部分 </w:t>
      </w:r>
      <w:r>
        <w:rPr>
          <w:rFonts w:hint="eastAsia" w:cs="宋体"/>
          <w:b/>
          <w:color w:val="auto"/>
          <w:sz w:val="24"/>
          <w:szCs w:val="24"/>
          <w:highlight w:val="none"/>
        </w:rPr>
        <w:t>商务响应</w:t>
      </w:r>
      <w:r>
        <w:rPr>
          <w:rFonts w:hint="eastAsia" w:ascii="宋体" w:hAnsi="宋体" w:cs="宋体"/>
          <w:b/>
          <w:color w:val="auto"/>
          <w:sz w:val="24"/>
          <w:szCs w:val="24"/>
          <w:highlight w:val="none"/>
        </w:rPr>
        <w:t>表</w:t>
      </w:r>
    </w:p>
    <w:p w14:paraId="3812DAE5">
      <w:pPr>
        <w:adjustRightInd w:val="0"/>
        <w:snapToGrid w:val="0"/>
        <w:spacing w:line="40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p w14:paraId="0178C948">
      <w:pPr>
        <w:widowControl/>
        <w:jc w:val="left"/>
        <w:rPr>
          <w:rFonts w:ascii="宋体" w:hAnsi="宋体" w:cs="宋体"/>
          <w:b/>
          <w:color w:val="auto"/>
          <w:sz w:val="24"/>
          <w:szCs w:val="24"/>
          <w:highlight w:val="none"/>
        </w:rPr>
      </w:pPr>
    </w:p>
    <w:p w14:paraId="4C87F328">
      <w:pPr>
        <w:widowControl/>
        <w:jc w:val="left"/>
        <w:rPr>
          <w:rFonts w:ascii="宋体" w:hAnsi="宋体" w:cs="宋体"/>
          <w:b/>
          <w:color w:val="auto"/>
          <w:sz w:val="24"/>
          <w:szCs w:val="24"/>
          <w:highlight w:val="none"/>
        </w:rPr>
      </w:pPr>
      <w:r>
        <w:rPr>
          <w:rFonts w:hint="eastAsia" w:ascii="宋体" w:hAnsi="宋体" w:cs="宋体"/>
          <w:b/>
          <w:color w:val="auto"/>
          <w:sz w:val="24"/>
          <w:szCs w:val="24"/>
          <w:highlight w:val="none"/>
        </w:rPr>
        <w:t>1、商务响应表</w:t>
      </w:r>
    </w:p>
    <w:tbl>
      <w:tblPr>
        <w:tblStyle w:val="26"/>
        <w:tblpPr w:leftFromText="180" w:rightFromText="180" w:vertAnchor="text" w:horzAnchor="page" w:tblpX="1485" w:tblpY="24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0"/>
        <w:gridCol w:w="2080"/>
        <w:gridCol w:w="1688"/>
        <w:gridCol w:w="2333"/>
        <w:gridCol w:w="2024"/>
      </w:tblGrid>
      <w:tr w14:paraId="4DA9C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020" w:type="dxa"/>
          </w:tcPr>
          <w:p w14:paraId="3B295768">
            <w:pPr>
              <w:autoSpaceDE w:val="0"/>
              <w:autoSpaceDN w:val="0"/>
              <w:spacing w:before="146"/>
              <w:jc w:val="center"/>
              <w:rPr>
                <w:rFonts w:ascii="宋体" w:hAnsi="宋体" w:cs="宋体"/>
                <w:b/>
                <w:bCs/>
                <w:color w:val="auto"/>
                <w:sz w:val="24"/>
                <w:highlight w:val="none"/>
              </w:rPr>
            </w:pPr>
            <w:r>
              <w:rPr>
                <w:rFonts w:ascii="宋体" w:hAnsi="宋体" w:cs="宋体"/>
                <w:b/>
                <w:bCs/>
                <w:color w:val="auto"/>
                <w:sz w:val="24"/>
                <w:highlight w:val="none"/>
              </w:rPr>
              <w:t>序号</w:t>
            </w:r>
          </w:p>
        </w:tc>
        <w:tc>
          <w:tcPr>
            <w:tcW w:w="2080" w:type="dxa"/>
          </w:tcPr>
          <w:p w14:paraId="6D1DB3FD">
            <w:pPr>
              <w:autoSpaceDE w:val="0"/>
              <w:autoSpaceDN w:val="0"/>
              <w:spacing w:before="146"/>
              <w:ind w:left="239"/>
              <w:jc w:val="center"/>
              <w:rPr>
                <w:rFonts w:ascii="宋体" w:hAnsi="宋体" w:cs="宋体"/>
                <w:b/>
                <w:bCs/>
                <w:color w:val="auto"/>
                <w:sz w:val="24"/>
                <w:highlight w:val="none"/>
              </w:rPr>
            </w:pPr>
            <w:r>
              <w:rPr>
                <w:rFonts w:ascii="宋体" w:hAnsi="宋体" w:cs="宋体"/>
                <w:b/>
                <w:bCs/>
                <w:color w:val="auto"/>
                <w:sz w:val="24"/>
                <w:highlight w:val="none"/>
              </w:rPr>
              <w:t>文件条目号</w:t>
            </w:r>
          </w:p>
        </w:tc>
        <w:tc>
          <w:tcPr>
            <w:tcW w:w="1688" w:type="dxa"/>
          </w:tcPr>
          <w:p w14:paraId="4600F5EC">
            <w:pPr>
              <w:autoSpaceDE w:val="0"/>
              <w:autoSpaceDN w:val="0"/>
              <w:spacing w:before="146"/>
              <w:ind w:left="239"/>
              <w:jc w:val="center"/>
              <w:rPr>
                <w:rFonts w:ascii="宋体" w:hAnsi="宋体" w:cs="宋体"/>
                <w:b/>
                <w:bCs/>
                <w:color w:val="auto"/>
                <w:sz w:val="24"/>
                <w:highlight w:val="none"/>
              </w:rPr>
            </w:pPr>
            <w:r>
              <w:rPr>
                <w:rFonts w:hint="eastAsia" w:ascii="宋体" w:hAnsi="宋体" w:cs="宋体"/>
                <w:b/>
                <w:bCs/>
                <w:color w:val="auto"/>
                <w:sz w:val="24"/>
                <w:highlight w:val="none"/>
              </w:rPr>
              <w:t>商务</w:t>
            </w:r>
            <w:r>
              <w:rPr>
                <w:rFonts w:ascii="宋体" w:hAnsi="宋体" w:cs="宋体"/>
                <w:b/>
                <w:bCs/>
                <w:color w:val="auto"/>
                <w:sz w:val="24"/>
                <w:highlight w:val="none"/>
              </w:rPr>
              <w:t>要求</w:t>
            </w:r>
          </w:p>
        </w:tc>
        <w:tc>
          <w:tcPr>
            <w:tcW w:w="2333" w:type="dxa"/>
          </w:tcPr>
          <w:p w14:paraId="4FE00CBC">
            <w:pPr>
              <w:autoSpaceDE w:val="0"/>
              <w:autoSpaceDN w:val="0"/>
              <w:spacing w:before="146"/>
              <w:ind w:left="239"/>
              <w:jc w:val="center"/>
              <w:rPr>
                <w:rFonts w:ascii="宋体" w:hAnsi="宋体" w:cs="宋体"/>
                <w:b/>
                <w:bCs/>
                <w:color w:val="auto"/>
                <w:sz w:val="24"/>
                <w:highlight w:val="none"/>
              </w:rPr>
            </w:pPr>
            <w:r>
              <w:rPr>
                <w:rFonts w:ascii="宋体" w:hAnsi="宋体" w:cs="宋体"/>
                <w:b/>
                <w:bCs/>
                <w:color w:val="auto"/>
                <w:sz w:val="24"/>
                <w:highlight w:val="none"/>
              </w:rPr>
              <w:t>供应商应答</w:t>
            </w:r>
          </w:p>
        </w:tc>
        <w:tc>
          <w:tcPr>
            <w:tcW w:w="2024" w:type="dxa"/>
          </w:tcPr>
          <w:p w14:paraId="193043A4">
            <w:pPr>
              <w:autoSpaceDE w:val="0"/>
              <w:autoSpaceDN w:val="0"/>
              <w:spacing w:before="146"/>
              <w:ind w:left="239"/>
              <w:jc w:val="center"/>
              <w:rPr>
                <w:rFonts w:ascii="宋体" w:hAnsi="宋体" w:cs="宋体"/>
                <w:b/>
                <w:bCs/>
                <w:color w:val="auto"/>
                <w:sz w:val="24"/>
                <w:highlight w:val="none"/>
              </w:rPr>
            </w:pPr>
            <w:r>
              <w:rPr>
                <w:rFonts w:ascii="宋体" w:hAnsi="宋体" w:cs="宋体"/>
                <w:b/>
                <w:bCs/>
                <w:color w:val="auto"/>
                <w:sz w:val="24"/>
                <w:highlight w:val="none"/>
              </w:rPr>
              <w:t>响应/偏离</w:t>
            </w:r>
          </w:p>
        </w:tc>
      </w:tr>
      <w:tr w14:paraId="4EDA8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1020" w:type="dxa"/>
          </w:tcPr>
          <w:p w14:paraId="6A97E7BF">
            <w:pPr>
              <w:autoSpaceDE w:val="0"/>
              <w:autoSpaceDN w:val="0"/>
              <w:jc w:val="left"/>
              <w:rPr>
                <w:rFonts w:ascii="Times New Roman" w:hAnsi="宋体" w:cs="宋体"/>
                <w:color w:val="auto"/>
                <w:sz w:val="24"/>
                <w:highlight w:val="none"/>
              </w:rPr>
            </w:pPr>
          </w:p>
        </w:tc>
        <w:tc>
          <w:tcPr>
            <w:tcW w:w="2080" w:type="dxa"/>
          </w:tcPr>
          <w:p w14:paraId="400B9E80">
            <w:pPr>
              <w:autoSpaceDE w:val="0"/>
              <w:autoSpaceDN w:val="0"/>
              <w:jc w:val="left"/>
              <w:rPr>
                <w:rFonts w:ascii="Times New Roman" w:hAnsi="宋体" w:cs="宋体"/>
                <w:color w:val="auto"/>
                <w:sz w:val="24"/>
                <w:highlight w:val="none"/>
              </w:rPr>
            </w:pPr>
          </w:p>
        </w:tc>
        <w:tc>
          <w:tcPr>
            <w:tcW w:w="1688" w:type="dxa"/>
          </w:tcPr>
          <w:p w14:paraId="150775AF">
            <w:pPr>
              <w:autoSpaceDE w:val="0"/>
              <w:autoSpaceDN w:val="0"/>
              <w:jc w:val="left"/>
              <w:rPr>
                <w:rFonts w:ascii="Times New Roman" w:hAnsi="宋体" w:cs="宋体"/>
                <w:color w:val="auto"/>
                <w:sz w:val="24"/>
                <w:highlight w:val="none"/>
              </w:rPr>
            </w:pPr>
          </w:p>
        </w:tc>
        <w:tc>
          <w:tcPr>
            <w:tcW w:w="2333" w:type="dxa"/>
          </w:tcPr>
          <w:p w14:paraId="5EA7BC62">
            <w:pPr>
              <w:autoSpaceDE w:val="0"/>
              <w:autoSpaceDN w:val="0"/>
              <w:jc w:val="left"/>
              <w:rPr>
                <w:rFonts w:ascii="Times New Roman" w:hAnsi="宋体" w:cs="宋体"/>
                <w:color w:val="auto"/>
                <w:sz w:val="24"/>
                <w:highlight w:val="none"/>
              </w:rPr>
            </w:pPr>
          </w:p>
        </w:tc>
        <w:tc>
          <w:tcPr>
            <w:tcW w:w="2024" w:type="dxa"/>
          </w:tcPr>
          <w:p w14:paraId="3E6FE4AF">
            <w:pPr>
              <w:autoSpaceDE w:val="0"/>
              <w:autoSpaceDN w:val="0"/>
              <w:jc w:val="left"/>
              <w:rPr>
                <w:rFonts w:ascii="Times New Roman" w:hAnsi="宋体" w:cs="宋体"/>
                <w:color w:val="auto"/>
                <w:sz w:val="24"/>
                <w:highlight w:val="none"/>
              </w:rPr>
            </w:pPr>
          </w:p>
        </w:tc>
      </w:tr>
      <w:tr w14:paraId="2DC5F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trPr>
        <w:tc>
          <w:tcPr>
            <w:tcW w:w="1020" w:type="dxa"/>
          </w:tcPr>
          <w:p w14:paraId="1E49135D">
            <w:pPr>
              <w:autoSpaceDE w:val="0"/>
              <w:autoSpaceDN w:val="0"/>
              <w:jc w:val="left"/>
              <w:rPr>
                <w:rFonts w:ascii="Times New Roman" w:hAnsi="宋体" w:cs="宋体"/>
                <w:color w:val="auto"/>
                <w:sz w:val="24"/>
                <w:highlight w:val="none"/>
              </w:rPr>
            </w:pPr>
          </w:p>
        </w:tc>
        <w:tc>
          <w:tcPr>
            <w:tcW w:w="2080" w:type="dxa"/>
          </w:tcPr>
          <w:p w14:paraId="01EE96DC">
            <w:pPr>
              <w:autoSpaceDE w:val="0"/>
              <w:autoSpaceDN w:val="0"/>
              <w:jc w:val="left"/>
              <w:rPr>
                <w:rFonts w:ascii="Times New Roman" w:hAnsi="宋体" w:cs="宋体"/>
                <w:color w:val="auto"/>
                <w:sz w:val="24"/>
                <w:highlight w:val="none"/>
              </w:rPr>
            </w:pPr>
          </w:p>
        </w:tc>
        <w:tc>
          <w:tcPr>
            <w:tcW w:w="1688" w:type="dxa"/>
          </w:tcPr>
          <w:p w14:paraId="38304734">
            <w:pPr>
              <w:autoSpaceDE w:val="0"/>
              <w:autoSpaceDN w:val="0"/>
              <w:jc w:val="left"/>
              <w:rPr>
                <w:rFonts w:ascii="Times New Roman" w:hAnsi="宋体" w:cs="宋体"/>
                <w:color w:val="auto"/>
                <w:sz w:val="24"/>
                <w:highlight w:val="none"/>
              </w:rPr>
            </w:pPr>
          </w:p>
        </w:tc>
        <w:tc>
          <w:tcPr>
            <w:tcW w:w="2333" w:type="dxa"/>
          </w:tcPr>
          <w:p w14:paraId="2614BBE2">
            <w:pPr>
              <w:autoSpaceDE w:val="0"/>
              <w:autoSpaceDN w:val="0"/>
              <w:jc w:val="left"/>
              <w:rPr>
                <w:rFonts w:ascii="Times New Roman" w:hAnsi="宋体" w:cs="宋体"/>
                <w:color w:val="auto"/>
                <w:sz w:val="24"/>
                <w:highlight w:val="none"/>
              </w:rPr>
            </w:pPr>
          </w:p>
        </w:tc>
        <w:tc>
          <w:tcPr>
            <w:tcW w:w="2024" w:type="dxa"/>
          </w:tcPr>
          <w:p w14:paraId="4542E49F">
            <w:pPr>
              <w:autoSpaceDE w:val="0"/>
              <w:autoSpaceDN w:val="0"/>
              <w:jc w:val="left"/>
              <w:rPr>
                <w:rFonts w:ascii="Times New Roman" w:hAnsi="宋体" w:cs="宋体"/>
                <w:color w:val="auto"/>
                <w:sz w:val="24"/>
                <w:highlight w:val="none"/>
              </w:rPr>
            </w:pPr>
          </w:p>
        </w:tc>
      </w:tr>
      <w:tr w14:paraId="25E0C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1020" w:type="dxa"/>
          </w:tcPr>
          <w:p w14:paraId="390DEEFA">
            <w:pPr>
              <w:autoSpaceDE w:val="0"/>
              <w:autoSpaceDN w:val="0"/>
              <w:jc w:val="left"/>
              <w:rPr>
                <w:rFonts w:ascii="Times New Roman" w:hAnsi="宋体" w:cs="宋体"/>
                <w:color w:val="auto"/>
                <w:sz w:val="24"/>
                <w:highlight w:val="none"/>
              </w:rPr>
            </w:pPr>
          </w:p>
        </w:tc>
        <w:tc>
          <w:tcPr>
            <w:tcW w:w="2080" w:type="dxa"/>
          </w:tcPr>
          <w:p w14:paraId="103ABECF">
            <w:pPr>
              <w:autoSpaceDE w:val="0"/>
              <w:autoSpaceDN w:val="0"/>
              <w:jc w:val="left"/>
              <w:rPr>
                <w:rFonts w:ascii="Times New Roman" w:hAnsi="宋体" w:cs="宋体"/>
                <w:color w:val="auto"/>
                <w:sz w:val="24"/>
                <w:highlight w:val="none"/>
              </w:rPr>
            </w:pPr>
          </w:p>
        </w:tc>
        <w:tc>
          <w:tcPr>
            <w:tcW w:w="1688" w:type="dxa"/>
          </w:tcPr>
          <w:p w14:paraId="19B1153C">
            <w:pPr>
              <w:autoSpaceDE w:val="0"/>
              <w:autoSpaceDN w:val="0"/>
              <w:jc w:val="left"/>
              <w:rPr>
                <w:rFonts w:ascii="Times New Roman" w:hAnsi="宋体" w:cs="宋体"/>
                <w:color w:val="auto"/>
                <w:sz w:val="24"/>
                <w:highlight w:val="none"/>
              </w:rPr>
            </w:pPr>
          </w:p>
        </w:tc>
        <w:tc>
          <w:tcPr>
            <w:tcW w:w="2333" w:type="dxa"/>
          </w:tcPr>
          <w:p w14:paraId="3A9D9F93">
            <w:pPr>
              <w:autoSpaceDE w:val="0"/>
              <w:autoSpaceDN w:val="0"/>
              <w:jc w:val="left"/>
              <w:rPr>
                <w:rFonts w:ascii="Times New Roman" w:hAnsi="宋体" w:cs="宋体"/>
                <w:color w:val="auto"/>
                <w:sz w:val="24"/>
                <w:highlight w:val="none"/>
              </w:rPr>
            </w:pPr>
          </w:p>
        </w:tc>
        <w:tc>
          <w:tcPr>
            <w:tcW w:w="2024" w:type="dxa"/>
          </w:tcPr>
          <w:p w14:paraId="1881F1CA">
            <w:pPr>
              <w:autoSpaceDE w:val="0"/>
              <w:autoSpaceDN w:val="0"/>
              <w:jc w:val="left"/>
              <w:rPr>
                <w:rFonts w:ascii="Times New Roman" w:hAnsi="宋体" w:cs="宋体"/>
                <w:color w:val="auto"/>
                <w:sz w:val="24"/>
                <w:highlight w:val="none"/>
              </w:rPr>
            </w:pPr>
          </w:p>
        </w:tc>
      </w:tr>
      <w:tr w14:paraId="1FF5C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020" w:type="dxa"/>
          </w:tcPr>
          <w:p w14:paraId="33458F93">
            <w:pPr>
              <w:autoSpaceDE w:val="0"/>
              <w:autoSpaceDN w:val="0"/>
              <w:jc w:val="left"/>
              <w:rPr>
                <w:rFonts w:ascii="Times New Roman" w:hAnsi="宋体" w:cs="宋体"/>
                <w:color w:val="auto"/>
                <w:sz w:val="24"/>
                <w:highlight w:val="none"/>
              </w:rPr>
            </w:pPr>
          </w:p>
        </w:tc>
        <w:tc>
          <w:tcPr>
            <w:tcW w:w="2080" w:type="dxa"/>
          </w:tcPr>
          <w:p w14:paraId="6B2DD9E7">
            <w:pPr>
              <w:autoSpaceDE w:val="0"/>
              <w:autoSpaceDN w:val="0"/>
              <w:jc w:val="left"/>
              <w:rPr>
                <w:rFonts w:ascii="Times New Roman" w:hAnsi="宋体" w:cs="宋体"/>
                <w:color w:val="auto"/>
                <w:sz w:val="24"/>
                <w:highlight w:val="none"/>
              </w:rPr>
            </w:pPr>
          </w:p>
        </w:tc>
        <w:tc>
          <w:tcPr>
            <w:tcW w:w="1688" w:type="dxa"/>
          </w:tcPr>
          <w:p w14:paraId="224B851A">
            <w:pPr>
              <w:autoSpaceDE w:val="0"/>
              <w:autoSpaceDN w:val="0"/>
              <w:jc w:val="left"/>
              <w:rPr>
                <w:rFonts w:ascii="Times New Roman" w:hAnsi="宋体" w:cs="宋体"/>
                <w:color w:val="auto"/>
                <w:sz w:val="24"/>
                <w:highlight w:val="none"/>
              </w:rPr>
            </w:pPr>
          </w:p>
        </w:tc>
        <w:tc>
          <w:tcPr>
            <w:tcW w:w="2333" w:type="dxa"/>
          </w:tcPr>
          <w:p w14:paraId="605F3AA9">
            <w:pPr>
              <w:autoSpaceDE w:val="0"/>
              <w:autoSpaceDN w:val="0"/>
              <w:jc w:val="left"/>
              <w:rPr>
                <w:rFonts w:ascii="Times New Roman" w:hAnsi="宋体" w:cs="宋体"/>
                <w:color w:val="auto"/>
                <w:sz w:val="24"/>
                <w:highlight w:val="none"/>
              </w:rPr>
            </w:pPr>
          </w:p>
        </w:tc>
        <w:tc>
          <w:tcPr>
            <w:tcW w:w="2024" w:type="dxa"/>
          </w:tcPr>
          <w:p w14:paraId="45FC9CCC">
            <w:pPr>
              <w:autoSpaceDE w:val="0"/>
              <w:autoSpaceDN w:val="0"/>
              <w:jc w:val="left"/>
              <w:rPr>
                <w:rFonts w:ascii="Times New Roman" w:hAnsi="宋体" w:cs="宋体"/>
                <w:color w:val="auto"/>
                <w:sz w:val="24"/>
                <w:highlight w:val="none"/>
              </w:rPr>
            </w:pPr>
          </w:p>
        </w:tc>
      </w:tr>
    </w:tbl>
    <w:p w14:paraId="096ACEFC">
      <w:pPr>
        <w:rPr>
          <w:color w:val="auto"/>
          <w:highlight w:val="none"/>
        </w:rPr>
      </w:pPr>
      <w:r>
        <w:rPr>
          <w:color w:val="auto"/>
          <w:highlight w:val="none"/>
        </w:rPr>
        <w:t>注：（1）供应商须对商务条款逐条响应，并保证响应的真实性。</w:t>
      </w:r>
    </w:p>
    <w:p w14:paraId="048A4E17">
      <w:pPr>
        <w:rPr>
          <w:color w:val="auto"/>
          <w:highlight w:val="none"/>
        </w:rPr>
      </w:pPr>
      <w:r>
        <w:rPr>
          <w:rFonts w:hint="eastAsia"/>
          <w:color w:val="auto"/>
          <w:highlight w:val="none"/>
        </w:rPr>
        <w:t>（2）</w:t>
      </w:r>
      <w:r>
        <w:rPr>
          <w:color w:val="auto"/>
          <w:highlight w:val="none"/>
        </w:rPr>
        <w:t>供应商未按要求响应的，漏项的，自行承担被视为无效</w:t>
      </w:r>
      <w:r>
        <w:rPr>
          <w:rFonts w:hint="eastAsia"/>
          <w:color w:val="auto"/>
          <w:highlight w:val="none"/>
        </w:rPr>
        <w:t>投标</w:t>
      </w:r>
      <w:r>
        <w:rPr>
          <w:color w:val="auto"/>
          <w:highlight w:val="none"/>
        </w:rPr>
        <w:t>响应文件的风险。</w:t>
      </w:r>
    </w:p>
    <w:p w14:paraId="66DBFA61">
      <w:pPr>
        <w:rPr>
          <w:color w:val="auto"/>
          <w:highlight w:val="none"/>
        </w:rPr>
      </w:pPr>
      <w:r>
        <w:rPr>
          <w:rFonts w:hint="eastAsia"/>
          <w:color w:val="auto"/>
          <w:highlight w:val="none"/>
        </w:rPr>
        <w:t>（3）</w:t>
      </w:r>
      <w:r>
        <w:rPr>
          <w:color w:val="auto"/>
          <w:highlight w:val="none"/>
        </w:rPr>
        <w:t>商务条款不允许负偏离。</w:t>
      </w:r>
    </w:p>
    <w:p w14:paraId="7131AA8D">
      <w:pPr>
        <w:pStyle w:val="34"/>
        <w:ind w:firstLine="0" w:firstLineChars="0"/>
        <w:rPr>
          <w:color w:val="auto"/>
          <w:highlight w:val="none"/>
        </w:rPr>
      </w:pPr>
    </w:p>
    <w:p w14:paraId="2FEE1D4E">
      <w:pPr>
        <w:pStyle w:val="34"/>
        <w:ind w:firstLine="0" w:firstLineChars="0"/>
        <w:rPr>
          <w:color w:val="auto"/>
          <w:highlight w:val="none"/>
        </w:rPr>
      </w:pPr>
    </w:p>
    <w:p w14:paraId="2AB813CF">
      <w:pPr>
        <w:widowControl/>
        <w:spacing w:line="48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rPr>
        <w:t xml:space="preserve">供应商名称：（盖章） </w:t>
      </w:r>
    </w:p>
    <w:p w14:paraId="11709980">
      <w:pPr>
        <w:widowControl/>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法定代表人或被授权人：（签字或盖章）</w:t>
      </w:r>
    </w:p>
    <w:p w14:paraId="687E5036">
      <w:pPr>
        <w:pStyle w:val="36"/>
        <w:spacing w:line="48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727503AD">
      <w:pPr>
        <w:pStyle w:val="36"/>
        <w:autoSpaceDE w:val="0"/>
        <w:autoSpaceDN w:val="0"/>
        <w:ind w:firstLine="0" w:firstLineChars="0"/>
        <w:rPr>
          <w:color w:val="auto"/>
          <w:highlight w:val="none"/>
        </w:rPr>
      </w:pPr>
    </w:p>
    <w:p w14:paraId="76E88B3C">
      <w:pPr>
        <w:pStyle w:val="35"/>
        <w:rPr>
          <w:rFonts w:cs="仿宋"/>
          <w:color w:val="auto"/>
          <w:highlight w:val="none"/>
        </w:rPr>
      </w:pPr>
    </w:p>
    <w:p w14:paraId="0289E603">
      <w:pPr>
        <w:rPr>
          <w:rFonts w:ascii="宋体" w:hAnsi="宋体" w:cs="仿宋"/>
          <w:color w:val="auto"/>
          <w:sz w:val="24"/>
          <w:szCs w:val="24"/>
          <w:highlight w:val="none"/>
        </w:rPr>
      </w:pPr>
    </w:p>
    <w:p w14:paraId="01CCA38C">
      <w:pPr>
        <w:pStyle w:val="36"/>
        <w:ind w:firstLine="240"/>
        <w:rPr>
          <w:rFonts w:ascii="宋体" w:hAnsi="宋体" w:cs="仿宋"/>
          <w:color w:val="auto"/>
          <w:sz w:val="24"/>
          <w:szCs w:val="24"/>
          <w:highlight w:val="none"/>
        </w:rPr>
      </w:pPr>
    </w:p>
    <w:p w14:paraId="160981E2">
      <w:pPr>
        <w:pStyle w:val="36"/>
        <w:ind w:firstLine="240"/>
        <w:rPr>
          <w:rFonts w:ascii="宋体" w:hAnsi="宋体" w:cs="仿宋"/>
          <w:color w:val="auto"/>
          <w:sz w:val="24"/>
          <w:szCs w:val="24"/>
          <w:highlight w:val="none"/>
        </w:rPr>
      </w:pPr>
    </w:p>
    <w:p w14:paraId="074D89ED">
      <w:pPr>
        <w:pStyle w:val="36"/>
        <w:ind w:firstLine="240"/>
        <w:rPr>
          <w:rFonts w:ascii="宋体" w:hAnsi="宋体" w:cs="仿宋"/>
          <w:color w:val="auto"/>
          <w:sz w:val="24"/>
          <w:szCs w:val="24"/>
          <w:highlight w:val="none"/>
        </w:rPr>
      </w:pPr>
    </w:p>
    <w:p w14:paraId="5AAA96B5">
      <w:pPr>
        <w:pStyle w:val="36"/>
        <w:ind w:firstLine="240"/>
        <w:rPr>
          <w:rFonts w:ascii="宋体" w:hAnsi="宋体" w:cs="仿宋"/>
          <w:color w:val="auto"/>
          <w:sz w:val="24"/>
          <w:szCs w:val="24"/>
          <w:highlight w:val="none"/>
        </w:rPr>
      </w:pPr>
    </w:p>
    <w:p w14:paraId="2D564AA1">
      <w:pPr>
        <w:pStyle w:val="36"/>
        <w:ind w:firstLine="240"/>
        <w:rPr>
          <w:rFonts w:ascii="宋体" w:hAnsi="宋体" w:cs="仿宋"/>
          <w:color w:val="auto"/>
          <w:sz w:val="24"/>
          <w:szCs w:val="24"/>
          <w:highlight w:val="none"/>
        </w:rPr>
      </w:pPr>
    </w:p>
    <w:p w14:paraId="5389A0E4">
      <w:pPr>
        <w:pStyle w:val="12"/>
        <w:spacing w:after="156"/>
        <w:rPr>
          <w:color w:val="auto"/>
          <w:highlight w:val="none"/>
        </w:rPr>
      </w:pPr>
    </w:p>
    <w:p w14:paraId="48189108">
      <w:pPr>
        <w:pStyle w:val="12"/>
        <w:spacing w:after="156"/>
        <w:jc w:val="center"/>
        <w:rPr>
          <w:color w:val="auto"/>
          <w:highlight w:val="none"/>
        </w:rPr>
      </w:pPr>
      <w:r>
        <w:rPr>
          <w:rFonts w:hint="eastAsia" w:cs="宋体"/>
          <w:b/>
          <w:color w:val="auto"/>
          <w:szCs w:val="24"/>
          <w:highlight w:val="none"/>
        </w:rPr>
        <w:t>第四部分 技术响应偏离表</w:t>
      </w:r>
    </w:p>
    <w:p w14:paraId="5B740122">
      <w:pPr>
        <w:adjustRightInd w:val="0"/>
        <w:snapToGrid w:val="0"/>
        <w:spacing w:line="40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p w14:paraId="3164D415">
      <w:pPr>
        <w:widowControl/>
        <w:jc w:val="left"/>
        <w:rPr>
          <w:rFonts w:ascii="宋体" w:hAnsi="宋体" w:cs="宋体"/>
          <w:b/>
          <w:color w:val="auto"/>
          <w:sz w:val="24"/>
          <w:szCs w:val="24"/>
          <w:highlight w:val="none"/>
        </w:rPr>
      </w:pPr>
    </w:p>
    <w:p w14:paraId="17DE6C18">
      <w:pPr>
        <w:widowControl/>
        <w:jc w:val="left"/>
        <w:rPr>
          <w:rFonts w:ascii="宋体" w:hAnsi="宋体" w:cs="宋体"/>
          <w:b/>
          <w:color w:val="auto"/>
          <w:sz w:val="24"/>
          <w:szCs w:val="24"/>
          <w:highlight w:val="none"/>
        </w:rPr>
      </w:pPr>
      <w:r>
        <w:rPr>
          <w:rFonts w:hint="eastAsia" w:ascii="宋体" w:hAnsi="宋体" w:cs="宋体"/>
          <w:b/>
          <w:color w:val="auto"/>
          <w:sz w:val="24"/>
          <w:szCs w:val="24"/>
          <w:highlight w:val="none"/>
        </w:rPr>
        <w:t>1、技术响应偏离表</w:t>
      </w:r>
    </w:p>
    <w:tbl>
      <w:tblPr>
        <w:tblStyle w:val="26"/>
        <w:tblpPr w:leftFromText="180" w:rightFromText="180" w:vertAnchor="text" w:horzAnchor="page" w:tblpX="1485" w:tblpY="24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2058"/>
        <w:gridCol w:w="1882"/>
        <w:gridCol w:w="2284"/>
        <w:gridCol w:w="1899"/>
      </w:tblGrid>
      <w:tr w14:paraId="3E056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009" w:type="dxa"/>
            <w:vAlign w:val="top"/>
          </w:tcPr>
          <w:p w14:paraId="5A245BD9">
            <w:pPr>
              <w:widowControl w:val="0"/>
              <w:autoSpaceDE w:val="0"/>
              <w:autoSpaceDN w:val="0"/>
              <w:spacing w:before="146" w:after="0" w:line="240" w:lineRule="auto"/>
              <w:ind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序号</w:t>
            </w:r>
          </w:p>
        </w:tc>
        <w:tc>
          <w:tcPr>
            <w:tcW w:w="2058" w:type="dxa"/>
            <w:vAlign w:val="top"/>
          </w:tcPr>
          <w:p w14:paraId="09226681">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文件条目号</w:t>
            </w:r>
          </w:p>
        </w:tc>
        <w:tc>
          <w:tcPr>
            <w:tcW w:w="1882" w:type="dxa"/>
            <w:vAlign w:val="top"/>
          </w:tcPr>
          <w:p w14:paraId="767DD6B9">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hint="eastAsia" w:ascii="宋体" w:hAnsi="宋体" w:cs="宋体"/>
                <w:b/>
                <w:bCs/>
                <w:color w:val="auto"/>
                <w:sz w:val="24"/>
                <w:szCs w:val="22"/>
                <w:highlight w:val="none"/>
                <w:lang w:val="en-US" w:eastAsia="zh-CN" w:bidi="ar-SA"/>
              </w:rPr>
              <w:t>技术</w:t>
            </w:r>
            <w:r>
              <w:rPr>
                <w:rFonts w:ascii="宋体" w:hAnsi="宋体" w:eastAsia="宋体" w:cs="宋体"/>
                <w:b/>
                <w:bCs/>
                <w:color w:val="auto"/>
                <w:sz w:val="24"/>
                <w:szCs w:val="22"/>
                <w:highlight w:val="none"/>
                <w:lang w:val="en-US" w:eastAsia="zh-CN" w:bidi="ar-SA"/>
              </w:rPr>
              <w:t>要求</w:t>
            </w:r>
          </w:p>
        </w:tc>
        <w:tc>
          <w:tcPr>
            <w:tcW w:w="2284" w:type="dxa"/>
            <w:vAlign w:val="top"/>
          </w:tcPr>
          <w:p w14:paraId="53F44D19">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供应商应答</w:t>
            </w:r>
          </w:p>
        </w:tc>
        <w:tc>
          <w:tcPr>
            <w:tcW w:w="1899" w:type="dxa"/>
            <w:vAlign w:val="top"/>
          </w:tcPr>
          <w:p w14:paraId="45746F8F">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响应/偏离</w:t>
            </w:r>
          </w:p>
        </w:tc>
      </w:tr>
      <w:tr w14:paraId="52D78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009" w:type="dxa"/>
          </w:tcPr>
          <w:p w14:paraId="41333C2E">
            <w:pPr>
              <w:autoSpaceDE w:val="0"/>
              <w:autoSpaceDN w:val="0"/>
              <w:jc w:val="left"/>
              <w:rPr>
                <w:rFonts w:ascii="Times New Roman" w:hAnsi="宋体" w:cs="宋体"/>
                <w:color w:val="auto"/>
                <w:sz w:val="24"/>
                <w:highlight w:val="none"/>
              </w:rPr>
            </w:pPr>
          </w:p>
        </w:tc>
        <w:tc>
          <w:tcPr>
            <w:tcW w:w="2058" w:type="dxa"/>
          </w:tcPr>
          <w:p w14:paraId="2B0E646B">
            <w:pPr>
              <w:autoSpaceDE w:val="0"/>
              <w:autoSpaceDN w:val="0"/>
              <w:jc w:val="left"/>
              <w:rPr>
                <w:rFonts w:ascii="Times New Roman" w:hAnsi="宋体" w:cs="宋体"/>
                <w:color w:val="auto"/>
                <w:sz w:val="24"/>
                <w:highlight w:val="none"/>
              </w:rPr>
            </w:pPr>
          </w:p>
        </w:tc>
        <w:tc>
          <w:tcPr>
            <w:tcW w:w="1882" w:type="dxa"/>
          </w:tcPr>
          <w:p w14:paraId="66843B68">
            <w:pPr>
              <w:autoSpaceDE w:val="0"/>
              <w:autoSpaceDN w:val="0"/>
              <w:jc w:val="left"/>
              <w:rPr>
                <w:rFonts w:ascii="Times New Roman" w:hAnsi="宋体" w:cs="宋体"/>
                <w:color w:val="auto"/>
                <w:sz w:val="24"/>
                <w:highlight w:val="none"/>
              </w:rPr>
            </w:pPr>
          </w:p>
        </w:tc>
        <w:tc>
          <w:tcPr>
            <w:tcW w:w="2284" w:type="dxa"/>
          </w:tcPr>
          <w:p w14:paraId="3603E9D2">
            <w:pPr>
              <w:autoSpaceDE w:val="0"/>
              <w:autoSpaceDN w:val="0"/>
              <w:jc w:val="left"/>
              <w:rPr>
                <w:rFonts w:ascii="Times New Roman" w:hAnsi="宋体" w:cs="宋体"/>
                <w:color w:val="auto"/>
                <w:sz w:val="24"/>
                <w:highlight w:val="none"/>
              </w:rPr>
            </w:pPr>
          </w:p>
        </w:tc>
        <w:tc>
          <w:tcPr>
            <w:tcW w:w="1899" w:type="dxa"/>
          </w:tcPr>
          <w:p w14:paraId="4B4DBD28">
            <w:pPr>
              <w:autoSpaceDE w:val="0"/>
              <w:autoSpaceDN w:val="0"/>
              <w:jc w:val="left"/>
              <w:rPr>
                <w:rFonts w:ascii="Times New Roman" w:hAnsi="宋体" w:cs="宋体"/>
                <w:color w:val="auto"/>
                <w:sz w:val="24"/>
                <w:highlight w:val="none"/>
              </w:rPr>
            </w:pPr>
          </w:p>
        </w:tc>
      </w:tr>
      <w:tr w14:paraId="63C9F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1009" w:type="dxa"/>
          </w:tcPr>
          <w:p w14:paraId="28E4914A">
            <w:pPr>
              <w:autoSpaceDE w:val="0"/>
              <w:autoSpaceDN w:val="0"/>
              <w:jc w:val="left"/>
              <w:rPr>
                <w:rFonts w:ascii="Times New Roman" w:hAnsi="宋体" w:cs="宋体"/>
                <w:color w:val="auto"/>
                <w:sz w:val="24"/>
                <w:highlight w:val="none"/>
              </w:rPr>
            </w:pPr>
          </w:p>
        </w:tc>
        <w:tc>
          <w:tcPr>
            <w:tcW w:w="2058" w:type="dxa"/>
          </w:tcPr>
          <w:p w14:paraId="13C8ADB5">
            <w:pPr>
              <w:autoSpaceDE w:val="0"/>
              <w:autoSpaceDN w:val="0"/>
              <w:jc w:val="left"/>
              <w:rPr>
                <w:rFonts w:ascii="Times New Roman" w:hAnsi="宋体" w:cs="宋体"/>
                <w:color w:val="auto"/>
                <w:sz w:val="24"/>
                <w:highlight w:val="none"/>
              </w:rPr>
            </w:pPr>
          </w:p>
        </w:tc>
        <w:tc>
          <w:tcPr>
            <w:tcW w:w="1882" w:type="dxa"/>
          </w:tcPr>
          <w:p w14:paraId="34355A5D">
            <w:pPr>
              <w:autoSpaceDE w:val="0"/>
              <w:autoSpaceDN w:val="0"/>
              <w:jc w:val="left"/>
              <w:rPr>
                <w:rFonts w:ascii="Times New Roman" w:hAnsi="宋体" w:cs="宋体"/>
                <w:color w:val="auto"/>
                <w:sz w:val="24"/>
                <w:highlight w:val="none"/>
              </w:rPr>
            </w:pPr>
          </w:p>
        </w:tc>
        <w:tc>
          <w:tcPr>
            <w:tcW w:w="2284" w:type="dxa"/>
          </w:tcPr>
          <w:p w14:paraId="55D5FBE4">
            <w:pPr>
              <w:autoSpaceDE w:val="0"/>
              <w:autoSpaceDN w:val="0"/>
              <w:jc w:val="left"/>
              <w:rPr>
                <w:rFonts w:ascii="Times New Roman" w:hAnsi="宋体" w:cs="宋体"/>
                <w:color w:val="auto"/>
                <w:sz w:val="24"/>
                <w:highlight w:val="none"/>
              </w:rPr>
            </w:pPr>
          </w:p>
        </w:tc>
        <w:tc>
          <w:tcPr>
            <w:tcW w:w="1899" w:type="dxa"/>
          </w:tcPr>
          <w:p w14:paraId="2B841AB4">
            <w:pPr>
              <w:autoSpaceDE w:val="0"/>
              <w:autoSpaceDN w:val="0"/>
              <w:jc w:val="left"/>
              <w:rPr>
                <w:rFonts w:ascii="Times New Roman" w:hAnsi="宋体" w:cs="宋体"/>
                <w:color w:val="auto"/>
                <w:sz w:val="24"/>
                <w:highlight w:val="none"/>
              </w:rPr>
            </w:pPr>
          </w:p>
        </w:tc>
      </w:tr>
      <w:tr w14:paraId="26AB1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009" w:type="dxa"/>
          </w:tcPr>
          <w:p w14:paraId="4FE47C17">
            <w:pPr>
              <w:autoSpaceDE w:val="0"/>
              <w:autoSpaceDN w:val="0"/>
              <w:jc w:val="left"/>
              <w:rPr>
                <w:rFonts w:ascii="Times New Roman" w:hAnsi="宋体" w:cs="宋体"/>
                <w:color w:val="auto"/>
                <w:sz w:val="24"/>
                <w:highlight w:val="none"/>
              </w:rPr>
            </w:pPr>
          </w:p>
        </w:tc>
        <w:tc>
          <w:tcPr>
            <w:tcW w:w="2058" w:type="dxa"/>
          </w:tcPr>
          <w:p w14:paraId="4B3DA2FD">
            <w:pPr>
              <w:autoSpaceDE w:val="0"/>
              <w:autoSpaceDN w:val="0"/>
              <w:jc w:val="left"/>
              <w:rPr>
                <w:rFonts w:ascii="Times New Roman" w:hAnsi="宋体" w:cs="宋体"/>
                <w:color w:val="auto"/>
                <w:sz w:val="24"/>
                <w:highlight w:val="none"/>
              </w:rPr>
            </w:pPr>
          </w:p>
        </w:tc>
        <w:tc>
          <w:tcPr>
            <w:tcW w:w="1882" w:type="dxa"/>
          </w:tcPr>
          <w:p w14:paraId="51505E43">
            <w:pPr>
              <w:autoSpaceDE w:val="0"/>
              <w:autoSpaceDN w:val="0"/>
              <w:jc w:val="left"/>
              <w:rPr>
                <w:rFonts w:ascii="Times New Roman" w:hAnsi="宋体" w:cs="宋体"/>
                <w:color w:val="auto"/>
                <w:sz w:val="24"/>
                <w:highlight w:val="none"/>
              </w:rPr>
            </w:pPr>
          </w:p>
        </w:tc>
        <w:tc>
          <w:tcPr>
            <w:tcW w:w="2284" w:type="dxa"/>
          </w:tcPr>
          <w:p w14:paraId="7BAAFB1D">
            <w:pPr>
              <w:autoSpaceDE w:val="0"/>
              <w:autoSpaceDN w:val="0"/>
              <w:jc w:val="left"/>
              <w:rPr>
                <w:rFonts w:ascii="Times New Roman" w:hAnsi="宋体" w:cs="宋体"/>
                <w:color w:val="auto"/>
                <w:sz w:val="24"/>
                <w:highlight w:val="none"/>
              </w:rPr>
            </w:pPr>
          </w:p>
        </w:tc>
        <w:tc>
          <w:tcPr>
            <w:tcW w:w="1899" w:type="dxa"/>
          </w:tcPr>
          <w:p w14:paraId="63DD4E58">
            <w:pPr>
              <w:autoSpaceDE w:val="0"/>
              <w:autoSpaceDN w:val="0"/>
              <w:jc w:val="left"/>
              <w:rPr>
                <w:rFonts w:ascii="Times New Roman" w:hAnsi="宋体" w:cs="宋体"/>
                <w:color w:val="auto"/>
                <w:sz w:val="24"/>
                <w:highlight w:val="none"/>
              </w:rPr>
            </w:pPr>
          </w:p>
        </w:tc>
      </w:tr>
      <w:tr w14:paraId="4424C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atLeast"/>
        </w:trPr>
        <w:tc>
          <w:tcPr>
            <w:tcW w:w="1009" w:type="dxa"/>
          </w:tcPr>
          <w:p w14:paraId="4E083B8E">
            <w:pPr>
              <w:autoSpaceDE w:val="0"/>
              <w:autoSpaceDN w:val="0"/>
              <w:jc w:val="left"/>
              <w:rPr>
                <w:rFonts w:ascii="Times New Roman" w:hAnsi="宋体" w:cs="宋体"/>
                <w:color w:val="auto"/>
                <w:sz w:val="24"/>
                <w:highlight w:val="none"/>
              </w:rPr>
            </w:pPr>
          </w:p>
        </w:tc>
        <w:tc>
          <w:tcPr>
            <w:tcW w:w="2058" w:type="dxa"/>
          </w:tcPr>
          <w:p w14:paraId="5C073616">
            <w:pPr>
              <w:autoSpaceDE w:val="0"/>
              <w:autoSpaceDN w:val="0"/>
              <w:jc w:val="left"/>
              <w:rPr>
                <w:rFonts w:ascii="Times New Roman" w:hAnsi="宋体" w:cs="宋体"/>
                <w:color w:val="auto"/>
                <w:sz w:val="24"/>
                <w:highlight w:val="none"/>
              </w:rPr>
            </w:pPr>
          </w:p>
        </w:tc>
        <w:tc>
          <w:tcPr>
            <w:tcW w:w="1882" w:type="dxa"/>
          </w:tcPr>
          <w:p w14:paraId="7881CCCD">
            <w:pPr>
              <w:autoSpaceDE w:val="0"/>
              <w:autoSpaceDN w:val="0"/>
              <w:jc w:val="left"/>
              <w:rPr>
                <w:rFonts w:ascii="Times New Roman" w:hAnsi="宋体" w:cs="宋体"/>
                <w:color w:val="auto"/>
                <w:sz w:val="24"/>
                <w:highlight w:val="none"/>
              </w:rPr>
            </w:pPr>
          </w:p>
        </w:tc>
        <w:tc>
          <w:tcPr>
            <w:tcW w:w="2284" w:type="dxa"/>
          </w:tcPr>
          <w:p w14:paraId="4B7891D2">
            <w:pPr>
              <w:autoSpaceDE w:val="0"/>
              <w:autoSpaceDN w:val="0"/>
              <w:jc w:val="left"/>
              <w:rPr>
                <w:rFonts w:ascii="Times New Roman" w:hAnsi="宋体" w:cs="宋体"/>
                <w:color w:val="auto"/>
                <w:sz w:val="24"/>
                <w:highlight w:val="none"/>
              </w:rPr>
            </w:pPr>
          </w:p>
        </w:tc>
        <w:tc>
          <w:tcPr>
            <w:tcW w:w="1899" w:type="dxa"/>
          </w:tcPr>
          <w:p w14:paraId="242D6DC7">
            <w:pPr>
              <w:autoSpaceDE w:val="0"/>
              <w:autoSpaceDN w:val="0"/>
              <w:jc w:val="left"/>
              <w:rPr>
                <w:rFonts w:ascii="Times New Roman" w:hAnsi="宋体" w:cs="宋体"/>
                <w:color w:val="auto"/>
                <w:sz w:val="24"/>
                <w:highlight w:val="none"/>
              </w:rPr>
            </w:pPr>
          </w:p>
        </w:tc>
      </w:tr>
    </w:tbl>
    <w:p w14:paraId="6C08AA4D">
      <w:pPr>
        <w:ind w:firstLine="210" w:firstLineChars="100"/>
        <w:rPr>
          <w:color w:val="auto"/>
          <w:highlight w:val="none"/>
        </w:rPr>
      </w:pPr>
    </w:p>
    <w:p w14:paraId="0888FAC8">
      <w:pPr>
        <w:ind w:firstLine="210" w:firstLineChars="100"/>
        <w:rPr>
          <w:color w:val="auto"/>
          <w:highlight w:val="none"/>
        </w:rPr>
      </w:pPr>
      <w:r>
        <w:rPr>
          <w:color w:val="auto"/>
          <w:highlight w:val="none"/>
        </w:rPr>
        <w:t>注：（1）供应商须对</w:t>
      </w:r>
      <w:r>
        <w:rPr>
          <w:rFonts w:hint="eastAsia"/>
          <w:color w:val="auto"/>
          <w:highlight w:val="none"/>
        </w:rPr>
        <w:t>技术</w:t>
      </w:r>
      <w:r>
        <w:rPr>
          <w:color w:val="auto"/>
          <w:highlight w:val="none"/>
        </w:rPr>
        <w:t>条款逐条响应，并保证响应的真实性。</w:t>
      </w:r>
    </w:p>
    <w:p w14:paraId="0C68536D">
      <w:pPr>
        <w:rPr>
          <w:color w:val="auto"/>
          <w:highlight w:val="none"/>
        </w:rPr>
      </w:pPr>
      <w:r>
        <w:rPr>
          <w:rFonts w:hint="eastAsia"/>
          <w:color w:val="auto"/>
          <w:highlight w:val="none"/>
        </w:rPr>
        <w:t>（2）</w:t>
      </w:r>
      <w:r>
        <w:rPr>
          <w:color w:val="auto"/>
          <w:highlight w:val="none"/>
        </w:rPr>
        <w:t>供应商未按要求响应的，漏项的，自行承担被视为无效</w:t>
      </w:r>
      <w:r>
        <w:rPr>
          <w:rFonts w:hint="eastAsia"/>
          <w:color w:val="auto"/>
          <w:highlight w:val="none"/>
        </w:rPr>
        <w:t>投标</w:t>
      </w:r>
      <w:r>
        <w:rPr>
          <w:color w:val="auto"/>
          <w:highlight w:val="none"/>
        </w:rPr>
        <w:t>响应文件的风险。</w:t>
      </w:r>
    </w:p>
    <w:p w14:paraId="36BE1922">
      <w:pPr>
        <w:pStyle w:val="11"/>
        <w:rPr>
          <w:bCs/>
          <w:color w:val="auto"/>
          <w:highlight w:val="none"/>
        </w:rPr>
      </w:pPr>
    </w:p>
    <w:p w14:paraId="27AD93BA">
      <w:pPr>
        <w:widowControl/>
        <w:spacing w:line="480" w:lineRule="auto"/>
        <w:jc w:val="left"/>
        <w:rPr>
          <w:rFonts w:ascii="宋体" w:hAnsi="宋体" w:cs="宋体"/>
          <w:color w:val="auto"/>
          <w:sz w:val="24"/>
          <w:szCs w:val="24"/>
          <w:highlight w:val="none"/>
        </w:rPr>
      </w:pPr>
    </w:p>
    <w:p w14:paraId="2B4E57C5">
      <w:pPr>
        <w:widowControl/>
        <w:spacing w:line="48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rPr>
        <w:t xml:space="preserve">供应商名称：（盖章） </w:t>
      </w:r>
    </w:p>
    <w:p w14:paraId="3B73BB0D">
      <w:pPr>
        <w:widowControl/>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法定代表人或被授权人：（签字或盖章）</w:t>
      </w:r>
    </w:p>
    <w:p w14:paraId="04B966C0">
      <w:pPr>
        <w:pStyle w:val="36"/>
        <w:spacing w:line="48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437D249A">
      <w:pPr>
        <w:rPr>
          <w:color w:val="auto"/>
          <w:highlight w:val="none"/>
        </w:rPr>
        <w:sectPr>
          <w:pgSz w:w="11906" w:h="16838"/>
          <w:pgMar w:top="1440" w:right="1293" w:bottom="1440" w:left="1293" w:header="964" w:footer="992" w:gutter="0"/>
          <w:cols w:space="720" w:num="1"/>
          <w:docGrid w:type="lines" w:linePitch="312" w:charSpace="0"/>
        </w:sectPr>
      </w:pPr>
    </w:p>
    <w:p w14:paraId="2677C87E">
      <w:pPr>
        <w:pStyle w:val="7"/>
        <w:ind w:firstLine="0" w:firstLineChars="0"/>
        <w:jc w:val="center"/>
        <w:rPr>
          <w:rFonts w:ascii="宋体" w:hAnsi="宋体" w:cs="宋体"/>
          <w:color w:val="auto"/>
          <w:sz w:val="24"/>
          <w:szCs w:val="24"/>
          <w:highlight w:val="none"/>
        </w:rPr>
      </w:pPr>
    </w:p>
    <w:p w14:paraId="488D5AA7">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第五部分 法定代表人授权书</w:t>
      </w:r>
    </w:p>
    <w:p w14:paraId="61342810">
      <w:pPr>
        <w:adjustRightInd w:val="0"/>
        <w:snapToGrid w:val="0"/>
        <w:spacing w:line="520" w:lineRule="exact"/>
        <w:rPr>
          <w:rFonts w:ascii="宋体" w:hAnsi="宋体" w:cs="宋体"/>
          <w:b/>
          <w:bCs/>
          <w:color w:val="auto"/>
          <w:sz w:val="24"/>
          <w:szCs w:val="24"/>
          <w:highlight w:val="none"/>
        </w:rPr>
      </w:pPr>
      <w:r>
        <w:rPr>
          <w:rFonts w:hint="eastAsia" w:ascii="宋体" w:hAnsi="宋体" w:cs="宋体"/>
          <w:b/>
          <w:color w:val="auto"/>
          <w:sz w:val="24"/>
          <w:szCs w:val="24"/>
          <w:highlight w:val="none"/>
          <w:lang w:eastAsia="zh-CN"/>
        </w:rPr>
        <w:t>陕西中源项目管理有限公司</w:t>
      </w:r>
      <w:r>
        <w:rPr>
          <w:rFonts w:hint="eastAsia" w:ascii="宋体" w:hAnsi="宋体" w:cs="宋体"/>
          <w:b/>
          <w:bCs/>
          <w:color w:val="auto"/>
          <w:sz w:val="24"/>
          <w:szCs w:val="24"/>
          <w:highlight w:val="none"/>
        </w:rPr>
        <w:t>：</w:t>
      </w:r>
    </w:p>
    <w:p w14:paraId="6223C289">
      <w:pPr>
        <w:adjustRightInd w:val="0"/>
        <w:snapToGrid w:val="0"/>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注册于</w:t>
      </w:r>
      <w:r>
        <w:rPr>
          <w:rFonts w:hint="eastAsia" w:ascii="宋体" w:hAnsi="宋体" w:cs="宋体"/>
          <w:color w:val="auto"/>
          <w:sz w:val="24"/>
          <w:szCs w:val="24"/>
          <w:highlight w:val="none"/>
          <w:u w:val="single"/>
        </w:rPr>
        <w:t>（工商行政管理局名称）</w:t>
      </w:r>
      <w:r>
        <w:rPr>
          <w:rFonts w:hint="eastAsia" w:ascii="宋体" w:hAnsi="宋体" w:cs="宋体"/>
          <w:color w:val="auto"/>
          <w:sz w:val="24"/>
          <w:szCs w:val="24"/>
          <w:highlight w:val="none"/>
        </w:rPr>
        <w:t>之</w:t>
      </w:r>
      <w:r>
        <w:rPr>
          <w:rFonts w:hint="eastAsia" w:ascii="宋体" w:hAnsi="宋体" w:cs="宋体"/>
          <w:color w:val="auto"/>
          <w:sz w:val="24"/>
          <w:szCs w:val="24"/>
          <w:highlight w:val="none"/>
          <w:u w:val="single"/>
        </w:rPr>
        <w:t>（供应商全称）</w:t>
      </w:r>
      <w:r>
        <w:rPr>
          <w:rFonts w:hint="eastAsia" w:ascii="宋体" w:hAnsi="宋体" w:cs="宋体"/>
          <w:color w:val="auto"/>
          <w:sz w:val="24"/>
          <w:szCs w:val="24"/>
          <w:highlight w:val="none"/>
        </w:rPr>
        <w:t>法人代表</w:t>
      </w:r>
      <w:r>
        <w:rPr>
          <w:rFonts w:hint="eastAsia" w:ascii="宋体" w:hAnsi="宋体" w:cs="宋体"/>
          <w:color w:val="auto"/>
          <w:sz w:val="24"/>
          <w:szCs w:val="24"/>
          <w:highlight w:val="none"/>
          <w:u w:val="single"/>
        </w:rPr>
        <w:t>（姓名、职务）</w:t>
      </w:r>
      <w:r>
        <w:rPr>
          <w:rFonts w:hint="eastAsia" w:ascii="宋体" w:hAnsi="宋体" w:cs="宋体"/>
          <w:color w:val="auto"/>
          <w:sz w:val="24"/>
          <w:szCs w:val="24"/>
          <w:highlight w:val="none"/>
        </w:rPr>
        <w:t>授权</w:t>
      </w:r>
      <w:r>
        <w:rPr>
          <w:rFonts w:hint="eastAsia" w:ascii="宋体" w:hAnsi="宋体" w:cs="宋体"/>
          <w:color w:val="auto"/>
          <w:sz w:val="24"/>
          <w:szCs w:val="24"/>
          <w:highlight w:val="none"/>
          <w:u w:val="single"/>
        </w:rPr>
        <w:t>（被授权人姓名、职务）</w:t>
      </w:r>
      <w:r>
        <w:rPr>
          <w:rFonts w:hint="eastAsia" w:ascii="宋体" w:hAnsi="宋体" w:cs="宋体"/>
          <w:color w:val="auto"/>
          <w:sz w:val="24"/>
          <w:szCs w:val="24"/>
          <w:highlight w:val="none"/>
        </w:rPr>
        <w:t>为本公司的合法代理人，就本项目</w:t>
      </w:r>
      <w:r>
        <w:rPr>
          <w:rFonts w:hint="eastAsia" w:ascii="宋体" w:hAnsi="宋体" w:cs="宋体"/>
          <w:color w:val="auto"/>
          <w:sz w:val="24"/>
          <w:szCs w:val="24"/>
          <w:highlight w:val="none"/>
          <w:u w:val="single"/>
        </w:rPr>
        <w:t>（项目名称）</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标段</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的招标及合同的执行和完成，以本公司的名义处理一切与之有关的事宜。</w:t>
      </w:r>
    </w:p>
    <w:p w14:paraId="065DDE5E">
      <w:pPr>
        <w:adjustRightInd w:val="0"/>
        <w:snapToGrid w:val="0"/>
        <w:spacing w:line="520" w:lineRule="exact"/>
        <w:rPr>
          <w:rFonts w:ascii="宋体" w:hAnsi="宋体" w:cs="宋体"/>
          <w:color w:val="auto"/>
          <w:sz w:val="24"/>
          <w:szCs w:val="24"/>
          <w:highlight w:val="none"/>
          <w:u w:val="single"/>
        </w:rPr>
      </w:pPr>
    </w:p>
    <w:p w14:paraId="7BA6123F">
      <w:pPr>
        <w:adjustRightInd w:val="0"/>
        <w:snapToGrid w:val="0"/>
        <w:spacing w:line="52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法定代表人/授权代表身份证复印件</w:t>
      </w:r>
    </w:p>
    <w:tbl>
      <w:tblPr>
        <w:tblStyle w:val="26"/>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1"/>
        <w:gridCol w:w="4318"/>
      </w:tblGrid>
      <w:tr w14:paraId="083C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jc w:val="center"/>
        </w:trPr>
        <w:tc>
          <w:tcPr>
            <w:tcW w:w="4441" w:type="dxa"/>
            <w:vAlign w:val="center"/>
          </w:tcPr>
          <w:p w14:paraId="59B435B7">
            <w:pPr>
              <w:adjustRightInd w:val="0"/>
              <w:snapToGrid w:val="0"/>
              <w:spacing w:line="600" w:lineRule="exact"/>
              <w:jc w:val="center"/>
              <w:rPr>
                <w:rFonts w:ascii="宋体" w:hAnsi="宋体" w:cs="宋体"/>
                <w:color w:val="auto"/>
                <w:sz w:val="24"/>
                <w:szCs w:val="24"/>
                <w:highlight w:val="none"/>
                <w:u w:val="single"/>
              </w:rPr>
            </w:pPr>
            <w:r>
              <w:rPr>
                <w:rFonts w:hint="eastAsia" w:ascii="宋体" w:hAnsi="宋体" w:cs="宋体"/>
                <w:color w:val="auto"/>
                <w:sz w:val="24"/>
                <w:szCs w:val="24"/>
                <w:highlight w:val="none"/>
              </w:rPr>
              <w:t>法定代表人身份证复印件（正面）</w:t>
            </w:r>
          </w:p>
        </w:tc>
        <w:tc>
          <w:tcPr>
            <w:tcW w:w="4318" w:type="dxa"/>
            <w:vAlign w:val="center"/>
          </w:tcPr>
          <w:p w14:paraId="7B84372B">
            <w:pPr>
              <w:adjustRightInd w:val="0"/>
              <w:snapToGrid w:val="0"/>
              <w:spacing w:line="600" w:lineRule="exact"/>
              <w:jc w:val="center"/>
              <w:rPr>
                <w:rFonts w:ascii="宋体" w:hAnsi="宋体" w:cs="宋体"/>
                <w:color w:val="auto"/>
                <w:sz w:val="24"/>
                <w:szCs w:val="24"/>
                <w:highlight w:val="none"/>
                <w:u w:val="single"/>
              </w:rPr>
            </w:pPr>
            <w:r>
              <w:rPr>
                <w:rFonts w:hint="eastAsia" w:ascii="宋体" w:hAnsi="宋体" w:cs="宋体"/>
                <w:color w:val="auto"/>
                <w:sz w:val="24"/>
                <w:szCs w:val="24"/>
                <w:highlight w:val="none"/>
              </w:rPr>
              <w:t>授权代表身份证复印件（正面）</w:t>
            </w:r>
          </w:p>
        </w:tc>
      </w:tr>
      <w:tr w14:paraId="3C0B1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jc w:val="center"/>
        </w:trPr>
        <w:tc>
          <w:tcPr>
            <w:tcW w:w="4441" w:type="dxa"/>
            <w:vAlign w:val="center"/>
          </w:tcPr>
          <w:p w14:paraId="3B00AF8C">
            <w:pPr>
              <w:adjustRightInd w:val="0"/>
              <w:snapToGrid w:val="0"/>
              <w:spacing w:line="6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法定代表人身份证复印件（反面）</w:t>
            </w:r>
          </w:p>
        </w:tc>
        <w:tc>
          <w:tcPr>
            <w:tcW w:w="4318" w:type="dxa"/>
            <w:vAlign w:val="center"/>
          </w:tcPr>
          <w:p w14:paraId="09331543">
            <w:pPr>
              <w:adjustRightInd w:val="0"/>
              <w:snapToGrid w:val="0"/>
              <w:spacing w:line="6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授权代表身份证复印件（反面）</w:t>
            </w:r>
          </w:p>
        </w:tc>
      </w:tr>
    </w:tbl>
    <w:p w14:paraId="1A4C87D0">
      <w:pPr>
        <w:adjustRightInd w:val="0"/>
        <w:snapToGrid w:val="0"/>
        <w:spacing w:line="200" w:lineRule="exact"/>
        <w:ind w:firstLine="629"/>
        <w:rPr>
          <w:rFonts w:ascii="宋体" w:hAnsi="宋体" w:cs="宋体"/>
          <w:color w:val="auto"/>
          <w:sz w:val="24"/>
          <w:szCs w:val="24"/>
          <w:highlight w:val="none"/>
        </w:rPr>
      </w:pPr>
    </w:p>
    <w:p w14:paraId="7E4724CD">
      <w:pPr>
        <w:adjustRightInd w:val="0"/>
        <w:snapToGrid w:val="0"/>
        <w:spacing w:line="60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供应商名称（盖章）：</w:t>
      </w:r>
    </w:p>
    <w:p w14:paraId="33497EC2">
      <w:pPr>
        <w:adjustRightInd w:val="0"/>
        <w:snapToGrid w:val="0"/>
        <w:spacing w:line="60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法人代表（签字或盖章）：</w:t>
      </w:r>
    </w:p>
    <w:p w14:paraId="34DD5D4E">
      <w:pPr>
        <w:adjustRightInd w:val="0"/>
        <w:snapToGrid w:val="0"/>
        <w:spacing w:line="60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本授权有效期为自开标之日起90天：</w:t>
      </w:r>
    </w:p>
    <w:p w14:paraId="3004199D">
      <w:pPr>
        <w:adjustRightInd w:val="0"/>
        <w:snapToGrid w:val="0"/>
        <w:spacing w:line="600" w:lineRule="exact"/>
        <w:rPr>
          <w:rFonts w:ascii="宋体" w:hAnsi="宋体" w:cs="宋体"/>
          <w:color w:val="auto"/>
          <w:sz w:val="24"/>
          <w:szCs w:val="24"/>
          <w:highlight w:val="none"/>
        </w:rPr>
      </w:pPr>
    </w:p>
    <w:p w14:paraId="7067831F">
      <w:pPr>
        <w:adjustRightInd w:val="0"/>
        <w:snapToGrid w:val="0"/>
        <w:spacing w:line="600" w:lineRule="exact"/>
        <w:ind w:firstLine="63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日至   年   月   日</w:t>
      </w:r>
    </w:p>
    <w:p w14:paraId="7D6AA26F">
      <w:pPr>
        <w:rPr>
          <w:color w:val="auto"/>
          <w:highlight w:val="none"/>
        </w:rPr>
      </w:pPr>
      <w:r>
        <w:rPr>
          <w:rFonts w:hint="eastAsia" w:ascii="宋体" w:hAnsi="宋体" w:cs="宋体"/>
          <w:b/>
          <w:color w:val="auto"/>
          <w:sz w:val="24"/>
          <w:szCs w:val="24"/>
          <w:highlight w:val="none"/>
        </w:rPr>
        <w:br w:type="page"/>
      </w:r>
    </w:p>
    <w:p w14:paraId="409649DD">
      <w:pPr>
        <w:adjustRightInd w:val="0"/>
        <w:snapToGrid w:val="0"/>
        <w:spacing w:line="500" w:lineRule="exact"/>
        <w:jc w:val="center"/>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第六部分  </w:t>
      </w:r>
      <w:r>
        <w:rPr>
          <w:rFonts w:hint="eastAsia" w:ascii="宋体" w:hAnsi="宋体" w:cs="宋体"/>
          <w:b/>
          <w:bCs/>
          <w:color w:val="auto"/>
          <w:sz w:val="24"/>
          <w:szCs w:val="24"/>
          <w:highlight w:val="none"/>
        </w:rPr>
        <w:t>供应商资格证明</w:t>
      </w:r>
    </w:p>
    <w:p w14:paraId="58FCB230">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554133BD">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（2）提供法定代表人授权书（附法定代表人身份证复印件）及被授权代表身份证复印件（法定代表人直接参加只须提供法定代表人身份证复印件）；</w:t>
      </w:r>
    </w:p>
    <w:p w14:paraId="6A020CE5">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（3）税收缴纳证明:自</w:t>
      </w:r>
      <w:r>
        <w:rPr>
          <w:rFonts w:hint="eastAsia" w:ascii="宋体" w:hAnsi="宋体" w:cs="宋体"/>
          <w:color w:val="auto"/>
          <w:sz w:val="24"/>
          <w:highlight w:val="none"/>
          <w:lang w:eastAsia="zh-CN"/>
        </w:rPr>
        <w:t>2025年11月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个月的纳税证明或完税证明(提供增值税、企业所得税至少一种),纳税证明或完税证明上应有代收机构或税务机关的公章或业务专用章。依法免税的供应商应提供相关文件证明；</w:t>
      </w:r>
    </w:p>
    <w:p w14:paraId="4F261C41">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（4）社会保障资金缴纳证明:自</w:t>
      </w:r>
      <w:r>
        <w:rPr>
          <w:rFonts w:hint="eastAsia" w:ascii="宋体" w:hAnsi="宋体" w:cs="宋体"/>
          <w:color w:val="auto"/>
          <w:sz w:val="24"/>
          <w:highlight w:val="none"/>
          <w:lang w:eastAsia="zh-CN"/>
        </w:rPr>
        <w:t>2025年11月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已缴存的至少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个月的社会保障资金缴存单据或社保机构开具的社会保险参保缴费情况证明，单据或证明上应有社保机构或代收机构的印章。依法不需要缴纳社会保障资金的供应商应提供相关文件证明；</w:t>
      </w:r>
    </w:p>
    <w:p w14:paraId="2621C00B">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（5）</w:t>
      </w:r>
      <w:r>
        <w:rPr>
          <w:rFonts w:hint="eastAsia" w:ascii="宋体" w:hAnsi="宋体" w:cs="宋体"/>
          <w:color w:val="auto"/>
          <w:sz w:val="24"/>
          <w:highlight w:val="none"/>
          <w:lang w:eastAsia="zh-CN"/>
        </w:rPr>
        <w:t>财务状况报告:提供2023年至2025年任意一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即可或2025年度任意连续3个月的财务报表(至少应包含资产负债表、利润表和现金流量表)；</w:t>
      </w:r>
    </w:p>
    <w:p w14:paraId="1D03577C">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（6）参加政府采购活动前3年内（</w:t>
      </w:r>
      <w:r>
        <w:rPr>
          <w:rFonts w:hint="eastAsia" w:ascii="宋体" w:hAnsi="宋体" w:cs="宋体"/>
          <w:color w:val="auto"/>
          <w:sz w:val="24"/>
          <w:highlight w:val="none"/>
          <w:lang w:eastAsia="zh-CN"/>
        </w:rPr>
        <w:t>2023年1月至今</w:t>
      </w:r>
      <w:r>
        <w:rPr>
          <w:rFonts w:hint="eastAsia" w:ascii="宋体" w:hAnsi="宋体" w:cs="宋体"/>
          <w:color w:val="auto"/>
          <w:sz w:val="24"/>
          <w:highlight w:val="none"/>
        </w:rPr>
        <w:t>）在经营活动中没有重大违法记录的书面声明（供应商自行出具声明书并加盖公章）；</w:t>
      </w:r>
    </w:p>
    <w:p w14:paraId="22865C09">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b/>
          <w:bCs/>
          <w:color w:val="auto"/>
          <w:kern w:val="0"/>
          <w:sz w:val="24"/>
          <w:szCs w:val="24"/>
          <w:highlight w:val="none"/>
        </w:rPr>
      </w:pPr>
      <w:r>
        <w:rPr>
          <w:rFonts w:hint="eastAsia" w:ascii="宋体" w:hAnsi="宋体" w:cs="宋体"/>
          <w:color w:val="auto"/>
          <w:sz w:val="24"/>
          <w:highlight w:val="none"/>
        </w:rPr>
        <w:t>（7）</w:t>
      </w:r>
      <w:r>
        <w:rPr>
          <w:rFonts w:hint="eastAsia" w:ascii="宋体" w:hAnsi="宋体" w:cs="宋体"/>
          <w:b w:val="0"/>
          <w:bCs w:val="0"/>
          <w:color w:val="auto"/>
          <w:sz w:val="24"/>
          <w:highlight w:val="none"/>
          <w:lang w:eastAsia="zh-CN"/>
        </w:rPr>
        <w:t>本项目</w:t>
      </w:r>
      <w:r>
        <w:rPr>
          <w:rFonts w:hint="eastAsia" w:ascii="宋体" w:hAnsi="宋体" w:cs="宋体"/>
          <w:b w:val="0"/>
          <w:bCs w:val="0"/>
          <w:color w:val="auto"/>
          <w:sz w:val="24"/>
          <w:highlight w:val="none"/>
          <w:lang w:val="en-US" w:eastAsia="zh-CN"/>
        </w:rPr>
        <w:t>专门</w:t>
      </w:r>
      <w:r>
        <w:rPr>
          <w:rFonts w:hint="eastAsia" w:ascii="宋体" w:hAnsi="宋体" w:cs="宋体"/>
          <w:b w:val="0"/>
          <w:bCs w:val="0"/>
          <w:color w:val="auto"/>
          <w:sz w:val="24"/>
          <w:highlight w:val="none"/>
          <w:lang w:eastAsia="zh-CN"/>
        </w:rPr>
        <w:t>面向中小企业</w:t>
      </w:r>
      <w:r>
        <w:rPr>
          <w:rFonts w:hint="eastAsia" w:ascii="宋体" w:hAnsi="宋体" w:cs="宋体"/>
          <w:b w:val="0"/>
          <w:bCs w:val="0"/>
          <w:color w:val="auto"/>
          <w:sz w:val="24"/>
          <w:highlight w:val="none"/>
          <w:lang w:val="en-US" w:eastAsia="zh-CN"/>
        </w:rPr>
        <w:t>采购</w:t>
      </w:r>
      <w:r>
        <w:rPr>
          <w:rFonts w:hint="eastAsia" w:ascii="宋体" w:hAnsi="宋体" w:cs="宋体"/>
          <w:b w:val="0"/>
          <w:bCs w:val="0"/>
          <w:color w:val="auto"/>
          <w:sz w:val="24"/>
          <w:highlight w:val="none"/>
          <w:lang w:eastAsia="zh-CN"/>
        </w:rPr>
        <w:t>，</w:t>
      </w:r>
      <w:r>
        <w:rPr>
          <w:rFonts w:hint="eastAsia" w:ascii="宋体" w:hAnsi="宋体" w:cs="宋体"/>
          <w:color w:val="auto"/>
          <w:sz w:val="24"/>
          <w:szCs w:val="24"/>
          <w:highlight w:val="none"/>
          <w:lang w:eastAsia="zh-CN"/>
        </w:rPr>
        <w:t>所属行</w:t>
      </w:r>
      <w:r>
        <w:rPr>
          <w:rFonts w:hint="eastAsia" w:ascii="宋体" w:hAnsi="宋体" w:cs="宋体"/>
          <w:b w:val="0"/>
          <w:bCs w:val="0"/>
          <w:color w:val="auto"/>
          <w:sz w:val="24"/>
          <w:szCs w:val="24"/>
          <w:highlight w:val="none"/>
          <w:lang w:eastAsia="zh-CN"/>
        </w:rPr>
        <w:t>业名称为</w:t>
      </w:r>
      <w:r>
        <w:rPr>
          <w:rFonts w:hint="eastAsia" w:ascii="宋体" w:hAnsi="宋体" w:cs="宋体"/>
          <w:b w:val="0"/>
          <w:bCs w:val="0"/>
          <w:color w:val="auto"/>
          <w:sz w:val="24"/>
          <w:highlight w:val="none"/>
          <w:lang w:eastAsia="zh-CN"/>
        </w:rPr>
        <w:t>农、林、牧、渔行业</w:t>
      </w:r>
      <w:r>
        <w:rPr>
          <w:rFonts w:hint="eastAsia" w:ascii="宋体" w:hAnsi="宋体" w:cs="宋体"/>
          <w:color w:val="auto"/>
          <w:sz w:val="24"/>
          <w:highlight w:val="none"/>
        </w:rPr>
        <w:t>。</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应为</w:t>
      </w:r>
      <w:r>
        <w:rPr>
          <w:rFonts w:hint="eastAsia" w:ascii="宋体" w:hAnsi="宋体" w:cs="宋体"/>
          <w:color w:val="auto"/>
          <w:spacing w:val="0"/>
          <w:sz w:val="24"/>
          <w:szCs w:val="22"/>
          <w:highlight w:val="none"/>
          <w:lang w:val="en-US" w:eastAsia="zh-CN"/>
        </w:rPr>
        <w:t>中型企业、</w:t>
      </w:r>
      <w:r>
        <w:rPr>
          <w:rFonts w:hint="eastAsia" w:ascii="宋体" w:hAnsi="宋体" w:eastAsia="宋体" w:cs="宋体"/>
          <w:color w:val="auto"/>
          <w:spacing w:val="0"/>
          <w:sz w:val="24"/>
          <w:szCs w:val="22"/>
          <w:highlight w:val="none"/>
        </w:rPr>
        <w:t>小型企业、微型企业或监狱企业或残疾人福利性单位。</w:t>
      </w:r>
      <w:r>
        <w:rPr>
          <w:rFonts w:hint="eastAsia" w:ascii="宋体" w:hAnsi="宋体" w:cs="宋体"/>
          <w:color w:val="auto"/>
          <w:spacing w:val="0"/>
          <w:sz w:val="24"/>
          <w:szCs w:val="22"/>
          <w:highlight w:val="none"/>
          <w:lang w:eastAsia="zh-CN"/>
        </w:rPr>
        <w:t>供应商</w:t>
      </w:r>
      <w:r>
        <w:rPr>
          <w:rFonts w:hint="eastAsia" w:ascii="宋体" w:hAnsi="宋体" w:cs="宋体"/>
          <w:color w:val="auto"/>
          <w:spacing w:val="0"/>
          <w:sz w:val="24"/>
          <w:szCs w:val="22"/>
          <w:highlight w:val="none"/>
          <w:lang w:val="en-US" w:eastAsia="zh-CN"/>
        </w:rPr>
        <w:t>须</w:t>
      </w:r>
      <w:r>
        <w:rPr>
          <w:rFonts w:hint="eastAsia" w:ascii="宋体" w:hAnsi="宋体" w:eastAsia="宋体" w:cs="宋体"/>
          <w:color w:val="auto"/>
          <w:spacing w:val="0"/>
          <w:sz w:val="24"/>
          <w:szCs w:val="22"/>
          <w:highlight w:val="none"/>
        </w:rPr>
        <w:t>提供中小企业声明函（注：若</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为残疾人福利性单位的，提供《残疾人福利性单位声明函》；若</w:t>
      </w:r>
      <w:r>
        <w:rPr>
          <w:rFonts w:hint="eastAsia" w:ascii="宋体" w:hAnsi="宋体" w:cs="宋体"/>
          <w:color w:val="auto"/>
          <w:spacing w:val="0"/>
          <w:sz w:val="24"/>
          <w:szCs w:val="22"/>
          <w:highlight w:val="none"/>
          <w:lang w:eastAsia="zh-CN"/>
        </w:rPr>
        <w:t>供应商</w:t>
      </w:r>
      <w:r>
        <w:rPr>
          <w:rFonts w:hint="eastAsia" w:ascii="宋体" w:hAnsi="宋体" w:eastAsia="宋体" w:cs="宋体"/>
          <w:color w:val="auto"/>
          <w:spacing w:val="0"/>
          <w:sz w:val="24"/>
          <w:szCs w:val="22"/>
          <w:highlight w:val="none"/>
        </w:rPr>
        <w:t>为监狱企业的，提供由省级以上监</w:t>
      </w:r>
      <w:r>
        <w:rPr>
          <w:rFonts w:hint="eastAsia" w:ascii="宋体" w:hAnsi="宋体" w:eastAsia="宋体" w:cs="宋体"/>
          <w:color w:val="auto"/>
          <w:sz w:val="24"/>
          <w:szCs w:val="22"/>
          <w:highlight w:val="none"/>
        </w:rPr>
        <w:t>狱管理局、戒毒管理局（含新疆生产建设兵团）出具的属</w:t>
      </w:r>
      <w:r>
        <w:rPr>
          <w:rFonts w:hint="eastAsia" w:ascii="宋体" w:hAnsi="宋体" w:eastAsia="宋体" w:cs="宋体"/>
          <w:color w:val="auto"/>
          <w:spacing w:val="0"/>
          <w:sz w:val="24"/>
          <w:szCs w:val="22"/>
          <w:highlight w:val="none"/>
        </w:rPr>
        <w:t>于监狱企业的证明文件）</w:t>
      </w:r>
      <w:r>
        <w:rPr>
          <w:rFonts w:hint="eastAsia" w:ascii="宋体" w:hAnsi="宋体" w:cs="宋体"/>
          <w:color w:val="auto"/>
          <w:kern w:val="0"/>
          <w:sz w:val="24"/>
          <w:szCs w:val="24"/>
          <w:highlight w:val="none"/>
        </w:rPr>
        <w:t>。</w:t>
      </w:r>
    </w:p>
    <w:p w14:paraId="4093B213">
      <w:pPr>
        <w:keepNext w:val="0"/>
        <w:keepLines w:val="0"/>
        <w:pageBreakBefore w:val="0"/>
        <w:widowControl w:val="0"/>
        <w:kinsoku/>
        <w:wordWrap/>
        <w:overflowPunct/>
        <w:topLinePunct w:val="0"/>
        <w:autoSpaceDE/>
        <w:autoSpaceDN/>
        <w:bidi w:val="0"/>
        <w:adjustRightInd w:val="0"/>
        <w:snapToGrid w:val="0"/>
        <w:spacing w:line="336" w:lineRule="auto"/>
        <w:ind w:right="-435" w:rightChars="-207"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eastAsia="zh-CN"/>
        </w:rPr>
        <w:t>本项目不接受联合体投标</w:t>
      </w:r>
      <w:r>
        <w:rPr>
          <w:rFonts w:hint="eastAsia" w:ascii="宋体" w:hAnsi="宋体" w:cs="宋体"/>
          <w:color w:val="auto"/>
          <w:sz w:val="24"/>
          <w:highlight w:val="none"/>
        </w:rPr>
        <w:t>。</w:t>
      </w:r>
    </w:p>
    <w:p w14:paraId="125B5EB8">
      <w:pPr>
        <w:spacing w:before="45" w:line="360" w:lineRule="auto"/>
        <w:jc w:val="left"/>
        <w:rPr>
          <w:rFonts w:hint="eastAsia" w:ascii="宋体" w:hAnsi="宋体" w:cs="宋体"/>
          <w:b/>
          <w:bCs/>
          <w:color w:val="auto"/>
          <w:sz w:val="24"/>
          <w:szCs w:val="24"/>
          <w:highlight w:val="none"/>
          <w:lang w:val="zh-CN"/>
        </w:rPr>
      </w:pPr>
    </w:p>
    <w:p w14:paraId="7C3E84F5">
      <w:pPr>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br w:type="page"/>
      </w:r>
    </w:p>
    <w:p w14:paraId="14FF50DB">
      <w:pPr>
        <w:spacing w:before="45" w:line="360" w:lineRule="auto"/>
        <w:jc w:val="left"/>
        <w:rPr>
          <w:rFonts w:ascii="宋体" w:hAnsi="宋体" w:cs="宋体"/>
          <w:color w:val="auto"/>
          <w:sz w:val="36"/>
          <w:highlight w:val="none"/>
        </w:rPr>
      </w:pPr>
      <w:r>
        <w:rPr>
          <w:rFonts w:hint="eastAsia" w:ascii="宋体" w:hAnsi="宋体" w:cs="宋体"/>
          <w:b/>
          <w:bCs/>
          <w:color w:val="auto"/>
          <w:sz w:val="24"/>
          <w:szCs w:val="24"/>
          <w:highlight w:val="none"/>
          <w:lang w:val="zh-CN"/>
        </w:rPr>
        <w:t xml:space="preserve">附件 </w:t>
      </w: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zh-CN" w:bidi="zh-CN"/>
        </w:rPr>
        <w:t>：</w:t>
      </w:r>
      <w:r>
        <w:rPr>
          <w:rFonts w:hint="eastAsia" w:ascii="宋体" w:hAnsi="宋体" w:cs="宋体"/>
          <w:b/>
          <w:bCs/>
          <w:color w:val="auto"/>
          <w:sz w:val="24"/>
          <w:szCs w:val="24"/>
          <w:highlight w:val="none"/>
          <w:lang w:bidi="zh-CN"/>
        </w:rPr>
        <w:t>参加政府采购活动前3年内（2023年1月</w:t>
      </w:r>
      <w:r>
        <w:rPr>
          <w:rFonts w:hint="eastAsia" w:ascii="宋体" w:hAnsi="宋体" w:cs="宋体"/>
          <w:b/>
          <w:bCs/>
          <w:color w:val="auto"/>
          <w:sz w:val="24"/>
          <w:szCs w:val="24"/>
          <w:highlight w:val="none"/>
          <w:lang w:val="en-US" w:bidi="zh-CN"/>
        </w:rPr>
        <w:t>至今</w:t>
      </w:r>
      <w:r>
        <w:rPr>
          <w:rFonts w:hint="eastAsia" w:ascii="宋体" w:hAnsi="宋体" w:cs="宋体"/>
          <w:b/>
          <w:bCs/>
          <w:color w:val="auto"/>
          <w:sz w:val="24"/>
          <w:szCs w:val="24"/>
          <w:highlight w:val="none"/>
          <w:lang w:bidi="zh-CN"/>
        </w:rPr>
        <w:t>）</w:t>
      </w:r>
      <w:r>
        <w:rPr>
          <w:rFonts w:hint="eastAsia" w:ascii="宋体" w:hAnsi="宋体" w:cs="宋体"/>
          <w:b/>
          <w:bCs/>
          <w:color w:val="auto"/>
          <w:sz w:val="24"/>
          <w:szCs w:val="24"/>
          <w:highlight w:val="none"/>
          <w:lang w:val="zh-CN" w:bidi="zh-CN"/>
        </w:rPr>
        <w:t>在经营活动中没有重大违法记录的书面声明（格式）</w:t>
      </w:r>
    </w:p>
    <w:p w14:paraId="7BE9577B">
      <w:pPr>
        <w:spacing w:before="45"/>
        <w:ind w:firstLine="240" w:firstLineChars="100"/>
        <w:jc w:val="center"/>
        <w:rPr>
          <w:rFonts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声</w:t>
      </w:r>
      <w:r>
        <w:rPr>
          <w:rFonts w:hint="eastAsia" w:ascii="宋体" w:hAnsi="宋体" w:cs="宋体"/>
          <w:color w:val="auto"/>
          <w:sz w:val="24"/>
          <w:szCs w:val="24"/>
          <w:highlight w:val="none"/>
          <w:lang w:val="zh-CN" w:bidi="zh-CN"/>
        </w:rPr>
        <w:tab/>
      </w:r>
      <w:r>
        <w:rPr>
          <w:rFonts w:hint="eastAsia" w:ascii="宋体" w:hAnsi="宋体" w:cs="宋体"/>
          <w:color w:val="auto"/>
          <w:sz w:val="24"/>
          <w:szCs w:val="24"/>
          <w:highlight w:val="none"/>
          <w:lang w:val="zh-CN" w:bidi="zh-CN"/>
        </w:rPr>
        <w:t>明</w:t>
      </w:r>
    </w:p>
    <w:p w14:paraId="0B8967E5">
      <w:pPr>
        <w:pStyle w:val="12"/>
        <w:spacing w:before="160" w:after="120"/>
        <w:ind w:left="240"/>
        <w:rPr>
          <w:rFonts w:cs="宋体"/>
          <w:color w:val="auto"/>
          <w:highlight w:val="none"/>
        </w:rPr>
      </w:pPr>
      <w:r>
        <w:rPr>
          <w:rFonts w:hint="eastAsia" w:cs="宋体"/>
          <w:color w:val="auto"/>
          <w:highlight w:val="none"/>
          <w:lang w:eastAsia="zh-CN"/>
        </w:rPr>
        <w:t>陕西中源项目管理有限公司</w:t>
      </w:r>
      <w:r>
        <w:rPr>
          <w:rFonts w:hint="eastAsia" w:cs="宋体"/>
          <w:color w:val="auto"/>
          <w:highlight w:val="none"/>
        </w:rPr>
        <w:t>：</w:t>
      </w:r>
    </w:p>
    <w:p w14:paraId="76582366">
      <w:pPr>
        <w:pStyle w:val="12"/>
        <w:tabs>
          <w:tab w:val="left" w:pos="4816"/>
        </w:tabs>
        <w:snapToGrid w:val="0"/>
        <w:spacing w:after="120"/>
        <w:ind w:firstLine="480" w:firstLineChars="200"/>
        <w:jc w:val="left"/>
        <w:rPr>
          <w:rFonts w:cs="宋体"/>
          <w:color w:val="auto"/>
          <w:highlight w:val="none"/>
        </w:rPr>
      </w:pPr>
      <w:r>
        <w:rPr>
          <w:rFonts w:hint="eastAsia" w:cs="宋体"/>
          <w:color w:val="auto"/>
          <w:highlight w:val="none"/>
        </w:rPr>
        <w:t>我方作为</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项目</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w:t>
      </w:r>
      <w:r>
        <w:rPr>
          <w:rFonts w:hint="eastAsia" w:cs="宋体"/>
          <w:b/>
          <w:bCs/>
          <w:color w:val="auto"/>
          <w:sz w:val="24"/>
          <w:szCs w:val="24"/>
          <w:highlight w:val="none"/>
          <w:lang w:val="en-US" w:eastAsia="zh-CN"/>
        </w:rPr>
        <w:t>标段</w:t>
      </w:r>
      <w:r>
        <w:rPr>
          <w:rFonts w:hint="eastAsia" w:ascii="宋体" w:hAnsi="宋体" w:cs="宋体"/>
          <w:b/>
          <w:bCs/>
          <w:color w:val="auto"/>
          <w:sz w:val="24"/>
          <w:szCs w:val="24"/>
          <w:highlight w:val="none"/>
        </w:rPr>
        <w:t>）</w:t>
      </w:r>
      <w:r>
        <w:rPr>
          <w:rFonts w:hint="eastAsia" w:cs="宋体"/>
          <w:color w:val="auto"/>
          <w:highlight w:val="none"/>
        </w:rPr>
        <w:t>（项目编号：  ）的投标供应商，在此郑重声明：</w:t>
      </w:r>
    </w:p>
    <w:p w14:paraId="43507579">
      <w:pPr>
        <w:pStyle w:val="12"/>
        <w:snapToGrid w:val="0"/>
        <w:spacing w:after="120"/>
        <w:ind w:firstLine="480" w:firstLineChars="200"/>
        <w:jc w:val="left"/>
        <w:rPr>
          <w:rFonts w:cs="宋体"/>
          <w:color w:val="auto"/>
          <w:highlight w:val="none"/>
        </w:rPr>
      </w:pPr>
      <w:r>
        <w:rPr>
          <w:rFonts w:hint="eastAsia" w:cs="宋体"/>
          <w:color w:val="auto"/>
          <w:highlight w:val="none"/>
        </w:rPr>
        <w:t>1、在参加本次政府采购活动前 3 年内的经营活动中</w:t>
      </w:r>
      <w:r>
        <w:rPr>
          <w:rFonts w:hint="eastAsia" w:cs="宋体"/>
          <w:color w:val="auto"/>
          <w:highlight w:val="none"/>
          <w:u w:val="single"/>
        </w:rPr>
        <w:t xml:space="preserve">        （</w:t>
      </w:r>
      <w:r>
        <w:rPr>
          <w:rFonts w:hint="eastAsia" w:cs="宋体"/>
          <w:color w:val="auto"/>
          <w:highlight w:val="none"/>
        </w:rPr>
        <w:t>填“没有”或“有”）</w:t>
      </w:r>
    </w:p>
    <w:p w14:paraId="1D1E04DB">
      <w:pPr>
        <w:pStyle w:val="12"/>
        <w:snapToGrid w:val="0"/>
        <w:spacing w:after="120"/>
        <w:ind w:firstLine="480" w:firstLineChars="200"/>
        <w:jc w:val="left"/>
        <w:rPr>
          <w:rFonts w:cs="宋体"/>
          <w:color w:val="auto"/>
          <w:highlight w:val="none"/>
        </w:rPr>
      </w:pPr>
      <w:r>
        <w:rPr>
          <w:rFonts w:hint="eastAsia" w:cs="宋体"/>
          <w:color w:val="auto"/>
          <w:highlight w:val="none"/>
        </w:rPr>
        <w:t>重大违法记录。供应商在参加政府采购活动前 3 年内因违法经营被禁止在一定期限内参加政府采购活动，期限届满的，可以参加政府采购活动，但应提供期限届满的证明材料。</w:t>
      </w:r>
    </w:p>
    <w:p w14:paraId="2F26EA3A">
      <w:pPr>
        <w:pStyle w:val="12"/>
        <w:tabs>
          <w:tab w:val="left" w:pos="2279"/>
        </w:tabs>
        <w:snapToGrid w:val="0"/>
        <w:spacing w:after="120"/>
        <w:ind w:firstLine="480" w:firstLineChars="200"/>
        <w:jc w:val="left"/>
        <w:rPr>
          <w:rFonts w:cs="宋体"/>
          <w:color w:val="auto"/>
          <w:highlight w:val="none"/>
        </w:rPr>
      </w:pPr>
      <w:r>
        <w:rPr>
          <w:rFonts w:hint="eastAsia" w:cs="宋体"/>
          <w:color w:val="auto"/>
          <w:highlight w:val="none"/>
        </w:rPr>
        <w:t>2、我方</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（填“未被列入”或“被列入”）失信被执行人名单。</w:t>
      </w:r>
    </w:p>
    <w:p w14:paraId="148A311E">
      <w:pPr>
        <w:pStyle w:val="12"/>
        <w:tabs>
          <w:tab w:val="left" w:pos="2284"/>
        </w:tabs>
        <w:snapToGrid w:val="0"/>
        <w:spacing w:after="120"/>
        <w:ind w:firstLine="480" w:firstLineChars="200"/>
        <w:jc w:val="left"/>
        <w:rPr>
          <w:rFonts w:cs="宋体"/>
          <w:color w:val="auto"/>
          <w:highlight w:val="none"/>
        </w:rPr>
      </w:pPr>
      <w:r>
        <w:rPr>
          <w:rFonts w:hint="eastAsia" w:cs="宋体"/>
          <w:color w:val="auto"/>
          <w:highlight w:val="none"/>
        </w:rPr>
        <w:t>3、我方</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（填“未被列入”或“被列入”）重大税收违法案件当事人名单。</w:t>
      </w:r>
    </w:p>
    <w:p w14:paraId="1EA10316">
      <w:pPr>
        <w:pStyle w:val="12"/>
        <w:tabs>
          <w:tab w:val="left" w:pos="2284"/>
        </w:tabs>
        <w:snapToGrid w:val="0"/>
        <w:spacing w:after="120"/>
        <w:ind w:firstLine="480" w:firstLineChars="200"/>
        <w:jc w:val="left"/>
        <w:rPr>
          <w:rFonts w:cs="宋体"/>
          <w:color w:val="auto"/>
          <w:highlight w:val="none"/>
        </w:rPr>
      </w:pPr>
      <w:r>
        <w:rPr>
          <w:rFonts w:hint="eastAsia" w:cs="宋体"/>
          <w:color w:val="auto"/>
          <w:highlight w:val="none"/>
        </w:rPr>
        <w:t>4、我方</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（填“未被列入”或“被列入”）政府采购严重违法失信行为记录名单。</w:t>
      </w:r>
    </w:p>
    <w:p w14:paraId="66DF534C">
      <w:pPr>
        <w:pStyle w:val="12"/>
        <w:snapToGrid w:val="0"/>
        <w:spacing w:after="120"/>
        <w:ind w:firstLine="480" w:firstLineChars="200"/>
        <w:jc w:val="left"/>
        <w:rPr>
          <w:rFonts w:cs="宋体"/>
          <w:color w:val="auto"/>
          <w:highlight w:val="none"/>
        </w:rPr>
      </w:pPr>
      <w:r>
        <w:rPr>
          <w:rFonts w:hint="eastAsia" w:cs="宋体"/>
          <w:color w:val="auto"/>
          <w:highlight w:val="none"/>
        </w:rPr>
        <w:t>如有不实，我方将无条件地退出本项目的采购活动，并遵照《政府采购法》有关“提供虚假材料的规定”接受处罚。</w:t>
      </w:r>
    </w:p>
    <w:p w14:paraId="566F1D62">
      <w:pPr>
        <w:pStyle w:val="12"/>
        <w:snapToGrid w:val="0"/>
        <w:spacing w:after="120"/>
        <w:ind w:firstLine="480" w:firstLineChars="200"/>
        <w:jc w:val="left"/>
        <w:rPr>
          <w:rFonts w:cs="宋体"/>
          <w:color w:val="auto"/>
          <w:sz w:val="19"/>
          <w:highlight w:val="none"/>
        </w:rPr>
      </w:pPr>
      <w:r>
        <w:rPr>
          <w:rFonts w:hint="eastAsia" w:cs="宋体"/>
          <w:color w:val="auto"/>
          <w:highlight w:val="none"/>
        </w:rPr>
        <w:t>特此声明。</w:t>
      </w:r>
    </w:p>
    <w:p w14:paraId="70C74F64">
      <w:pPr>
        <w:pStyle w:val="12"/>
        <w:snapToGrid w:val="0"/>
        <w:spacing w:after="120"/>
        <w:ind w:firstLine="480" w:firstLineChars="200"/>
        <w:jc w:val="left"/>
        <w:rPr>
          <w:rFonts w:cs="宋体"/>
          <w:color w:val="auto"/>
          <w:highlight w:val="none"/>
        </w:rPr>
      </w:pPr>
    </w:p>
    <w:p w14:paraId="736F16D2">
      <w:pPr>
        <w:pStyle w:val="12"/>
        <w:snapToGrid w:val="0"/>
        <w:spacing w:after="120"/>
        <w:ind w:firstLine="480" w:firstLineChars="200"/>
        <w:jc w:val="left"/>
        <w:rPr>
          <w:rFonts w:cs="宋体"/>
          <w:color w:val="auto"/>
          <w:highlight w:val="none"/>
        </w:rPr>
      </w:pPr>
      <w:r>
        <w:rPr>
          <w:rFonts w:hint="eastAsia" w:cs="宋体"/>
          <w:color w:val="auto"/>
          <w:highlight w:val="none"/>
        </w:rPr>
        <w:t>供应商名称（盖章）：</w:t>
      </w:r>
    </w:p>
    <w:p w14:paraId="1B2E6BAA">
      <w:pPr>
        <w:pStyle w:val="12"/>
        <w:snapToGrid w:val="0"/>
        <w:spacing w:after="120"/>
        <w:ind w:firstLine="480" w:firstLineChars="200"/>
        <w:jc w:val="left"/>
        <w:rPr>
          <w:rFonts w:cs="宋体"/>
          <w:color w:val="auto"/>
          <w:highlight w:val="none"/>
        </w:rPr>
      </w:pPr>
    </w:p>
    <w:p w14:paraId="55340EF4">
      <w:pPr>
        <w:pStyle w:val="12"/>
        <w:snapToGrid w:val="0"/>
        <w:spacing w:after="120"/>
        <w:ind w:firstLine="480" w:firstLineChars="200"/>
        <w:jc w:val="left"/>
        <w:rPr>
          <w:rFonts w:cs="宋体"/>
          <w:color w:val="auto"/>
          <w:highlight w:val="none"/>
        </w:rPr>
      </w:pPr>
      <w:r>
        <w:rPr>
          <w:rFonts w:hint="eastAsia" w:cs="宋体"/>
          <w:color w:val="auto"/>
          <w:highlight w:val="none"/>
        </w:rPr>
        <w:t>法定代表人或授权代表（签字或盖章）：</w:t>
      </w:r>
    </w:p>
    <w:p w14:paraId="55489273">
      <w:pPr>
        <w:pStyle w:val="12"/>
        <w:spacing w:after="120"/>
        <w:rPr>
          <w:rFonts w:cs="宋体"/>
          <w:color w:val="auto"/>
          <w:highlight w:val="none"/>
        </w:rPr>
      </w:pPr>
    </w:p>
    <w:p w14:paraId="59505D71">
      <w:pPr>
        <w:pStyle w:val="12"/>
        <w:tabs>
          <w:tab w:val="left" w:pos="5539"/>
          <w:tab w:val="left" w:pos="6499"/>
          <w:tab w:val="left" w:pos="7219"/>
          <w:tab w:val="left" w:pos="7819"/>
        </w:tabs>
        <w:spacing w:after="120"/>
        <w:ind w:firstLine="480" w:firstLineChars="200"/>
        <w:rPr>
          <w:rFonts w:cs="宋体"/>
          <w:color w:val="auto"/>
          <w:highlight w:val="none"/>
        </w:rPr>
      </w:pPr>
      <w:r>
        <w:rPr>
          <w:rFonts w:hint="eastAsia" w:cs="宋体"/>
          <w:color w:val="auto"/>
          <w:highlight w:val="none"/>
        </w:rPr>
        <w:t>日期：年  月   日</w:t>
      </w:r>
    </w:p>
    <w:p w14:paraId="68C3242E">
      <w:pPr>
        <w:pStyle w:val="35"/>
        <w:rPr>
          <w:color w:val="auto"/>
          <w:highlight w:val="none"/>
        </w:rPr>
      </w:pPr>
    </w:p>
    <w:p w14:paraId="095C6078">
      <w:pPr>
        <w:rPr>
          <w:rFonts w:ascii="宋体" w:hAnsi="宋体" w:cs="宋体"/>
          <w:color w:val="auto"/>
          <w:highlight w:val="none"/>
        </w:rPr>
      </w:pPr>
    </w:p>
    <w:p w14:paraId="7ED3C976">
      <w:pPr>
        <w:spacing w:before="75" w:line="360" w:lineRule="auto"/>
        <w:rPr>
          <w:rFonts w:ascii="宋体" w:hAnsi="宋体" w:cs="宋体"/>
          <w:color w:val="auto"/>
          <w:spacing w:val="16"/>
          <w:sz w:val="24"/>
          <w:szCs w:val="24"/>
          <w:highlight w:val="none"/>
        </w:rPr>
      </w:pPr>
    </w:p>
    <w:p w14:paraId="2533AE0C">
      <w:pPr>
        <w:pStyle w:val="3"/>
        <w:spacing w:before="0" w:after="0" w:line="415"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附件2：</w:t>
      </w:r>
      <w:bookmarkStart w:id="12" w:name="_Toc65073734"/>
      <w:bookmarkStart w:id="13" w:name="_Toc25937965"/>
    </w:p>
    <w:p w14:paraId="0DF5B977">
      <w:pPr>
        <w:spacing w:before="45"/>
        <w:ind w:firstLine="241" w:firstLineChars="100"/>
        <w:jc w:val="center"/>
        <w:rPr>
          <w:rFonts w:ascii="宋体" w:hAnsi="宋体" w:cs="宋体"/>
          <w:b/>
          <w:bCs/>
          <w:color w:val="auto"/>
          <w:sz w:val="24"/>
          <w:szCs w:val="24"/>
          <w:highlight w:val="none"/>
          <w:lang w:val="zh-CN" w:bidi="zh-CN"/>
        </w:rPr>
      </w:pPr>
      <w:r>
        <w:rPr>
          <w:rFonts w:hint="eastAsia" w:ascii="宋体" w:hAnsi="宋体" w:cs="宋体"/>
          <w:b/>
          <w:bCs/>
          <w:color w:val="auto"/>
          <w:sz w:val="24"/>
          <w:szCs w:val="24"/>
          <w:highlight w:val="none"/>
          <w:lang w:val="zh-CN" w:bidi="zh-CN"/>
        </w:rPr>
        <w:t>非联合体投标声明函（格式）</w:t>
      </w:r>
    </w:p>
    <w:p w14:paraId="061063DA">
      <w:pPr>
        <w:tabs>
          <w:tab w:val="left" w:pos="1100"/>
        </w:tabs>
        <w:overflowPunct w:val="0"/>
        <w:adjustRightInd w:val="0"/>
        <w:snapToGrid w:val="0"/>
        <w:spacing w:line="360" w:lineRule="auto"/>
        <w:rPr>
          <w:rFonts w:ascii="宋体" w:hAnsi="宋体" w:cs="宋体"/>
          <w:color w:val="auto"/>
          <w:sz w:val="24"/>
          <w:szCs w:val="24"/>
          <w:highlight w:val="none"/>
          <w:u w:val="single"/>
        </w:rPr>
      </w:pPr>
    </w:p>
    <w:p w14:paraId="39D9B8A1">
      <w:pPr>
        <w:tabs>
          <w:tab w:val="left" w:pos="1100"/>
        </w:tabs>
        <w:overflowPunct w:val="0"/>
        <w:adjustRightInd w:val="0"/>
        <w:snapToGrid w:val="0"/>
        <w:spacing w:line="360" w:lineRule="auto"/>
        <w:rPr>
          <w:rFonts w:ascii="宋体" w:hAnsi="宋体" w:cs="宋体"/>
          <w:color w:val="auto"/>
          <w:sz w:val="24"/>
          <w:szCs w:val="24"/>
          <w:highlight w:val="none"/>
          <w:u w:val="single"/>
        </w:rPr>
      </w:pPr>
    </w:p>
    <w:p w14:paraId="1BD6EF04">
      <w:pPr>
        <w:tabs>
          <w:tab w:val="left" w:pos="1100"/>
        </w:tabs>
        <w:overflowPunct w:val="0"/>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致：  （招标代理机构）  </w:t>
      </w:r>
    </w:p>
    <w:p w14:paraId="19DAAA2E">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1DFD5F61">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r>
        <w:rPr>
          <w:rFonts w:hint="eastAsia" w:cs="宋体"/>
          <w:color w:val="auto"/>
          <w:highlight w:val="none"/>
        </w:rPr>
        <w:t>我</w:t>
      </w:r>
      <w:r>
        <w:rPr>
          <w:rFonts w:hint="eastAsia" w:cs="宋体"/>
          <w:color w:val="auto"/>
          <w:spacing w:val="4"/>
          <w:highlight w:val="none"/>
        </w:rPr>
        <w:t>单</w:t>
      </w:r>
      <w:r>
        <w:rPr>
          <w:rFonts w:hint="eastAsia" w:cs="宋体"/>
          <w:color w:val="auto"/>
          <w:highlight w:val="none"/>
        </w:rPr>
        <w:t>位名称系</w:t>
      </w:r>
      <w:r>
        <w:rPr>
          <w:rFonts w:hint="eastAsia" w:cs="宋体"/>
          <w:color w:val="auto"/>
          <w:highlight w:val="none"/>
          <w:u w:val="single"/>
        </w:rPr>
        <w:t xml:space="preserve">                          </w:t>
      </w:r>
      <w:r>
        <w:rPr>
          <w:rFonts w:hint="eastAsia" w:cs="宋体"/>
          <w:color w:val="auto"/>
          <w:highlight w:val="none"/>
        </w:rPr>
        <w:t>，参</w:t>
      </w:r>
      <w:r>
        <w:rPr>
          <w:rFonts w:hint="eastAsia" w:cs="宋体"/>
          <w:color w:val="auto"/>
          <w:spacing w:val="4"/>
          <w:highlight w:val="none"/>
        </w:rPr>
        <w:t>加</w:t>
      </w:r>
      <w:r>
        <w:rPr>
          <w:rFonts w:hint="eastAsia" w:cs="宋体"/>
          <w:color w:val="auto"/>
          <w:highlight w:val="none"/>
        </w:rPr>
        <w:t>本</w:t>
      </w:r>
      <w:r>
        <w:rPr>
          <w:rFonts w:hint="eastAsia" w:cs="宋体"/>
          <w:color w:val="auto"/>
          <w:spacing w:val="4"/>
          <w:highlight w:val="none"/>
        </w:rPr>
        <w:t>次</w:t>
      </w:r>
      <w:r>
        <w:rPr>
          <w:rFonts w:hint="eastAsia" w:cs="宋体"/>
          <w:color w:val="auto"/>
          <w:highlight w:val="none"/>
          <w:u w:val="single"/>
        </w:rPr>
        <w:t xml:space="preserve">                       </w:t>
      </w:r>
      <w:r>
        <w:rPr>
          <w:rFonts w:hint="eastAsia" w:cs="宋体"/>
          <w:color w:val="auto"/>
          <w:highlight w:val="none"/>
        </w:rPr>
        <w:t>项目</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w:t>
      </w:r>
      <w:r>
        <w:rPr>
          <w:rFonts w:hint="eastAsia" w:cs="宋体"/>
          <w:b/>
          <w:bCs/>
          <w:color w:val="auto"/>
          <w:sz w:val="24"/>
          <w:szCs w:val="24"/>
          <w:highlight w:val="none"/>
          <w:lang w:val="en-US" w:eastAsia="zh-CN"/>
        </w:rPr>
        <w:t>标段</w:t>
      </w:r>
      <w:r>
        <w:rPr>
          <w:rFonts w:hint="eastAsia" w:ascii="宋体" w:hAnsi="宋体" w:cs="宋体"/>
          <w:b/>
          <w:bCs/>
          <w:color w:val="auto"/>
          <w:sz w:val="24"/>
          <w:szCs w:val="24"/>
          <w:highlight w:val="none"/>
        </w:rPr>
        <w:t>）</w:t>
      </w:r>
      <w:r>
        <w:rPr>
          <w:rFonts w:hint="eastAsia" w:cs="宋体"/>
          <w:color w:val="auto"/>
          <w:highlight w:val="none"/>
        </w:rPr>
        <w:t>采购活动，非联合体投标。</w:t>
      </w:r>
    </w:p>
    <w:p w14:paraId="39B91D99">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12904974">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051C707C">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r>
        <w:rPr>
          <w:rFonts w:hint="eastAsia" w:cs="宋体"/>
          <w:color w:val="auto"/>
          <w:highlight w:val="none"/>
        </w:rPr>
        <w:t>特此声明！</w:t>
      </w:r>
    </w:p>
    <w:p w14:paraId="1C8303F0">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33233CB8">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1AC991E9">
      <w:pPr>
        <w:pStyle w:val="12"/>
        <w:tabs>
          <w:tab w:val="left" w:pos="8085"/>
        </w:tabs>
        <w:overflowPunct w:val="0"/>
        <w:adjustRightInd w:val="0"/>
        <w:snapToGrid w:val="0"/>
        <w:spacing w:after="120" w:line="480" w:lineRule="auto"/>
        <w:ind w:firstLine="2880" w:firstLineChars="1200"/>
        <w:rPr>
          <w:rFonts w:cs="宋体"/>
          <w:color w:val="auto"/>
          <w:highlight w:val="none"/>
        </w:rPr>
      </w:pPr>
      <w:r>
        <w:rPr>
          <w:rFonts w:hint="eastAsia" w:cs="宋体"/>
          <w:color w:val="auto"/>
          <w:highlight w:val="none"/>
        </w:rPr>
        <w:t>供应商名称（盖章）：</w:t>
      </w:r>
      <w:r>
        <w:rPr>
          <w:rFonts w:hint="eastAsia" w:cs="宋体"/>
          <w:color w:val="auto"/>
          <w:highlight w:val="none"/>
          <w:u w:val="single"/>
        </w:rPr>
        <w:t xml:space="preserve">                                   </w:t>
      </w:r>
    </w:p>
    <w:p w14:paraId="1390EE55">
      <w:pPr>
        <w:pStyle w:val="12"/>
        <w:tabs>
          <w:tab w:val="left" w:pos="7123"/>
        </w:tabs>
        <w:overflowPunct w:val="0"/>
        <w:adjustRightInd w:val="0"/>
        <w:snapToGrid w:val="0"/>
        <w:spacing w:after="120" w:line="480" w:lineRule="auto"/>
        <w:ind w:firstLine="2880" w:firstLineChars="1200"/>
        <w:rPr>
          <w:rFonts w:cs="宋体"/>
          <w:color w:val="auto"/>
          <w:highlight w:val="none"/>
        </w:rPr>
      </w:pPr>
      <w:r>
        <w:rPr>
          <w:rFonts w:hint="eastAsia" w:cs="宋体"/>
          <w:color w:val="auto"/>
          <w:highlight w:val="none"/>
        </w:rPr>
        <w:t>法定代表人/被授权人（签字）：</w:t>
      </w:r>
      <w:r>
        <w:rPr>
          <w:rFonts w:hint="eastAsia" w:cs="宋体"/>
          <w:color w:val="auto"/>
          <w:highlight w:val="none"/>
          <w:u w:val="single"/>
        </w:rPr>
        <w:t xml:space="preserve">                          </w:t>
      </w:r>
    </w:p>
    <w:p w14:paraId="7F730234">
      <w:pPr>
        <w:pStyle w:val="12"/>
        <w:tabs>
          <w:tab w:val="left" w:pos="2503"/>
          <w:tab w:val="left" w:pos="3463"/>
          <w:tab w:val="left" w:pos="4423"/>
        </w:tabs>
        <w:overflowPunct w:val="0"/>
        <w:adjustRightInd w:val="0"/>
        <w:snapToGrid w:val="0"/>
        <w:spacing w:after="120" w:line="480" w:lineRule="auto"/>
        <w:ind w:firstLine="2880" w:firstLineChars="1200"/>
        <w:rPr>
          <w:rFonts w:cs="宋体"/>
          <w:color w:val="auto"/>
          <w:highlight w:val="none"/>
        </w:rPr>
      </w:pPr>
      <w:r>
        <w:rPr>
          <w:rFonts w:hint="eastAsia" w:cs="宋体"/>
          <w:color w:val="auto"/>
          <w:highlight w:val="none"/>
        </w:rPr>
        <w:t>日期：</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14:paraId="7FAEC4EC">
      <w:pPr>
        <w:rPr>
          <w:rFonts w:ascii="宋体" w:hAnsi="宋体" w:cs="宋体"/>
          <w:color w:val="auto"/>
          <w:highlight w:val="none"/>
        </w:rPr>
        <w:sectPr>
          <w:pgSz w:w="11910" w:h="16840"/>
          <w:pgMar w:top="1440" w:right="1293" w:bottom="1440" w:left="1293" w:header="878" w:footer="827" w:gutter="0"/>
          <w:cols w:space="720" w:num="1"/>
        </w:sectPr>
      </w:pPr>
    </w:p>
    <w:p w14:paraId="4EDE6AF5">
      <w:pPr>
        <w:pStyle w:val="3"/>
        <w:spacing w:before="0" w:after="0" w:line="415"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附件3：               《</w:t>
      </w:r>
      <w:r>
        <w:rPr>
          <w:rFonts w:hint="eastAsia" w:ascii="宋体" w:hAnsi="宋体" w:eastAsia="宋体" w:cs="宋体"/>
          <w:color w:val="auto"/>
          <w:sz w:val="24"/>
          <w:szCs w:val="24"/>
          <w:highlight w:val="none"/>
          <w:lang w:eastAsia="zh-CN"/>
        </w:rPr>
        <w:t>中小企业声明函</w:t>
      </w:r>
      <w:r>
        <w:rPr>
          <w:rFonts w:hint="eastAsia" w:ascii="宋体" w:hAnsi="宋体" w:eastAsia="宋体" w:cs="宋体"/>
          <w:color w:val="auto"/>
          <w:sz w:val="24"/>
          <w:szCs w:val="24"/>
          <w:highlight w:val="none"/>
        </w:rPr>
        <w:t>》</w:t>
      </w:r>
      <w:bookmarkStart w:id="14" w:name="OLE_LINK19"/>
      <w:r>
        <w:rPr>
          <w:rFonts w:hint="eastAsia" w:ascii="宋体" w:hAnsi="宋体" w:eastAsia="宋体" w:cs="宋体"/>
          <w:color w:val="auto"/>
          <w:sz w:val="24"/>
          <w:szCs w:val="24"/>
          <w:highlight w:val="none"/>
        </w:rPr>
        <w:t>（格式）</w:t>
      </w:r>
      <w:bookmarkEnd w:id="14"/>
    </w:p>
    <w:p w14:paraId="1CDB021A">
      <w:pPr>
        <w:widowControl/>
        <w:spacing w:line="48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（注：各供应商按照自身情况，如实填写。）</w:t>
      </w:r>
    </w:p>
    <w:p w14:paraId="0304DC78">
      <w:pPr>
        <w:spacing w:before="75" w:line="370" w:lineRule="auto"/>
        <w:ind w:right="20" w:firstLine="480" w:firstLineChars="200"/>
        <w:rPr>
          <w:rFonts w:hint="eastAsia" w:ascii="宋体" w:hAnsi="宋体" w:eastAsia="宋体" w:cs="宋体"/>
          <w:color w:val="auto"/>
          <w:spacing w:val="9"/>
          <w:sz w:val="24"/>
          <w:szCs w:val="24"/>
          <w:highlight w:val="none"/>
        </w:rPr>
      </w:pPr>
      <w:r>
        <w:rPr>
          <w:rFonts w:hint="eastAsia" w:ascii="宋体" w:hAnsi="宋体" w:eastAsia="宋体" w:cs="宋体"/>
          <w:b w:val="0"/>
          <w:bCs w:val="0"/>
          <w:color w:val="auto"/>
          <w:sz w:val="24"/>
          <w:szCs w:val="24"/>
          <w:highlight w:val="none"/>
        </w:rPr>
        <w:t>本公司 (联合体)郑重声明，根据《政府采购促进中小企业发展管理办法》 (财库 ﹝2020 ﹞ 46 号)的规定，本公司 (联合体) 参加</w:t>
      </w:r>
      <w:r>
        <w:rPr>
          <w:rFonts w:hint="eastAsia" w:ascii="宋体" w:hAnsi="宋体" w:eastAsia="宋体" w:cs="宋体"/>
          <w:b w:val="0"/>
          <w:bCs w:val="0"/>
          <w:color w:val="auto"/>
          <w:sz w:val="24"/>
          <w:szCs w:val="24"/>
          <w:highlight w:val="none"/>
          <w:u w:val="single"/>
        </w:rPr>
        <w:t xml:space="preserve"> (单位名称)</w:t>
      </w:r>
      <w:r>
        <w:rPr>
          <w:rFonts w:hint="eastAsia" w:ascii="宋体" w:hAnsi="宋体" w:eastAsia="宋体" w:cs="宋体"/>
          <w:b w:val="0"/>
          <w:bCs w:val="0"/>
          <w:color w:val="auto"/>
          <w:sz w:val="24"/>
          <w:szCs w:val="24"/>
          <w:highlight w:val="none"/>
        </w:rPr>
        <w:t xml:space="preserve"> 的 </w:t>
      </w:r>
      <w:r>
        <w:rPr>
          <w:rFonts w:hint="eastAsia" w:ascii="宋体" w:hAnsi="宋体" w:eastAsia="宋体" w:cs="宋体"/>
          <w:b w:val="0"/>
          <w:bCs w:val="0"/>
          <w:color w:val="auto"/>
          <w:sz w:val="24"/>
          <w:szCs w:val="24"/>
          <w:highlight w:val="none"/>
          <w:u w:val="single"/>
        </w:rPr>
        <w:t>(项目名称)</w:t>
      </w:r>
      <w:r>
        <w:rPr>
          <w:rFonts w:hint="eastAsia" w:ascii="宋体" w:hAnsi="宋体" w:eastAsia="宋体" w:cs="宋体"/>
          <w:b w:val="0"/>
          <w:bCs w:val="0"/>
          <w:color w:val="auto"/>
          <w:sz w:val="24"/>
          <w:szCs w:val="24"/>
          <w:highlight w:val="none"/>
        </w:rPr>
        <w:t>采购活动 ，提供的货物全部由符合政策要求的中小企业制造。相关企业(含联合体中的中小企业 、签订分包意向协议的中小企业) 的具体情况如</w:t>
      </w:r>
      <w:r>
        <w:rPr>
          <w:rFonts w:hint="eastAsia" w:ascii="宋体" w:hAnsi="宋体" w:eastAsia="宋体" w:cs="宋体"/>
          <w:color w:val="auto"/>
          <w:spacing w:val="12"/>
          <w:sz w:val="24"/>
          <w:szCs w:val="24"/>
          <w:highlight w:val="none"/>
        </w:rPr>
        <w:t>下：</w:t>
      </w:r>
    </w:p>
    <w:p w14:paraId="231BE00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1.</w:t>
      </w:r>
      <w:r>
        <w:rPr>
          <w:rFonts w:hint="eastAsia" w:ascii="宋体" w:hAnsi="宋体" w:eastAsia="宋体" w:cs="宋体"/>
          <w:color w:val="auto"/>
          <w:spacing w:val="9"/>
          <w:sz w:val="24"/>
          <w:szCs w:val="24"/>
          <w:highlight w:val="none"/>
          <w:u w:val="single"/>
        </w:rPr>
        <w:t xml:space="preserve"> (标的名称) </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9"/>
          <w:sz w:val="24"/>
          <w:szCs w:val="24"/>
          <w:highlight w:val="none"/>
        </w:rPr>
        <w:t>属于</w:t>
      </w:r>
      <w:r>
        <w:rPr>
          <w:rFonts w:hint="eastAsia" w:ascii="宋体" w:hAnsi="宋体" w:eastAsia="宋体" w:cs="宋体"/>
          <w:color w:val="auto"/>
          <w:spacing w:val="9"/>
          <w:sz w:val="24"/>
          <w:szCs w:val="24"/>
          <w:highlight w:val="none"/>
          <w:u w:val="single"/>
        </w:rPr>
        <w:t>(采购文件中明确的所属行业)</w:t>
      </w:r>
      <w:r>
        <w:rPr>
          <w:rFonts w:hint="eastAsia" w:ascii="宋体" w:hAnsi="宋体" w:eastAsia="宋体" w:cs="宋体"/>
          <w:color w:val="auto"/>
          <w:spacing w:val="9"/>
          <w:sz w:val="24"/>
          <w:szCs w:val="24"/>
          <w:highlight w:val="none"/>
        </w:rPr>
        <w:t>行业</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9"/>
          <w:sz w:val="24"/>
          <w:szCs w:val="24"/>
          <w:highlight w:val="none"/>
        </w:rPr>
        <w:t>制造商为</w:t>
      </w:r>
      <w:r>
        <w:rPr>
          <w:rFonts w:hint="eastAsia" w:ascii="宋体" w:hAnsi="宋体" w:eastAsia="宋体" w:cs="宋体"/>
          <w:color w:val="auto"/>
          <w:spacing w:val="9"/>
          <w:sz w:val="24"/>
          <w:szCs w:val="24"/>
          <w:highlight w:val="none"/>
          <w:u w:val="single"/>
        </w:rPr>
        <w:t xml:space="preserve"> (企业名称) </w:t>
      </w:r>
      <w:r>
        <w:rPr>
          <w:rFonts w:hint="eastAsia" w:ascii="宋体" w:hAnsi="宋体" w:eastAsia="宋体" w:cs="宋体"/>
          <w:color w:val="auto"/>
          <w:spacing w:val="9"/>
          <w:sz w:val="24"/>
          <w:szCs w:val="24"/>
          <w:highlight w:val="none"/>
        </w:rPr>
        <w:t>, 从业人员</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人，营业收入为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w:t>
      </w:r>
      <w:r>
        <w:rPr>
          <w:rFonts w:hint="eastAsia" w:ascii="宋体" w:hAnsi="宋体" w:eastAsia="宋体" w:cs="宋体"/>
          <w:color w:val="auto"/>
          <w:spacing w:val="9"/>
          <w:sz w:val="24"/>
          <w:szCs w:val="24"/>
          <w:highlight w:val="none"/>
          <w:vertAlign w:val="superscript"/>
          <w:lang w:val="en-US" w:eastAsia="zh-CN"/>
        </w:rPr>
        <w:t>1</w:t>
      </w:r>
      <w:r>
        <w:rPr>
          <w:rFonts w:hint="eastAsia" w:ascii="宋体" w:hAnsi="宋体" w:eastAsia="宋体" w:cs="宋体"/>
          <w:color w:val="auto"/>
          <w:spacing w:val="9"/>
          <w:sz w:val="24"/>
          <w:szCs w:val="24"/>
          <w:highlight w:val="none"/>
        </w:rPr>
        <w:t>，资产总额为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万元，属于 (</w:t>
      </w:r>
      <w:r>
        <w:rPr>
          <w:rFonts w:hint="eastAsia" w:ascii="宋体" w:hAnsi="宋体" w:eastAsia="宋体" w:cs="宋体"/>
          <w:color w:val="auto"/>
          <w:spacing w:val="9"/>
          <w:sz w:val="24"/>
          <w:szCs w:val="24"/>
          <w:highlight w:val="none"/>
          <w:lang w:val="en-US" w:eastAsia="zh-CN"/>
        </w:rPr>
        <w:t>中型企业、</w:t>
      </w:r>
      <w:r>
        <w:rPr>
          <w:rFonts w:hint="eastAsia" w:ascii="宋体" w:hAnsi="宋体" w:eastAsia="宋体" w:cs="宋体"/>
          <w:color w:val="auto"/>
          <w:spacing w:val="9"/>
          <w:sz w:val="24"/>
          <w:szCs w:val="24"/>
          <w:highlight w:val="none"/>
        </w:rPr>
        <w:t>小型企业、微型企业) ；</w:t>
      </w:r>
    </w:p>
    <w:p w14:paraId="1AFBAF5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2.</w:t>
      </w:r>
      <w:r>
        <w:rPr>
          <w:rFonts w:hint="eastAsia" w:ascii="宋体" w:hAnsi="宋体" w:eastAsia="宋体" w:cs="宋体"/>
          <w:color w:val="auto"/>
          <w:spacing w:val="9"/>
          <w:sz w:val="24"/>
          <w:szCs w:val="24"/>
          <w:highlight w:val="none"/>
          <w:u w:val="single"/>
        </w:rPr>
        <w:t xml:space="preserve"> (标的名称) </w:t>
      </w:r>
      <w:r>
        <w:rPr>
          <w:rFonts w:hint="eastAsia" w:ascii="宋体" w:hAnsi="宋体" w:eastAsia="宋体" w:cs="宋体"/>
          <w:color w:val="auto"/>
          <w:spacing w:val="9"/>
          <w:sz w:val="24"/>
          <w:szCs w:val="24"/>
          <w:highlight w:val="none"/>
        </w:rPr>
        <w:t>,属于</w:t>
      </w:r>
      <w:r>
        <w:rPr>
          <w:rFonts w:hint="eastAsia" w:ascii="宋体" w:hAnsi="宋体" w:eastAsia="宋体" w:cs="宋体"/>
          <w:color w:val="auto"/>
          <w:spacing w:val="9"/>
          <w:sz w:val="24"/>
          <w:szCs w:val="24"/>
          <w:highlight w:val="none"/>
          <w:u w:val="single"/>
        </w:rPr>
        <w:t>(采购文件中明确的所属行业)</w:t>
      </w:r>
      <w:r>
        <w:rPr>
          <w:rFonts w:hint="eastAsia" w:ascii="宋体" w:hAnsi="宋体" w:eastAsia="宋体" w:cs="宋体"/>
          <w:color w:val="auto"/>
          <w:spacing w:val="9"/>
          <w:sz w:val="24"/>
          <w:szCs w:val="24"/>
          <w:highlight w:val="none"/>
        </w:rPr>
        <w:t>行业；制造商为</w:t>
      </w:r>
      <w:r>
        <w:rPr>
          <w:rFonts w:hint="eastAsia" w:ascii="宋体" w:hAnsi="宋体" w:eastAsia="宋体" w:cs="宋体"/>
          <w:color w:val="auto"/>
          <w:spacing w:val="9"/>
          <w:sz w:val="24"/>
          <w:szCs w:val="24"/>
          <w:highlight w:val="none"/>
          <w:u w:val="single"/>
        </w:rPr>
        <w:t xml:space="preserve"> (企业名称) </w:t>
      </w:r>
      <w:r>
        <w:rPr>
          <w:rFonts w:hint="eastAsia" w:ascii="宋体" w:hAnsi="宋体" w:eastAsia="宋体" w:cs="宋体"/>
          <w:color w:val="auto"/>
          <w:spacing w:val="9"/>
          <w:sz w:val="24"/>
          <w:szCs w:val="24"/>
          <w:highlight w:val="none"/>
        </w:rPr>
        <w:t>, 从业人员</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人，营业收入为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万元，资产总额为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万元，属于 (</w:t>
      </w:r>
      <w:r>
        <w:rPr>
          <w:rFonts w:hint="eastAsia" w:ascii="宋体" w:hAnsi="宋体" w:eastAsia="宋体" w:cs="宋体"/>
          <w:color w:val="auto"/>
          <w:spacing w:val="9"/>
          <w:sz w:val="24"/>
          <w:szCs w:val="24"/>
          <w:highlight w:val="none"/>
          <w:lang w:val="en-US" w:eastAsia="zh-CN"/>
        </w:rPr>
        <w:t>中型企业、</w:t>
      </w:r>
      <w:r>
        <w:rPr>
          <w:rFonts w:hint="eastAsia" w:ascii="宋体" w:hAnsi="宋体" w:eastAsia="宋体" w:cs="宋体"/>
          <w:color w:val="auto"/>
          <w:spacing w:val="9"/>
          <w:sz w:val="24"/>
          <w:szCs w:val="24"/>
          <w:highlight w:val="none"/>
        </w:rPr>
        <w:t>小型企业、微型企业) ；</w:t>
      </w:r>
    </w:p>
    <w:p w14:paraId="0715591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以上企业，不属于大企业的分支机构，不存在控股股东为大企业的情形，也不存在与大企业的负责人为同一人的情形。</w:t>
      </w:r>
    </w:p>
    <w:p w14:paraId="427CD196">
      <w:pPr>
        <w:spacing w:before="205" w:line="219" w:lineRule="auto"/>
        <w:ind w:firstLine="51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本企业对上述声明内容的真实性负责。如有虚假，将依法承担相</w:t>
      </w:r>
      <w:r>
        <w:rPr>
          <w:rFonts w:hint="eastAsia" w:ascii="宋体" w:hAnsi="宋体" w:eastAsia="宋体" w:cs="宋体"/>
          <w:color w:val="auto"/>
          <w:spacing w:val="8"/>
          <w:sz w:val="24"/>
          <w:szCs w:val="24"/>
          <w:highlight w:val="none"/>
        </w:rPr>
        <w:t>应责任。</w:t>
      </w:r>
    </w:p>
    <w:p w14:paraId="144D8AE4">
      <w:pPr>
        <w:pStyle w:val="12"/>
        <w:spacing w:line="284" w:lineRule="auto"/>
        <w:rPr>
          <w:rFonts w:hint="eastAsia" w:ascii="宋体" w:hAnsi="宋体" w:eastAsia="宋体" w:cs="宋体"/>
          <w:color w:val="auto"/>
          <w:sz w:val="24"/>
          <w:szCs w:val="24"/>
          <w:highlight w:val="none"/>
        </w:rPr>
      </w:pPr>
    </w:p>
    <w:p w14:paraId="11E3B3A5">
      <w:pPr>
        <w:pStyle w:val="12"/>
        <w:spacing w:line="284" w:lineRule="auto"/>
        <w:rPr>
          <w:rFonts w:hint="eastAsia" w:ascii="宋体" w:hAnsi="宋体" w:eastAsia="宋体" w:cs="宋体"/>
          <w:color w:val="auto"/>
          <w:highlight w:val="none"/>
        </w:rPr>
      </w:pPr>
    </w:p>
    <w:p w14:paraId="3E311710">
      <w:pPr>
        <w:spacing w:before="76" w:line="508" w:lineRule="auto"/>
        <w:ind w:left="417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企业名称：</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rPr>
        <w:t xml:space="preserve"> (加盖单位公章)</w:t>
      </w:r>
    </w:p>
    <w:p w14:paraId="1CF0E60B">
      <w:pPr>
        <w:spacing w:before="1" w:line="223" w:lineRule="auto"/>
        <w:ind w:left="4130"/>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rPr>
        <w:t>日期</w:t>
      </w:r>
      <w:r>
        <w:rPr>
          <w:rFonts w:hint="eastAsia" w:ascii="宋体" w:hAnsi="宋体" w:eastAsia="宋体" w:cs="宋体"/>
          <w:color w:val="auto"/>
          <w:spacing w:val="-36"/>
          <w:sz w:val="24"/>
          <w:szCs w:val="24"/>
          <w:highlight w:val="none"/>
        </w:rPr>
        <w:t>：</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z w:val="24"/>
          <w:szCs w:val="24"/>
          <w:highlight w:val="none"/>
          <w:u w:val="single" w:color="auto"/>
        </w:rPr>
        <w:t xml:space="preserve">                                   </w:t>
      </w:r>
    </w:p>
    <w:p w14:paraId="4E6F0CEA">
      <w:pPr>
        <w:spacing w:before="69"/>
        <w:ind w:firstLine="410" w:firstLineChars="200"/>
        <w:jc w:val="left"/>
        <w:rPr>
          <w:rFonts w:hint="eastAsia" w:ascii="宋体" w:hAnsi="宋体" w:eastAsia="宋体" w:cs="宋体"/>
          <w:b/>
          <w:color w:val="auto"/>
          <w:spacing w:val="-3"/>
          <w:szCs w:val="21"/>
          <w:highlight w:val="none"/>
        </w:rPr>
      </w:pPr>
    </w:p>
    <w:p w14:paraId="5893EE95">
      <w:pPr>
        <w:spacing w:before="0" w:line="360" w:lineRule="auto"/>
        <w:ind w:firstLine="410" w:firstLineChars="200"/>
        <w:jc w:val="left"/>
        <w:rPr>
          <w:rFonts w:hint="eastAsia" w:ascii="宋体" w:hAnsi="宋体" w:cs="宋体"/>
          <w:b/>
          <w:color w:val="auto"/>
          <w:spacing w:val="-3"/>
          <w:szCs w:val="21"/>
          <w:highlight w:val="none"/>
        </w:rPr>
      </w:pPr>
    </w:p>
    <w:p w14:paraId="0C7741FF">
      <w:pPr>
        <w:spacing w:before="0" w:line="360" w:lineRule="auto"/>
        <w:ind w:firstLine="410" w:firstLineChars="200"/>
        <w:jc w:val="left"/>
        <w:rPr>
          <w:rFonts w:hint="eastAsia" w:ascii="宋体" w:hAnsi="宋体" w:cs="宋体"/>
          <w:b/>
          <w:color w:val="auto"/>
          <w:spacing w:val="-3"/>
          <w:szCs w:val="21"/>
          <w:highlight w:val="none"/>
        </w:rPr>
      </w:pPr>
    </w:p>
    <w:p w14:paraId="69BCD073">
      <w:pPr>
        <w:spacing w:before="0" w:line="360" w:lineRule="auto"/>
        <w:ind w:firstLine="410" w:firstLineChars="200"/>
        <w:jc w:val="left"/>
        <w:rPr>
          <w:rFonts w:hint="eastAsia" w:ascii="宋体" w:hAnsi="宋体" w:eastAsia="宋体" w:cs="宋体"/>
          <w:b/>
          <w:color w:val="auto"/>
          <w:spacing w:val="-3"/>
          <w:szCs w:val="21"/>
          <w:highlight w:val="none"/>
        </w:rPr>
      </w:pPr>
      <w:r>
        <w:rPr>
          <w:rFonts w:hint="eastAsia" w:ascii="宋体" w:hAnsi="宋体" w:cs="宋体"/>
          <w:b/>
          <w:color w:val="auto"/>
          <w:spacing w:val="-3"/>
          <w:szCs w:val="21"/>
          <w:highlight w:val="none"/>
        </w:rPr>
        <w:t>注：</w:t>
      </w:r>
      <w:r>
        <w:rPr>
          <w:rFonts w:hint="eastAsia" w:ascii="宋体" w:hAnsi="宋体" w:eastAsia="宋体" w:cs="宋体"/>
          <w:b/>
          <w:color w:val="auto"/>
          <w:spacing w:val="-3"/>
          <w:szCs w:val="21"/>
          <w:highlight w:val="none"/>
        </w:rPr>
        <w:t>1.从业人员、营业收入、资产总额填报上一年度数据，无上一年度数据的新成立企业可不填报。</w:t>
      </w:r>
    </w:p>
    <w:p w14:paraId="15FDFCEE">
      <w:pPr>
        <w:spacing w:before="0" w:line="360" w:lineRule="auto"/>
        <w:ind w:firstLine="410" w:firstLineChars="200"/>
        <w:jc w:val="left"/>
        <w:rPr>
          <w:rFonts w:hint="eastAsia" w:ascii="宋体" w:hAnsi="宋体" w:eastAsia="宋体" w:cs="宋体"/>
          <w:b/>
          <w:color w:val="auto"/>
          <w:spacing w:val="-3"/>
          <w:szCs w:val="21"/>
          <w:highlight w:val="none"/>
          <w:lang w:eastAsia="zh-CN"/>
        </w:rPr>
      </w:pPr>
      <w:r>
        <w:rPr>
          <w:rFonts w:hint="eastAsia" w:ascii="宋体" w:hAnsi="宋体" w:cs="宋体"/>
          <w:b/>
          <w:color w:val="auto"/>
          <w:spacing w:val="-3"/>
          <w:szCs w:val="21"/>
          <w:highlight w:val="none"/>
        </w:rPr>
        <w:t>2.</w:t>
      </w:r>
      <w:r>
        <w:rPr>
          <w:rFonts w:hint="eastAsia" w:ascii="宋体" w:hAnsi="宋体" w:eastAsia="宋体" w:cs="宋体"/>
          <w:b/>
          <w:color w:val="auto"/>
          <w:spacing w:val="-3"/>
          <w:szCs w:val="21"/>
          <w:highlight w:val="none"/>
        </w:rPr>
        <w:t>中小企业参加政府采购活动，应当按照《政府采购促进中小企业发展管理办法》（财库〔2020〕46号）规定和《中小企业划型标准规定》（工信部联企业〔2011〕300号），如实填写并提交本《中小企业声明函》</w:t>
      </w:r>
      <w:r>
        <w:rPr>
          <w:rFonts w:hint="eastAsia" w:ascii="宋体" w:hAnsi="宋体" w:eastAsia="宋体" w:cs="宋体"/>
          <w:b/>
          <w:color w:val="auto"/>
          <w:spacing w:val="-3"/>
          <w:szCs w:val="21"/>
          <w:highlight w:val="none"/>
          <w:lang w:eastAsia="zh-CN"/>
        </w:rPr>
        <w:t>。</w:t>
      </w:r>
    </w:p>
    <w:p w14:paraId="48749B30">
      <w:pPr>
        <w:pStyle w:val="3"/>
        <w:spacing w:before="0" w:after="0" w:line="41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附件4：</w:t>
      </w:r>
    </w:p>
    <w:p w14:paraId="55BB5F1C">
      <w:pPr>
        <w:pStyle w:val="3"/>
        <w:spacing w:before="0" w:after="0" w:line="4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《残疾人福利性单位声明函》（格式，若有）</w:t>
      </w:r>
      <w:bookmarkEnd w:id="12"/>
      <w:bookmarkEnd w:id="13"/>
    </w:p>
    <w:p w14:paraId="1A2C7054">
      <w:pPr>
        <w:pStyle w:val="70"/>
        <w:spacing w:line="440" w:lineRule="exact"/>
        <w:ind w:firstLine="504"/>
        <w:rPr>
          <w:rFonts w:ascii="宋体" w:hAnsi="宋体" w:cs="宋体"/>
          <w:b/>
          <w:bCs/>
          <w:color w:val="auto"/>
          <w:sz w:val="24"/>
          <w:szCs w:val="24"/>
          <w:highlight w:val="none"/>
        </w:rPr>
      </w:pPr>
      <w:r>
        <w:rPr>
          <w:rFonts w:hint="eastAsia" w:ascii="宋体" w:hAnsi="宋体" w:cs="宋体"/>
          <w:color w:val="auto"/>
          <w:spacing w:val="6"/>
          <w:sz w:val="24"/>
          <w:szCs w:val="24"/>
          <w:highlight w:val="none"/>
        </w:rPr>
        <w:t>根据《三部门联合发布关于促进残疾人就业政府采购政策的通知》（财库〔2017〕141号）的规定，由供应商自行申明，并对申明真实性负责。如有虚假，将依法承担相应责任。</w:t>
      </w:r>
    </w:p>
    <w:p w14:paraId="5FEF22F6">
      <w:pPr>
        <w:spacing w:line="440" w:lineRule="exact"/>
        <w:jc w:val="center"/>
        <w:rPr>
          <w:rFonts w:ascii="宋体" w:hAnsi="宋体" w:cs="宋体"/>
          <w:b/>
          <w:color w:val="auto"/>
          <w:spacing w:val="6"/>
          <w:sz w:val="24"/>
          <w:highlight w:val="none"/>
        </w:rPr>
      </w:pPr>
      <w:r>
        <w:rPr>
          <w:rFonts w:hint="eastAsia" w:ascii="宋体" w:hAnsi="宋体" w:cs="宋体"/>
          <w:b/>
          <w:color w:val="auto"/>
          <w:spacing w:val="6"/>
          <w:sz w:val="24"/>
          <w:highlight w:val="none"/>
        </w:rPr>
        <w:t>残疾人福利性单位声明函</w:t>
      </w:r>
    </w:p>
    <w:p w14:paraId="3E011A65">
      <w:pPr>
        <w:spacing w:line="44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______单位的______项目（标段）采购活动提供本单位制造的货物（由本单位承担工程/提供服务），或者提供其他残疾人福利性单位制造的货物（不包括使用非残疾人福利性单位注册商标的货物）。</w:t>
      </w:r>
    </w:p>
    <w:p w14:paraId="4EDC4550">
      <w:pPr>
        <w:spacing w:line="44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tbl>
      <w:tblPr>
        <w:tblStyle w:val="26"/>
        <w:tblW w:w="0" w:type="auto"/>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3134"/>
        <w:gridCol w:w="1030"/>
        <w:gridCol w:w="1186"/>
        <w:gridCol w:w="1366"/>
        <w:gridCol w:w="1500"/>
      </w:tblGrid>
      <w:tr w14:paraId="4C602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17" w:type="dxa"/>
            <w:vAlign w:val="center"/>
          </w:tcPr>
          <w:p w14:paraId="6D2B33E9">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序号</w:t>
            </w:r>
          </w:p>
        </w:tc>
        <w:tc>
          <w:tcPr>
            <w:tcW w:w="3134" w:type="dxa"/>
            <w:vAlign w:val="center"/>
          </w:tcPr>
          <w:p w14:paraId="2702BC70">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产品类型</w:t>
            </w:r>
          </w:p>
        </w:tc>
        <w:tc>
          <w:tcPr>
            <w:tcW w:w="1030" w:type="dxa"/>
            <w:vAlign w:val="center"/>
          </w:tcPr>
          <w:p w14:paraId="573DECEA">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产品名称</w:t>
            </w:r>
          </w:p>
        </w:tc>
        <w:tc>
          <w:tcPr>
            <w:tcW w:w="1186" w:type="dxa"/>
            <w:vAlign w:val="center"/>
          </w:tcPr>
          <w:p w14:paraId="62902EB4">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制造商</w:t>
            </w:r>
          </w:p>
        </w:tc>
        <w:tc>
          <w:tcPr>
            <w:tcW w:w="1366" w:type="dxa"/>
            <w:vAlign w:val="center"/>
          </w:tcPr>
          <w:p w14:paraId="27E22890">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金额</w:t>
            </w:r>
          </w:p>
          <w:p w14:paraId="283171AA">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（万元）</w:t>
            </w:r>
          </w:p>
        </w:tc>
        <w:tc>
          <w:tcPr>
            <w:tcW w:w="1500" w:type="dxa"/>
            <w:vAlign w:val="center"/>
          </w:tcPr>
          <w:p w14:paraId="4871C4AD">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所占比例</w:t>
            </w:r>
          </w:p>
        </w:tc>
      </w:tr>
      <w:tr w14:paraId="0F64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17" w:type="dxa"/>
            <w:vAlign w:val="center"/>
          </w:tcPr>
          <w:p w14:paraId="32ADF06A">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1</w:t>
            </w:r>
          </w:p>
        </w:tc>
        <w:tc>
          <w:tcPr>
            <w:tcW w:w="3134" w:type="dxa"/>
            <w:vAlign w:val="center"/>
          </w:tcPr>
          <w:p w14:paraId="2EB35960">
            <w:pPr>
              <w:spacing w:line="440" w:lineRule="exact"/>
              <w:rPr>
                <w:rFonts w:ascii="宋体" w:hAnsi="宋体" w:cs="宋体"/>
                <w:color w:val="auto"/>
                <w:spacing w:val="6"/>
                <w:sz w:val="24"/>
                <w:highlight w:val="none"/>
              </w:rPr>
            </w:pPr>
            <w:r>
              <w:rPr>
                <w:rFonts w:hint="eastAsia" w:ascii="宋体" w:hAnsi="宋体" w:cs="宋体"/>
                <w:color w:val="auto"/>
                <w:spacing w:val="6"/>
                <w:sz w:val="24"/>
                <w:highlight w:val="none"/>
              </w:rPr>
              <w:t>本企业制造的货物</w:t>
            </w:r>
          </w:p>
        </w:tc>
        <w:tc>
          <w:tcPr>
            <w:tcW w:w="1030" w:type="dxa"/>
            <w:vAlign w:val="center"/>
          </w:tcPr>
          <w:p w14:paraId="73D40A11">
            <w:pPr>
              <w:spacing w:line="440" w:lineRule="exact"/>
              <w:jc w:val="center"/>
              <w:rPr>
                <w:rFonts w:ascii="宋体" w:hAnsi="宋体" w:cs="宋体"/>
                <w:color w:val="auto"/>
                <w:spacing w:val="6"/>
                <w:sz w:val="24"/>
                <w:highlight w:val="none"/>
              </w:rPr>
            </w:pPr>
          </w:p>
        </w:tc>
        <w:tc>
          <w:tcPr>
            <w:tcW w:w="1186" w:type="dxa"/>
            <w:vAlign w:val="center"/>
          </w:tcPr>
          <w:p w14:paraId="75084FC2">
            <w:pPr>
              <w:spacing w:line="440" w:lineRule="exact"/>
              <w:jc w:val="center"/>
              <w:rPr>
                <w:rFonts w:ascii="宋体" w:hAnsi="宋体" w:cs="宋体"/>
                <w:color w:val="auto"/>
                <w:spacing w:val="6"/>
                <w:sz w:val="24"/>
                <w:highlight w:val="none"/>
              </w:rPr>
            </w:pPr>
          </w:p>
        </w:tc>
        <w:tc>
          <w:tcPr>
            <w:tcW w:w="1366" w:type="dxa"/>
            <w:vAlign w:val="center"/>
          </w:tcPr>
          <w:p w14:paraId="7BF64A49">
            <w:pPr>
              <w:spacing w:line="440" w:lineRule="exact"/>
              <w:jc w:val="center"/>
              <w:rPr>
                <w:rFonts w:ascii="宋体" w:hAnsi="宋体" w:cs="宋体"/>
                <w:color w:val="auto"/>
                <w:spacing w:val="6"/>
                <w:sz w:val="24"/>
                <w:highlight w:val="none"/>
              </w:rPr>
            </w:pPr>
          </w:p>
        </w:tc>
        <w:tc>
          <w:tcPr>
            <w:tcW w:w="1500" w:type="dxa"/>
            <w:vAlign w:val="center"/>
          </w:tcPr>
          <w:p w14:paraId="04066D34">
            <w:pPr>
              <w:spacing w:line="440" w:lineRule="exact"/>
              <w:jc w:val="center"/>
              <w:rPr>
                <w:rFonts w:ascii="宋体" w:hAnsi="宋体" w:cs="宋体"/>
                <w:color w:val="auto"/>
                <w:spacing w:val="6"/>
                <w:sz w:val="24"/>
                <w:highlight w:val="none"/>
              </w:rPr>
            </w:pPr>
          </w:p>
        </w:tc>
      </w:tr>
      <w:tr w14:paraId="737B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17" w:type="dxa"/>
            <w:vAlign w:val="center"/>
          </w:tcPr>
          <w:p w14:paraId="5E77BF96">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2</w:t>
            </w:r>
          </w:p>
        </w:tc>
        <w:tc>
          <w:tcPr>
            <w:tcW w:w="3134" w:type="dxa"/>
            <w:vAlign w:val="center"/>
          </w:tcPr>
          <w:p w14:paraId="67F88EB3">
            <w:pPr>
              <w:spacing w:line="440" w:lineRule="exact"/>
              <w:rPr>
                <w:rFonts w:ascii="宋体" w:hAnsi="宋体" w:cs="宋体"/>
                <w:color w:val="auto"/>
                <w:spacing w:val="6"/>
                <w:sz w:val="24"/>
                <w:highlight w:val="none"/>
              </w:rPr>
            </w:pPr>
            <w:r>
              <w:rPr>
                <w:rFonts w:hint="eastAsia" w:ascii="宋体" w:hAnsi="宋体" w:cs="宋体"/>
                <w:color w:val="auto"/>
                <w:spacing w:val="6"/>
                <w:sz w:val="24"/>
                <w:highlight w:val="none"/>
              </w:rPr>
              <w:t>其他残疾人福利性单位制造的货物</w:t>
            </w:r>
          </w:p>
        </w:tc>
        <w:tc>
          <w:tcPr>
            <w:tcW w:w="1030" w:type="dxa"/>
            <w:vAlign w:val="center"/>
          </w:tcPr>
          <w:p w14:paraId="54AB20AA">
            <w:pPr>
              <w:spacing w:line="440" w:lineRule="exact"/>
              <w:jc w:val="center"/>
              <w:rPr>
                <w:rFonts w:ascii="宋体" w:hAnsi="宋体" w:cs="宋体"/>
                <w:color w:val="auto"/>
                <w:spacing w:val="6"/>
                <w:sz w:val="24"/>
                <w:highlight w:val="none"/>
              </w:rPr>
            </w:pPr>
          </w:p>
        </w:tc>
        <w:tc>
          <w:tcPr>
            <w:tcW w:w="1186" w:type="dxa"/>
            <w:vAlign w:val="center"/>
          </w:tcPr>
          <w:p w14:paraId="76D203C8">
            <w:pPr>
              <w:spacing w:line="440" w:lineRule="exact"/>
              <w:jc w:val="center"/>
              <w:rPr>
                <w:rFonts w:ascii="宋体" w:hAnsi="宋体" w:cs="宋体"/>
                <w:color w:val="auto"/>
                <w:spacing w:val="6"/>
                <w:sz w:val="24"/>
                <w:highlight w:val="none"/>
              </w:rPr>
            </w:pPr>
          </w:p>
        </w:tc>
        <w:tc>
          <w:tcPr>
            <w:tcW w:w="1366" w:type="dxa"/>
            <w:vAlign w:val="center"/>
          </w:tcPr>
          <w:p w14:paraId="27A8785E">
            <w:pPr>
              <w:spacing w:line="440" w:lineRule="exact"/>
              <w:jc w:val="center"/>
              <w:rPr>
                <w:rFonts w:ascii="宋体" w:hAnsi="宋体" w:cs="宋体"/>
                <w:color w:val="auto"/>
                <w:spacing w:val="6"/>
                <w:sz w:val="24"/>
                <w:highlight w:val="none"/>
              </w:rPr>
            </w:pPr>
          </w:p>
        </w:tc>
        <w:tc>
          <w:tcPr>
            <w:tcW w:w="1500" w:type="dxa"/>
            <w:vAlign w:val="center"/>
          </w:tcPr>
          <w:p w14:paraId="10176393">
            <w:pPr>
              <w:spacing w:line="440" w:lineRule="exact"/>
              <w:jc w:val="center"/>
              <w:rPr>
                <w:rFonts w:ascii="宋体" w:hAnsi="宋体" w:cs="宋体"/>
                <w:color w:val="auto"/>
                <w:spacing w:val="6"/>
                <w:sz w:val="24"/>
                <w:highlight w:val="none"/>
              </w:rPr>
            </w:pPr>
          </w:p>
        </w:tc>
      </w:tr>
    </w:tbl>
    <w:p w14:paraId="3114BCFF">
      <w:pPr>
        <w:tabs>
          <w:tab w:val="left" w:pos="4860"/>
        </w:tabs>
        <w:spacing w:line="440" w:lineRule="exact"/>
        <w:ind w:right="1560"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注：1.本声明函对残疾人福利性单位参与政府采购活动时适用。</w:t>
      </w:r>
    </w:p>
    <w:p w14:paraId="1C12BBB9">
      <w:pPr>
        <w:tabs>
          <w:tab w:val="left" w:pos="4860"/>
        </w:tabs>
        <w:spacing w:line="44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2.如提供其他残疾人福利性单位的货物须按此格式附其他</w:t>
      </w:r>
      <w:r>
        <w:rPr>
          <w:rFonts w:hint="eastAsia" w:ascii="宋体" w:hAnsi="宋体" w:cs="宋体"/>
          <w:color w:val="auto"/>
          <w:spacing w:val="6"/>
          <w:sz w:val="24"/>
          <w:highlight w:val="none"/>
          <w:lang w:val="en-US" w:eastAsia="zh-CN"/>
        </w:rPr>
        <w:t>中小</w:t>
      </w:r>
      <w:r>
        <w:rPr>
          <w:rFonts w:hint="eastAsia" w:ascii="宋体" w:hAnsi="宋体" w:cs="宋体"/>
          <w:color w:val="auto"/>
          <w:spacing w:val="6"/>
          <w:sz w:val="24"/>
          <w:highlight w:val="none"/>
        </w:rPr>
        <w:t>企业的《</w:t>
      </w:r>
      <w:r>
        <w:rPr>
          <w:rFonts w:hint="eastAsia" w:ascii="宋体" w:hAnsi="宋体" w:cs="宋体"/>
          <w:color w:val="auto"/>
          <w:spacing w:val="6"/>
          <w:sz w:val="24"/>
          <w:highlight w:val="none"/>
          <w:lang w:eastAsia="zh-CN"/>
        </w:rPr>
        <w:t>中小企业声明函</w:t>
      </w:r>
      <w:r>
        <w:rPr>
          <w:rFonts w:hint="eastAsia" w:ascii="宋体" w:hAnsi="宋体" w:cs="宋体"/>
          <w:color w:val="auto"/>
          <w:spacing w:val="6"/>
          <w:sz w:val="24"/>
          <w:highlight w:val="none"/>
        </w:rPr>
        <w:t>》</w:t>
      </w:r>
    </w:p>
    <w:p w14:paraId="5CE0CDFA">
      <w:pPr>
        <w:tabs>
          <w:tab w:val="left" w:pos="4860"/>
        </w:tabs>
        <w:spacing w:line="440" w:lineRule="exact"/>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p>
    <w:p w14:paraId="1BC62C65">
      <w:pPr>
        <w:tabs>
          <w:tab w:val="left" w:pos="4860"/>
        </w:tabs>
        <w:spacing w:line="440" w:lineRule="exact"/>
        <w:ind w:right="1560" w:firstLine="504" w:firstLineChars="200"/>
        <w:jc w:val="center"/>
        <w:rPr>
          <w:rFonts w:ascii="宋体" w:hAnsi="宋体" w:cs="宋体"/>
          <w:color w:val="auto"/>
          <w:spacing w:val="6"/>
          <w:sz w:val="24"/>
          <w:highlight w:val="none"/>
        </w:rPr>
      </w:pPr>
    </w:p>
    <w:p w14:paraId="5F1F4391">
      <w:pPr>
        <w:tabs>
          <w:tab w:val="left" w:pos="4860"/>
        </w:tabs>
        <w:spacing w:line="480" w:lineRule="auto"/>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供应商名称</w:t>
      </w:r>
      <w:r>
        <w:rPr>
          <w:rFonts w:hint="eastAsia" w:ascii="宋体" w:hAnsi="宋体" w:cs="宋体"/>
          <w:color w:val="auto"/>
          <w:spacing w:val="6"/>
          <w:sz w:val="24"/>
          <w:highlight w:val="none"/>
        </w:rPr>
        <w:t>（盖章）：</w:t>
      </w:r>
    </w:p>
    <w:p w14:paraId="338CADA6">
      <w:pPr>
        <w:tabs>
          <w:tab w:val="left" w:pos="4860"/>
        </w:tabs>
        <w:spacing w:line="480" w:lineRule="auto"/>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bookmarkStart w:id="15" w:name="_Toc65073735"/>
      <w:bookmarkStart w:id="16" w:name="_Toc25937966"/>
    </w:p>
    <w:p w14:paraId="4B384D35">
      <w:pPr>
        <w:pStyle w:val="12"/>
        <w:spacing w:after="120"/>
        <w:rPr>
          <w:rFonts w:cs="宋体"/>
          <w:color w:val="auto"/>
          <w:szCs w:val="28"/>
          <w:highlight w:val="none"/>
        </w:rPr>
      </w:pPr>
    </w:p>
    <w:p w14:paraId="00EE5FD6">
      <w:pPr>
        <w:rPr>
          <w:rFonts w:cs="宋体"/>
          <w:color w:val="auto"/>
          <w:szCs w:val="28"/>
          <w:highlight w:val="none"/>
        </w:rPr>
      </w:pPr>
    </w:p>
    <w:p w14:paraId="51855815">
      <w:pPr>
        <w:rPr>
          <w:rFonts w:cs="宋体"/>
          <w:color w:val="auto"/>
          <w:szCs w:val="28"/>
          <w:highlight w:val="none"/>
        </w:rPr>
      </w:pPr>
    </w:p>
    <w:p w14:paraId="6B39D631">
      <w:pPr>
        <w:rPr>
          <w:rFonts w:cs="宋体"/>
          <w:color w:val="auto"/>
          <w:szCs w:val="28"/>
          <w:highlight w:val="none"/>
        </w:rPr>
      </w:pPr>
    </w:p>
    <w:p w14:paraId="6D1149A3">
      <w:pPr>
        <w:pStyle w:val="21"/>
        <w:rPr>
          <w:rFonts w:ascii="宋体" w:hAnsi="宋体" w:cs="宋体"/>
          <w:color w:val="auto"/>
          <w:sz w:val="28"/>
          <w:szCs w:val="28"/>
          <w:highlight w:val="none"/>
        </w:rPr>
      </w:pPr>
    </w:p>
    <w:p w14:paraId="6BCB1FC2">
      <w:pPr>
        <w:pStyle w:val="3"/>
        <w:spacing w:before="0" w:after="0" w:line="415"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附件5：</w:t>
      </w:r>
    </w:p>
    <w:p w14:paraId="0E4EBB47">
      <w:pPr>
        <w:pStyle w:val="3"/>
        <w:spacing w:before="0" w:after="0" w:line="415"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监狱企业证明文件（若有）</w:t>
      </w:r>
      <w:bookmarkEnd w:id="15"/>
      <w:bookmarkEnd w:id="16"/>
    </w:p>
    <w:p w14:paraId="2BFF2D12">
      <w:pPr>
        <w:snapToGrid w:val="0"/>
        <w:spacing w:line="360" w:lineRule="auto"/>
        <w:ind w:firstLine="504" w:firstLineChars="200"/>
        <w:rPr>
          <w:rFonts w:ascii="宋体" w:hAnsi="宋体" w:cs="宋体"/>
          <w:color w:val="auto"/>
          <w:sz w:val="24"/>
          <w:highlight w:val="none"/>
        </w:rPr>
      </w:pPr>
      <w:r>
        <w:rPr>
          <w:rFonts w:hint="eastAsia" w:ascii="宋体" w:hAnsi="宋体" w:cs="宋体"/>
          <w:color w:val="auto"/>
          <w:spacing w:val="6"/>
          <w:sz w:val="24"/>
          <w:highlight w:val="none"/>
        </w:rPr>
        <w:t xml:space="preserve"> 说明：根据</w:t>
      </w:r>
      <w:r>
        <w:rPr>
          <w:rFonts w:hint="eastAsia" w:ascii="宋体" w:hAnsi="宋体" w:cs="宋体"/>
          <w:color w:val="auto"/>
          <w:sz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6AE47749">
      <w:pPr>
        <w:pStyle w:val="35"/>
        <w:rPr>
          <w:color w:val="auto"/>
          <w:highlight w:val="none"/>
        </w:rPr>
        <w:sectPr>
          <w:pgSz w:w="11910" w:h="16840"/>
          <w:pgMar w:top="1440" w:right="1293" w:bottom="1440" w:left="1293" w:header="878" w:footer="1442" w:gutter="0"/>
          <w:cols w:space="720" w:num="1"/>
        </w:sectPr>
      </w:pPr>
    </w:p>
    <w:p w14:paraId="765BB26A">
      <w:pPr>
        <w:widowControl/>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第七部分  投标方案</w:t>
      </w:r>
    </w:p>
    <w:p w14:paraId="0510CDEB">
      <w:pPr>
        <w:spacing w:line="520" w:lineRule="atLeast"/>
        <w:jc w:val="left"/>
        <w:rPr>
          <w:rFonts w:ascii="宋体" w:hAnsi="宋体" w:cs="宋体"/>
          <w:color w:val="auto"/>
          <w:sz w:val="24"/>
          <w:szCs w:val="24"/>
          <w:highlight w:val="none"/>
        </w:rPr>
      </w:pPr>
      <w:r>
        <w:rPr>
          <w:rFonts w:hint="eastAsia" w:ascii="宋体" w:hAnsi="宋体" w:cs="宋体"/>
          <w:b/>
          <w:bCs/>
          <w:color w:val="auto"/>
          <w:sz w:val="24"/>
          <w:szCs w:val="24"/>
          <w:highlight w:val="none"/>
        </w:rPr>
        <w:t>1、方案说明</w:t>
      </w:r>
      <w:r>
        <w:rPr>
          <w:rFonts w:hint="eastAsia" w:ascii="宋体" w:hAnsi="宋体" w:cs="宋体"/>
          <w:color w:val="auto"/>
          <w:sz w:val="24"/>
          <w:szCs w:val="24"/>
          <w:highlight w:val="none"/>
        </w:rPr>
        <w:t>：按照招标文件的要求编制的投标方案说明书，格式自拟，字数不限制。</w:t>
      </w:r>
    </w:p>
    <w:p w14:paraId="2D6BC205">
      <w:pPr>
        <w:pStyle w:val="5"/>
        <w:pageBreakBefore/>
        <w:spacing w:beforeAutospacing="0" w:afterAutospacing="0" w:line="360" w:lineRule="auto"/>
        <w:ind w:firstLine="482" w:firstLineChars="200"/>
        <w:rPr>
          <w:rFonts w:ascii="宋体" w:hAnsi="宋体" w:cs="宋体"/>
          <w:bCs/>
          <w:color w:val="auto"/>
          <w:kern w:val="20"/>
          <w:szCs w:val="24"/>
          <w:highlight w:val="none"/>
        </w:rPr>
      </w:pPr>
      <w:bookmarkStart w:id="17" w:name="_Toc528240833"/>
      <w:bookmarkStart w:id="18" w:name="_Toc484198843"/>
      <w:bookmarkStart w:id="19" w:name="_Toc484890090"/>
      <w:r>
        <w:rPr>
          <w:rFonts w:hint="eastAsia" w:ascii="宋体" w:hAnsi="宋体" w:cs="宋体"/>
          <w:bCs/>
          <w:color w:val="auto"/>
          <w:kern w:val="20"/>
          <w:szCs w:val="24"/>
          <w:highlight w:val="none"/>
        </w:rPr>
        <w:t>（一）</w:t>
      </w:r>
      <w:r>
        <w:rPr>
          <w:rFonts w:hint="eastAsia" w:ascii="宋体" w:hAnsi="宋体" w:cs="宋体"/>
          <w:bCs/>
          <w:color w:val="auto"/>
          <w:kern w:val="20"/>
          <w:szCs w:val="24"/>
          <w:highlight w:val="none"/>
          <w:lang w:val="en-US" w:eastAsia="zh-CN"/>
        </w:rPr>
        <w:t>拟投入项目部组成</w:t>
      </w:r>
      <w:r>
        <w:rPr>
          <w:rFonts w:hint="eastAsia" w:ascii="宋体" w:hAnsi="宋体" w:cs="宋体"/>
          <w:bCs/>
          <w:color w:val="auto"/>
          <w:kern w:val="20"/>
          <w:szCs w:val="24"/>
          <w:highlight w:val="none"/>
        </w:rPr>
        <w:t>人员情况表</w:t>
      </w:r>
    </w:p>
    <w:tbl>
      <w:tblPr>
        <w:tblStyle w:val="26"/>
        <w:tblpPr w:leftFromText="180" w:rightFromText="180" w:vertAnchor="text" w:horzAnchor="page" w:tblpX="1718" w:tblpY="191"/>
        <w:tblOverlap w:val="never"/>
        <w:tblW w:w="89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2"/>
        <w:gridCol w:w="2197"/>
        <w:gridCol w:w="1400"/>
        <w:gridCol w:w="1293"/>
        <w:gridCol w:w="1427"/>
        <w:gridCol w:w="1347"/>
      </w:tblGrid>
      <w:tr w14:paraId="1F530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7A67B479">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序号</w:t>
            </w:r>
          </w:p>
        </w:tc>
        <w:tc>
          <w:tcPr>
            <w:tcW w:w="2197" w:type="dxa"/>
          </w:tcPr>
          <w:p w14:paraId="4A00A8B7">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任职</w:t>
            </w:r>
          </w:p>
        </w:tc>
        <w:tc>
          <w:tcPr>
            <w:tcW w:w="1400" w:type="dxa"/>
          </w:tcPr>
          <w:p w14:paraId="6EA8618C">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姓名</w:t>
            </w:r>
          </w:p>
        </w:tc>
        <w:tc>
          <w:tcPr>
            <w:tcW w:w="1293" w:type="dxa"/>
          </w:tcPr>
          <w:p w14:paraId="3E691686">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职称</w:t>
            </w:r>
          </w:p>
        </w:tc>
        <w:tc>
          <w:tcPr>
            <w:tcW w:w="1427" w:type="dxa"/>
          </w:tcPr>
          <w:p w14:paraId="561B28E4">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专 业</w:t>
            </w:r>
          </w:p>
        </w:tc>
        <w:tc>
          <w:tcPr>
            <w:tcW w:w="1347" w:type="dxa"/>
          </w:tcPr>
          <w:p w14:paraId="75375BE3">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备注</w:t>
            </w:r>
          </w:p>
        </w:tc>
      </w:tr>
      <w:tr w14:paraId="463DE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6B36015A">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15967BCB">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300487E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5B0276EE">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30287C8E">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36D4FFFF">
            <w:pPr>
              <w:autoSpaceDE w:val="0"/>
              <w:autoSpaceDN w:val="0"/>
              <w:spacing w:line="360" w:lineRule="auto"/>
              <w:ind w:firstLine="480" w:firstLineChars="200"/>
              <w:jc w:val="left"/>
              <w:rPr>
                <w:rFonts w:ascii="Times New Roman" w:hAnsi="宋体" w:cs="宋体"/>
                <w:color w:val="auto"/>
                <w:sz w:val="24"/>
                <w:highlight w:val="none"/>
              </w:rPr>
            </w:pPr>
          </w:p>
        </w:tc>
      </w:tr>
      <w:tr w14:paraId="6C570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0991AE4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209BAE4C">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C2838A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18E69E58">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2760B36A">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175835CC">
            <w:pPr>
              <w:autoSpaceDE w:val="0"/>
              <w:autoSpaceDN w:val="0"/>
              <w:spacing w:line="360" w:lineRule="auto"/>
              <w:ind w:firstLine="480" w:firstLineChars="200"/>
              <w:jc w:val="left"/>
              <w:rPr>
                <w:rFonts w:ascii="Times New Roman" w:hAnsi="宋体" w:cs="宋体"/>
                <w:color w:val="auto"/>
                <w:sz w:val="24"/>
                <w:highlight w:val="none"/>
              </w:rPr>
            </w:pPr>
          </w:p>
        </w:tc>
      </w:tr>
      <w:tr w14:paraId="34F3D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0A7D20B0">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75CABD02">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428320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17ED3EB6">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1ABAAE58">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74492181">
            <w:pPr>
              <w:autoSpaceDE w:val="0"/>
              <w:autoSpaceDN w:val="0"/>
              <w:spacing w:line="360" w:lineRule="auto"/>
              <w:ind w:firstLine="480" w:firstLineChars="200"/>
              <w:jc w:val="left"/>
              <w:rPr>
                <w:rFonts w:ascii="Times New Roman" w:hAnsi="宋体" w:cs="宋体"/>
                <w:color w:val="auto"/>
                <w:sz w:val="24"/>
                <w:highlight w:val="none"/>
              </w:rPr>
            </w:pPr>
          </w:p>
        </w:tc>
      </w:tr>
      <w:tr w14:paraId="70DCC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6637FD71">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33B756C0">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1B6686F1">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3D734852">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2FDE288A">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598F482">
            <w:pPr>
              <w:autoSpaceDE w:val="0"/>
              <w:autoSpaceDN w:val="0"/>
              <w:spacing w:line="360" w:lineRule="auto"/>
              <w:ind w:firstLine="480" w:firstLineChars="200"/>
              <w:jc w:val="left"/>
              <w:rPr>
                <w:rFonts w:ascii="Times New Roman" w:hAnsi="宋体" w:cs="宋体"/>
                <w:color w:val="auto"/>
                <w:sz w:val="24"/>
                <w:highlight w:val="none"/>
              </w:rPr>
            </w:pPr>
          </w:p>
        </w:tc>
      </w:tr>
      <w:tr w14:paraId="1A78C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565363C3">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63B0CDFC">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1A14B0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45AA4CFA">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0B900515">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A7E7A07">
            <w:pPr>
              <w:autoSpaceDE w:val="0"/>
              <w:autoSpaceDN w:val="0"/>
              <w:spacing w:line="360" w:lineRule="auto"/>
              <w:ind w:firstLine="480" w:firstLineChars="200"/>
              <w:jc w:val="left"/>
              <w:rPr>
                <w:rFonts w:ascii="Times New Roman" w:hAnsi="宋体" w:cs="宋体"/>
                <w:color w:val="auto"/>
                <w:sz w:val="24"/>
                <w:highlight w:val="none"/>
              </w:rPr>
            </w:pPr>
          </w:p>
        </w:tc>
      </w:tr>
      <w:tr w14:paraId="506E6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4D82DB9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3989D3DB">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B372AF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655BA764">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64515E10">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23FD21B3">
            <w:pPr>
              <w:autoSpaceDE w:val="0"/>
              <w:autoSpaceDN w:val="0"/>
              <w:spacing w:line="360" w:lineRule="auto"/>
              <w:ind w:firstLine="480" w:firstLineChars="200"/>
              <w:jc w:val="left"/>
              <w:rPr>
                <w:rFonts w:ascii="Times New Roman" w:hAnsi="宋体" w:cs="宋体"/>
                <w:color w:val="auto"/>
                <w:sz w:val="24"/>
                <w:highlight w:val="none"/>
              </w:rPr>
            </w:pPr>
          </w:p>
        </w:tc>
      </w:tr>
      <w:tr w14:paraId="143A9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6D4ED74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06773BA6">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1A3628E1">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28371925">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773B90BE">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2735A698">
            <w:pPr>
              <w:autoSpaceDE w:val="0"/>
              <w:autoSpaceDN w:val="0"/>
              <w:spacing w:line="360" w:lineRule="auto"/>
              <w:ind w:firstLine="480" w:firstLineChars="200"/>
              <w:jc w:val="left"/>
              <w:rPr>
                <w:rFonts w:ascii="Times New Roman" w:hAnsi="宋体" w:cs="宋体"/>
                <w:color w:val="auto"/>
                <w:sz w:val="24"/>
                <w:highlight w:val="none"/>
              </w:rPr>
            </w:pPr>
          </w:p>
        </w:tc>
      </w:tr>
      <w:tr w14:paraId="12468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1282CA0B">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779CCC80">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672445B9">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4DB8C0B3">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31260238">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1FA113D6">
            <w:pPr>
              <w:autoSpaceDE w:val="0"/>
              <w:autoSpaceDN w:val="0"/>
              <w:spacing w:line="360" w:lineRule="auto"/>
              <w:ind w:firstLine="480" w:firstLineChars="200"/>
              <w:jc w:val="left"/>
              <w:rPr>
                <w:rFonts w:ascii="Times New Roman" w:hAnsi="宋体" w:cs="宋体"/>
                <w:color w:val="auto"/>
                <w:sz w:val="24"/>
                <w:highlight w:val="none"/>
              </w:rPr>
            </w:pPr>
          </w:p>
        </w:tc>
      </w:tr>
      <w:tr w14:paraId="69D36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5F762785">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3CE91BDE">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1B9285C9">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1B97004E">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54810B0C">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DDDE4B6">
            <w:pPr>
              <w:autoSpaceDE w:val="0"/>
              <w:autoSpaceDN w:val="0"/>
              <w:spacing w:line="360" w:lineRule="auto"/>
              <w:ind w:firstLine="480" w:firstLineChars="200"/>
              <w:jc w:val="left"/>
              <w:rPr>
                <w:rFonts w:ascii="Times New Roman" w:hAnsi="宋体" w:cs="宋体"/>
                <w:color w:val="auto"/>
                <w:sz w:val="24"/>
                <w:highlight w:val="none"/>
              </w:rPr>
            </w:pPr>
          </w:p>
        </w:tc>
      </w:tr>
      <w:tr w14:paraId="66666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03DF2FFE">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2E4C5F31">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162FA1A">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0D4C96C6">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76B21E45">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F2DF0DF">
            <w:pPr>
              <w:autoSpaceDE w:val="0"/>
              <w:autoSpaceDN w:val="0"/>
              <w:spacing w:line="360" w:lineRule="auto"/>
              <w:ind w:firstLine="480" w:firstLineChars="200"/>
              <w:jc w:val="left"/>
              <w:rPr>
                <w:rFonts w:ascii="Times New Roman" w:hAnsi="宋体" w:cs="宋体"/>
                <w:color w:val="auto"/>
                <w:sz w:val="24"/>
                <w:highlight w:val="none"/>
              </w:rPr>
            </w:pPr>
          </w:p>
        </w:tc>
      </w:tr>
      <w:tr w14:paraId="1BF3F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7B5BBF5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08202B47">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2B9608C8">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50E632BC">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11114E67">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9599850">
            <w:pPr>
              <w:autoSpaceDE w:val="0"/>
              <w:autoSpaceDN w:val="0"/>
              <w:spacing w:line="360" w:lineRule="auto"/>
              <w:ind w:firstLine="480" w:firstLineChars="200"/>
              <w:jc w:val="left"/>
              <w:rPr>
                <w:rFonts w:ascii="Times New Roman" w:hAnsi="宋体" w:cs="宋体"/>
                <w:color w:val="auto"/>
                <w:sz w:val="24"/>
                <w:highlight w:val="none"/>
              </w:rPr>
            </w:pPr>
          </w:p>
        </w:tc>
      </w:tr>
      <w:tr w14:paraId="010D2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292" w:type="dxa"/>
          </w:tcPr>
          <w:p w14:paraId="2AAEA1BD">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6DFFC3AD">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94F5E7B">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0CFEB7BF">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2FCA2977">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7230B283">
            <w:pPr>
              <w:autoSpaceDE w:val="0"/>
              <w:autoSpaceDN w:val="0"/>
              <w:spacing w:line="360" w:lineRule="auto"/>
              <w:ind w:firstLine="480" w:firstLineChars="200"/>
              <w:jc w:val="left"/>
              <w:rPr>
                <w:rFonts w:ascii="Times New Roman" w:hAnsi="宋体" w:cs="宋体"/>
                <w:color w:val="auto"/>
                <w:sz w:val="24"/>
                <w:highlight w:val="none"/>
              </w:rPr>
            </w:pPr>
          </w:p>
        </w:tc>
      </w:tr>
    </w:tbl>
    <w:p w14:paraId="0CE4BC1B">
      <w:pPr>
        <w:spacing w:line="360" w:lineRule="auto"/>
        <w:ind w:right="-161"/>
        <w:rPr>
          <w:rFonts w:ascii="宋体" w:hAnsi="宋体"/>
          <w:color w:val="auto"/>
          <w:sz w:val="24"/>
          <w:szCs w:val="24"/>
          <w:highlight w:val="none"/>
        </w:rPr>
      </w:pPr>
      <w:r>
        <w:rPr>
          <w:rFonts w:hint="eastAsia" w:ascii="宋体" w:hAnsi="宋体"/>
          <w:color w:val="auto"/>
          <w:sz w:val="24"/>
          <w:szCs w:val="24"/>
          <w:highlight w:val="none"/>
        </w:rPr>
        <w:t>注：供应商应按</w:t>
      </w:r>
      <w:r>
        <w:rPr>
          <w:rFonts w:hint="eastAsia" w:ascii="宋体" w:hAnsi="宋体"/>
          <w:color w:val="auto"/>
          <w:sz w:val="24"/>
          <w:szCs w:val="24"/>
          <w:highlight w:val="none"/>
          <w:lang w:val="en-US" w:eastAsia="zh-CN"/>
        </w:rPr>
        <w:t>招标</w:t>
      </w:r>
      <w:r>
        <w:rPr>
          <w:rFonts w:hint="eastAsia" w:ascii="宋体" w:hAnsi="宋体"/>
          <w:color w:val="auto"/>
          <w:sz w:val="24"/>
          <w:szCs w:val="24"/>
          <w:highlight w:val="none"/>
        </w:rPr>
        <w:t>文件要求提供为本项目所有人员的相关证明材料（复印件并加盖公章）。</w:t>
      </w:r>
    </w:p>
    <w:p w14:paraId="43313479">
      <w:pPr>
        <w:tabs>
          <w:tab w:val="left" w:pos="2040"/>
        </w:tabs>
        <w:adjustRightInd w:val="0"/>
        <w:snapToGrid w:val="0"/>
        <w:spacing w:line="400" w:lineRule="exact"/>
        <w:jc w:val="left"/>
        <w:rPr>
          <w:rFonts w:ascii="宋体" w:hAnsi="宋体" w:cs="宋体"/>
          <w:b/>
          <w:color w:val="auto"/>
          <w:kern w:val="0"/>
          <w:sz w:val="24"/>
          <w:szCs w:val="21"/>
          <w:highlight w:val="none"/>
        </w:rPr>
      </w:pPr>
    </w:p>
    <w:p w14:paraId="6ED5BC29">
      <w:pPr>
        <w:tabs>
          <w:tab w:val="left" w:pos="2040"/>
        </w:tabs>
        <w:adjustRightInd w:val="0"/>
        <w:snapToGrid w:val="0"/>
        <w:spacing w:line="400" w:lineRule="exact"/>
        <w:jc w:val="left"/>
        <w:rPr>
          <w:rFonts w:ascii="宋体" w:hAnsi="宋体" w:cs="宋体"/>
          <w:b/>
          <w:color w:val="auto"/>
          <w:kern w:val="0"/>
          <w:sz w:val="24"/>
          <w:szCs w:val="21"/>
          <w:highlight w:val="none"/>
        </w:rPr>
      </w:pPr>
    </w:p>
    <w:p w14:paraId="020D35F9">
      <w:pPr>
        <w:tabs>
          <w:tab w:val="left" w:pos="2040"/>
        </w:tabs>
        <w:adjustRightInd w:val="0"/>
        <w:snapToGrid w:val="0"/>
        <w:spacing w:line="400" w:lineRule="exact"/>
        <w:jc w:val="left"/>
        <w:rPr>
          <w:rFonts w:ascii="宋体" w:hAnsi="宋体" w:cs="宋体"/>
          <w:b/>
          <w:color w:val="auto"/>
          <w:kern w:val="0"/>
          <w:sz w:val="24"/>
          <w:szCs w:val="21"/>
          <w:highlight w:val="none"/>
        </w:rPr>
      </w:pPr>
    </w:p>
    <w:p w14:paraId="4DF1BA96">
      <w:pPr>
        <w:spacing w:line="360" w:lineRule="auto"/>
        <w:ind w:right="-161"/>
        <w:rPr>
          <w:rFonts w:ascii="宋体" w:hAnsi="宋体" w:cs="仿宋_GB2312"/>
          <w:color w:val="auto"/>
          <w:sz w:val="24"/>
          <w:szCs w:val="24"/>
          <w:highlight w:val="none"/>
          <w:u w:val="single"/>
        </w:rPr>
      </w:pPr>
      <w:r>
        <w:rPr>
          <w:rFonts w:hint="eastAsia" w:ascii="宋体" w:hAnsi="宋体"/>
          <w:color w:val="auto"/>
          <w:sz w:val="24"/>
          <w:szCs w:val="24"/>
          <w:highlight w:val="none"/>
        </w:rPr>
        <w:t>法定代表人或被授权人：</w:t>
      </w:r>
      <w:r>
        <w:rPr>
          <w:rFonts w:hint="eastAsia" w:ascii="宋体" w:hAnsi="宋体" w:cs="仿宋"/>
          <w:color w:val="auto"/>
          <w:sz w:val="24"/>
          <w:szCs w:val="24"/>
          <w:highlight w:val="none"/>
        </w:rPr>
        <w:t>(签字或盖章)</w:t>
      </w:r>
    </w:p>
    <w:p w14:paraId="07279137">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供应商名称（盖章）</w:t>
      </w:r>
    </w:p>
    <w:p w14:paraId="7C650925">
      <w:pPr>
        <w:spacing w:line="360" w:lineRule="auto"/>
        <w:rPr>
          <w:rFonts w:ascii="宋体" w:hAnsi="宋体"/>
          <w:color w:val="auto"/>
          <w:sz w:val="24"/>
          <w:szCs w:val="24"/>
          <w:highlight w:val="none"/>
        </w:rPr>
      </w:pPr>
      <w:r>
        <w:rPr>
          <w:rFonts w:hint="eastAsia" w:ascii="宋体" w:hAnsi="宋体"/>
          <w:color w:val="auto"/>
          <w:sz w:val="24"/>
          <w:szCs w:val="24"/>
          <w:highlight w:val="none"/>
        </w:rPr>
        <w:t>日    期：    年     月     日</w:t>
      </w:r>
    </w:p>
    <w:bookmarkEnd w:id="17"/>
    <w:bookmarkEnd w:id="18"/>
    <w:bookmarkEnd w:id="19"/>
    <w:p w14:paraId="7010FAD0">
      <w:pPr>
        <w:autoSpaceDE w:val="0"/>
        <w:autoSpaceDN w:val="0"/>
        <w:adjustRightInd w:val="0"/>
        <w:spacing w:line="400" w:lineRule="exact"/>
        <w:textAlignment w:val="baseline"/>
        <w:rPr>
          <w:rFonts w:ascii="宋体" w:hAnsi="宋体" w:cs="宋体"/>
          <w:b/>
          <w:bCs/>
          <w:color w:val="auto"/>
          <w:kern w:val="20"/>
          <w:sz w:val="24"/>
          <w:szCs w:val="24"/>
          <w:highlight w:val="none"/>
        </w:rPr>
      </w:pPr>
      <w:bookmarkStart w:id="20" w:name="_Toc396304715"/>
      <w:bookmarkStart w:id="21" w:name="_Toc225567482"/>
      <w:bookmarkStart w:id="22" w:name="_Toc4548"/>
      <w:bookmarkStart w:id="23" w:name="_Toc426457711"/>
      <w:bookmarkStart w:id="24" w:name="_Toc225410182"/>
      <w:bookmarkStart w:id="25" w:name="_Toc225412172"/>
      <w:bookmarkStart w:id="26" w:name="_Toc225415660"/>
      <w:bookmarkStart w:id="27" w:name="_Toc225410808"/>
      <w:bookmarkStart w:id="28" w:name="_Toc26060"/>
      <w:bookmarkStart w:id="29" w:name="_Toc225416062"/>
      <w:bookmarkStart w:id="30" w:name="_Toc225412374"/>
      <w:bookmarkStart w:id="31" w:name="_Toc225566883"/>
      <w:bookmarkStart w:id="32" w:name="_Toc403077653"/>
      <w:bookmarkStart w:id="33" w:name="_Toc14010"/>
      <w:bookmarkStart w:id="34" w:name="_Toc16685"/>
      <w:bookmarkStart w:id="35" w:name="_Toc528240836"/>
      <w:bookmarkStart w:id="36" w:name="_Toc225409966"/>
      <w:bookmarkStart w:id="37" w:name="_Toc15882"/>
      <w:bookmarkStart w:id="38" w:name="_Toc225415861"/>
      <w:bookmarkStart w:id="39" w:name="_Toc341541376"/>
      <w:bookmarkStart w:id="40" w:name="_Toc225566702"/>
      <w:bookmarkStart w:id="41" w:name="_Toc484890091"/>
    </w:p>
    <w:p w14:paraId="3DF0BC9D">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p w14:paraId="28C7D7C8">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p w14:paraId="06633378">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p w14:paraId="33D2DA8F">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14:paraId="23611A33">
      <w:pPr>
        <w:rPr>
          <w:color w:val="auto"/>
          <w:highlight w:val="none"/>
        </w:rPr>
      </w:pPr>
    </w:p>
    <w:p w14:paraId="1DE21221">
      <w:pPr>
        <w:pStyle w:val="8"/>
        <w:ind w:left="0" w:leftChars="0" w:firstLine="0" w:firstLineChars="0"/>
        <w:rPr>
          <w:b/>
          <w:bCs/>
          <w:color w:val="auto"/>
          <w:sz w:val="24"/>
          <w:szCs w:val="24"/>
          <w:highlight w:val="none"/>
        </w:rPr>
      </w:pPr>
      <w:r>
        <w:rPr>
          <w:rFonts w:hint="eastAsia"/>
          <w:b/>
          <w:bCs/>
          <w:color w:val="auto"/>
          <w:kern w:val="20"/>
          <w:sz w:val="24"/>
          <w:szCs w:val="24"/>
          <w:highlight w:val="none"/>
        </w:rPr>
        <w:t>（二）</w:t>
      </w:r>
      <w:r>
        <w:rPr>
          <w:rFonts w:hint="eastAsia"/>
          <w:b/>
          <w:bCs/>
          <w:color w:val="auto"/>
          <w:sz w:val="24"/>
          <w:szCs w:val="24"/>
          <w:highlight w:val="none"/>
        </w:rPr>
        <w:t>业绩：</w:t>
      </w:r>
    </w:p>
    <w:tbl>
      <w:tblPr>
        <w:tblStyle w:val="26"/>
        <w:tblW w:w="92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667"/>
        <w:gridCol w:w="2690"/>
        <w:gridCol w:w="1872"/>
        <w:gridCol w:w="1933"/>
      </w:tblGrid>
      <w:tr w14:paraId="433B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056" w:type="dxa"/>
          </w:tcPr>
          <w:p w14:paraId="6FE42ECD">
            <w:pPr>
              <w:autoSpaceDE w:val="0"/>
              <w:autoSpaceDN w:val="0"/>
              <w:jc w:val="center"/>
              <w:rPr>
                <w:rFonts w:ascii="宋体" w:hAnsi="宋体" w:cs="宋体"/>
                <w:color w:val="auto"/>
                <w:sz w:val="24"/>
                <w:highlight w:val="none"/>
              </w:rPr>
            </w:pPr>
            <w:r>
              <w:rPr>
                <w:rFonts w:ascii="宋体" w:hAnsi="宋体" w:cs="宋体"/>
                <w:color w:val="auto"/>
                <w:sz w:val="24"/>
                <w:highlight w:val="none"/>
              </w:rPr>
              <w:t>序号</w:t>
            </w:r>
          </w:p>
        </w:tc>
        <w:tc>
          <w:tcPr>
            <w:tcW w:w="1667" w:type="dxa"/>
          </w:tcPr>
          <w:p w14:paraId="7E411D1A">
            <w:pPr>
              <w:autoSpaceDE w:val="0"/>
              <w:autoSpaceDN w:val="0"/>
              <w:jc w:val="center"/>
              <w:rPr>
                <w:rFonts w:ascii="宋体" w:hAnsi="宋体" w:cs="宋体"/>
                <w:color w:val="auto"/>
                <w:sz w:val="24"/>
                <w:highlight w:val="none"/>
              </w:rPr>
            </w:pPr>
            <w:r>
              <w:rPr>
                <w:rFonts w:ascii="宋体" w:hAnsi="宋体" w:cs="宋体"/>
                <w:color w:val="auto"/>
                <w:sz w:val="24"/>
                <w:highlight w:val="none"/>
              </w:rPr>
              <w:t>签订时间</w:t>
            </w:r>
          </w:p>
        </w:tc>
        <w:tc>
          <w:tcPr>
            <w:tcW w:w="2690" w:type="dxa"/>
          </w:tcPr>
          <w:p w14:paraId="7732B1F6">
            <w:pPr>
              <w:autoSpaceDE w:val="0"/>
              <w:autoSpaceDN w:val="0"/>
              <w:jc w:val="center"/>
              <w:rPr>
                <w:rFonts w:ascii="宋体" w:hAnsi="宋体" w:cs="宋体"/>
                <w:color w:val="auto"/>
                <w:sz w:val="24"/>
                <w:highlight w:val="none"/>
              </w:rPr>
            </w:pPr>
            <w:r>
              <w:rPr>
                <w:rFonts w:ascii="宋体" w:hAnsi="宋体" w:cs="宋体"/>
                <w:color w:val="auto"/>
                <w:sz w:val="24"/>
                <w:highlight w:val="none"/>
              </w:rPr>
              <w:t>项目名称</w:t>
            </w:r>
          </w:p>
        </w:tc>
        <w:tc>
          <w:tcPr>
            <w:tcW w:w="1872" w:type="dxa"/>
          </w:tcPr>
          <w:p w14:paraId="47E67FF0">
            <w:pPr>
              <w:autoSpaceDE w:val="0"/>
              <w:autoSpaceDN w:val="0"/>
              <w:jc w:val="center"/>
              <w:rPr>
                <w:rFonts w:ascii="宋体" w:hAnsi="宋体" w:cs="宋体"/>
                <w:color w:val="auto"/>
                <w:sz w:val="24"/>
                <w:highlight w:val="none"/>
              </w:rPr>
            </w:pPr>
            <w:r>
              <w:rPr>
                <w:rFonts w:ascii="宋体" w:hAnsi="宋体" w:cs="宋体"/>
                <w:color w:val="auto"/>
                <w:sz w:val="24"/>
                <w:highlight w:val="none"/>
              </w:rPr>
              <w:t>合同金额</w:t>
            </w:r>
          </w:p>
        </w:tc>
        <w:tc>
          <w:tcPr>
            <w:tcW w:w="1933" w:type="dxa"/>
          </w:tcPr>
          <w:p w14:paraId="0544A19F">
            <w:pPr>
              <w:autoSpaceDE w:val="0"/>
              <w:autoSpaceDN w:val="0"/>
              <w:jc w:val="center"/>
              <w:rPr>
                <w:rFonts w:ascii="宋体" w:hAnsi="宋体" w:cs="宋体"/>
                <w:color w:val="auto"/>
                <w:sz w:val="24"/>
                <w:highlight w:val="none"/>
              </w:rPr>
            </w:pPr>
            <w:r>
              <w:rPr>
                <w:rFonts w:ascii="宋体" w:hAnsi="宋体" w:cs="宋体"/>
                <w:color w:val="auto"/>
                <w:sz w:val="24"/>
                <w:highlight w:val="none"/>
              </w:rPr>
              <w:t>备注</w:t>
            </w:r>
          </w:p>
        </w:tc>
      </w:tr>
      <w:tr w14:paraId="33CF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449639E">
            <w:pPr>
              <w:autoSpaceDE w:val="0"/>
              <w:autoSpaceDN w:val="0"/>
              <w:adjustRightInd w:val="0"/>
              <w:spacing w:line="360" w:lineRule="auto"/>
              <w:jc w:val="center"/>
              <w:rPr>
                <w:rFonts w:ascii="宋体" w:hAnsi="宋体" w:cs="宋体"/>
                <w:color w:val="auto"/>
                <w:sz w:val="24"/>
                <w:highlight w:val="none"/>
              </w:rPr>
            </w:pPr>
          </w:p>
        </w:tc>
        <w:tc>
          <w:tcPr>
            <w:tcW w:w="1667" w:type="dxa"/>
          </w:tcPr>
          <w:p w14:paraId="06B8C51D">
            <w:pPr>
              <w:autoSpaceDE w:val="0"/>
              <w:autoSpaceDN w:val="0"/>
              <w:adjustRightInd w:val="0"/>
              <w:spacing w:line="360" w:lineRule="auto"/>
              <w:jc w:val="center"/>
              <w:rPr>
                <w:rFonts w:ascii="宋体" w:hAnsi="宋体" w:cs="宋体"/>
                <w:color w:val="auto"/>
                <w:sz w:val="24"/>
                <w:highlight w:val="none"/>
              </w:rPr>
            </w:pPr>
          </w:p>
        </w:tc>
        <w:tc>
          <w:tcPr>
            <w:tcW w:w="2690" w:type="dxa"/>
          </w:tcPr>
          <w:p w14:paraId="60F2D3C1">
            <w:pPr>
              <w:autoSpaceDE w:val="0"/>
              <w:autoSpaceDN w:val="0"/>
              <w:adjustRightInd w:val="0"/>
              <w:spacing w:line="360" w:lineRule="auto"/>
              <w:jc w:val="center"/>
              <w:rPr>
                <w:rFonts w:ascii="宋体" w:hAnsi="宋体" w:cs="宋体"/>
                <w:color w:val="auto"/>
                <w:sz w:val="24"/>
                <w:highlight w:val="none"/>
              </w:rPr>
            </w:pPr>
          </w:p>
        </w:tc>
        <w:tc>
          <w:tcPr>
            <w:tcW w:w="1872" w:type="dxa"/>
          </w:tcPr>
          <w:p w14:paraId="72BEAFE2">
            <w:pPr>
              <w:autoSpaceDE w:val="0"/>
              <w:autoSpaceDN w:val="0"/>
              <w:adjustRightInd w:val="0"/>
              <w:spacing w:line="360" w:lineRule="auto"/>
              <w:jc w:val="center"/>
              <w:rPr>
                <w:rFonts w:ascii="宋体" w:hAnsi="宋体" w:cs="宋体"/>
                <w:color w:val="auto"/>
                <w:sz w:val="24"/>
                <w:highlight w:val="none"/>
              </w:rPr>
            </w:pPr>
          </w:p>
        </w:tc>
        <w:tc>
          <w:tcPr>
            <w:tcW w:w="1933" w:type="dxa"/>
          </w:tcPr>
          <w:p w14:paraId="58EB03F9">
            <w:pPr>
              <w:autoSpaceDE w:val="0"/>
              <w:autoSpaceDN w:val="0"/>
              <w:adjustRightInd w:val="0"/>
              <w:spacing w:line="360" w:lineRule="auto"/>
              <w:jc w:val="center"/>
              <w:rPr>
                <w:rFonts w:ascii="宋体" w:hAnsi="宋体" w:cs="宋体"/>
                <w:color w:val="auto"/>
                <w:sz w:val="24"/>
                <w:highlight w:val="none"/>
              </w:rPr>
            </w:pPr>
          </w:p>
        </w:tc>
      </w:tr>
      <w:tr w14:paraId="1293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0EB2E4D1">
            <w:pPr>
              <w:autoSpaceDE w:val="0"/>
              <w:autoSpaceDN w:val="0"/>
              <w:adjustRightInd w:val="0"/>
              <w:spacing w:line="360" w:lineRule="auto"/>
              <w:jc w:val="center"/>
              <w:rPr>
                <w:rFonts w:ascii="宋体" w:hAnsi="宋体" w:cs="宋体"/>
                <w:color w:val="auto"/>
                <w:sz w:val="24"/>
                <w:highlight w:val="none"/>
              </w:rPr>
            </w:pPr>
          </w:p>
        </w:tc>
        <w:tc>
          <w:tcPr>
            <w:tcW w:w="1667" w:type="dxa"/>
          </w:tcPr>
          <w:p w14:paraId="2604FCED">
            <w:pPr>
              <w:autoSpaceDE w:val="0"/>
              <w:autoSpaceDN w:val="0"/>
              <w:adjustRightInd w:val="0"/>
              <w:spacing w:line="360" w:lineRule="auto"/>
              <w:jc w:val="center"/>
              <w:rPr>
                <w:rFonts w:ascii="宋体" w:hAnsi="宋体" w:cs="宋体"/>
                <w:color w:val="auto"/>
                <w:sz w:val="24"/>
                <w:highlight w:val="none"/>
              </w:rPr>
            </w:pPr>
          </w:p>
        </w:tc>
        <w:tc>
          <w:tcPr>
            <w:tcW w:w="2690" w:type="dxa"/>
          </w:tcPr>
          <w:p w14:paraId="4D4DD30C">
            <w:pPr>
              <w:autoSpaceDE w:val="0"/>
              <w:autoSpaceDN w:val="0"/>
              <w:adjustRightInd w:val="0"/>
              <w:spacing w:line="360" w:lineRule="auto"/>
              <w:jc w:val="center"/>
              <w:rPr>
                <w:rFonts w:ascii="宋体" w:hAnsi="宋体" w:cs="宋体"/>
                <w:color w:val="auto"/>
                <w:sz w:val="24"/>
                <w:highlight w:val="none"/>
              </w:rPr>
            </w:pPr>
          </w:p>
        </w:tc>
        <w:tc>
          <w:tcPr>
            <w:tcW w:w="1872" w:type="dxa"/>
          </w:tcPr>
          <w:p w14:paraId="7CC8699C">
            <w:pPr>
              <w:autoSpaceDE w:val="0"/>
              <w:autoSpaceDN w:val="0"/>
              <w:adjustRightInd w:val="0"/>
              <w:spacing w:line="360" w:lineRule="auto"/>
              <w:jc w:val="center"/>
              <w:rPr>
                <w:rFonts w:ascii="宋体" w:hAnsi="宋体" w:cs="宋体"/>
                <w:color w:val="auto"/>
                <w:sz w:val="24"/>
                <w:highlight w:val="none"/>
              </w:rPr>
            </w:pPr>
          </w:p>
        </w:tc>
        <w:tc>
          <w:tcPr>
            <w:tcW w:w="1933" w:type="dxa"/>
          </w:tcPr>
          <w:p w14:paraId="4A765D2A">
            <w:pPr>
              <w:autoSpaceDE w:val="0"/>
              <w:autoSpaceDN w:val="0"/>
              <w:adjustRightInd w:val="0"/>
              <w:spacing w:line="360" w:lineRule="auto"/>
              <w:jc w:val="center"/>
              <w:rPr>
                <w:rFonts w:ascii="宋体" w:hAnsi="宋体" w:cs="宋体"/>
                <w:color w:val="auto"/>
                <w:sz w:val="24"/>
                <w:highlight w:val="none"/>
              </w:rPr>
            </w:pPr>
          </w:p>
        </w:tc>
      </w:tr>
      <w:tr w14:paraId="32D9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2E0B818D">
            <w:pPr>
              <w:autoSpaceDE w:val="0"/>
              <w:autoSpaceDN w:val="0"/>
              <w:adjustRightInd w:val="0"/>
              <w:spacing w:line="360" w:lineRule="auto"/>
              <w:jc w:val="center"/>
              <w:rPr>
                <w:rFonts w:ascii="宋体" w:hAnsi="宋体" w:cs="宋体"/>
                <w:color w:val="auto"/>
                <w:sz w:val="24"/>
                <w:highlight w:val="none"/>
              </w:rPr>
            </w:pPr>
          </w:p>
        </w:tc>
        <w:tc>
          <w:tcPr>
            <w:tcW w:w="1667" w:type="dxa"/>
          </w:tcPr>
          <w:p w14:paraId="6A92D066">
            <w:pPr>
              <w:autoSpaceDE w:val="0"/>
              <w:autoSpaceDN w:val="0"/>
              <w:adjustRightInd w:val="0"/>
              <w:spacing w:line="360" w:lineRule="auto"/>
              <w:jc w:val="center"/>
              <w:rPr>
                <w:rFonts w:ascii="宋体" w:hAnsi="宋体" w:cs="宋体"/>
                <w:color w:val="auto"/>
                <w:sz w:val="24"/>
                <w:highlight w:val="none"/>
              </w:rPr>
            </w:pPr>
          </w:p>
        </w:tc>
        <w:tc>
          <w:tcPr>
            <w:tcW w:w="2690" w:type="dxa"/>
          </w:tcPr>
          <w:p w14:paraId="1D61E53C">
            <w:pPr>
              <w:autoSpaceDE w:val="0"/>
              <w:autoSpaceDN w:val="0"/>
              <w:adjustRightInd w:val="0"/>
              <w:spacing w:line="360" w:lineRule="auto"/>
              <w:jc w:val="center"/>
              <w:rPr>
                <w:rFonts w:ascii="宋体" w:hAnsi="宋体" w:cs="宋体"/>
                <w:color w:val="auto"/>
                <w:sz w:val="24"/>
                <w:highlight w:val="none"/>
              </w:rPr>
            </w:pPr>
          </w:p>
        </w:tc>
        <w:tc>
          <w:tcPr>
            <w:tcW w:w="1872" w:type="dxa"/>
          </w:tcPr>
          <w:p w14:paraId="6EFF16F5">
            <w:pPr>
              <w:autoSpaceDE w:val="0"/>
              <w:autoSpaceDN w:val="0"/>
              <w:adjustRightInd w:val="0"/>
              <w:spacing w:line="360" w:lineRule="auto"/>
              <w:jc w:val="center"/>
              <w:rPr>
                <w:rFonts w:ascii="宋体" w:hAnsi="宋体" w:cs="宋体"/>
                <w:color w:val="auto"/>
                <w:sz w:val="24"/>
                <w:highlight w:val="none"/>
              </w:rPr>
            </w:pPr>
          </w:p>
        </w:tc>
        <w:tc>
          <w:tcPr>
            <w:tcW w:w="1933" w:type="dxa"/>
          </w:tcPr>
          <w:p w14:paraId="7C9F439A">
            <w:pPr>
              <w:autoSpaceDE w:val="0"/>
              <w:autoSpaceDN w:val="0"/>
              <w:adjustRightInd w:val="0"/>
              <w:spacing w:line="360" w:lineRule="auto"/>
              <w:jc w:val="center"/>
              <w:rPr>
                <w:rFonts w:ascii="宋体" w:hAnsi="宋体" w:cs="宋体"/>
                <w:color w:val="auto"/>
                <w:sz w:val="24"/>
                <w:highlight w:val="none"/>
              </w:rPr>
            </w:pPr>
          </w:p>
        </w:tc>
      </w:tr>
      <w:tr w14:paraId="3FCF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0D5A292">
            <w:pPr>
              <w:autoSpaceDE w:val="0"/>
              <w:autoSpaceDN w:val="0"/>
              <w:adjustRightInd w:val="0"/>
              <w:spacing w:line="360" w:lineRule="auto"/>
              <w:jc w:val="center"/>
              <w:rPr>
                <w:rFonts w:ascii="宋体" w:hAnsi="宋体" w:cs="宋体"/>
                <w:color w:val="auto"/>
                <w:sz w:val="24"/>
                <w:highlight w:val="none"/>
              </w:rPr>
            </w:pPr>
          </w:p>
        </w:tc>
        <w:tc>
          <w:tcPr>
            <w:tcW w:w="1667" w:type="dxa"/>
          </w:tcPr>
          <w:p w14:paraId="7FD5DFCF">
            <w:pPr>
              <w:autoSpaceDE w:val="0"/>
              <w:autoSpaceDN w:val="0"/>
              <w:adjustRightInd w:val="0"/>
              <w:spacing w:line="360" w:lineRule="auto"/>
              <w:jc w:val="center"/>
              <w:rPr>
                <w:rFonts w:ascii="宋体" w:hAnsi="宋体" w:cs="宋体"/>
                <w:color w:val="auto"/>
                <w:sz w:val="24"/>
                <w:highlight w:val="none"/>
              </w:rPr>
            </w:pPr>
          </w:p>
        </w:tc>
        <w:tc>
          <w:tcPr>
            <w:tcW w:w="2690" w:type="dxa"/>
          </w:tcPr>
          <w:p w14:paraId="187327BE">
            <w:pPr>
              <w:autoSpaceDE w:val="0"/>
              <w:autoSpaceDN w:val="0"/>
              <w:adjustRightInd w:val="0"/>
              <w:spacing w:line="360" w:lineRule="auto"/>
              <w:jc w:val="center"/>
              <w:rPr>
                <w:rFonts w:ascii="宋体" w:hAnsi="宋体" w:cs="宋体"/>
                <w:color w:val="auto"/>
                <w:sz w:val="24"/>
                <w:highlight w:val="none"/>
              </w:rPr>
            </w:pPr>
          </w:p>
        </w:tc>
        <w:tc>
          <w:tcPr>
            <w:tcW w:w="1872" w:type="dxa"/>
          </w:tcPr>
          <w:p w14:paraId="45A316B0">
            <w:pPr>
              <w:autoSpaceDE w:val="0"/>
              <w:autoSpaceDN w:val="0"/>
              <w:adjustRightInd w:val="0"/>
              <w:spacing w:line="360" w:lineRule="auto"/>
              <w:jc w:val="center"/>
              <w:rPr>
                <w:rFonts w:ascii="宋体" w:hAnsi="宋体" w:cs="宋体"/>
                <w:color w:val="auto"/>
                <w:sz w:val="24"/>
                <w:highlight w:val="none"/>
              </w:rPr>
            </w:pPr>
          </w:p>
        </w:tc>
        <w:tc>
          <w:tcPr>
            <w:tcW w:w="1933" w:type="dxa"/>
          </w:tcPr>
          <w:p w14:paraId="0D3EE866">
            <w:pPr>
              <w:autoSpaceDE w:val="0"/>
              <w:autoSpaceDN w:val="0"/>
              <w:adjustRightInd w:val="0"/>
              <w:spacing w:line="360" w:lineRule="auto"/>
              <w:jc w:val="center"/>
              <w:rPr>
                <w:rFonts w:ascii="宋体" w:hAnsi="宋体" w:cs="宋体"/>
                <w:color w:val="auto"/>
                <w:sz w:val="24"/>
                <w:highlight w:val="none"/>
              </w:rPr>
            </w:pPr>
          </w:p>
        </w:tc>
      </w:tr>
      <w:tr w14:paraId="6801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3240B725">
            <w:pPr>
              <w:autoSpaceDE w:val="0"/>
              <w:autoSpaceDN w:val="0"/>
              <w:adjustRightInd w:val="0"/>
              <w:spacing w:line="360" w:lineRule="auto"/>
              <w:jc w:val="center"/>
              <w:rPr>
                <w:rFonts w:ascii="宋体" w:hAnsi="宋体" w:cs="宋体"/>
                <w:color w:val="auto"/>
                <w:sz w:val="24"/>
                <w:highlight w:val="none"/>
              </w:rPr>
            </w:pPr>
          </w:p>
        </w:tc>
        <w:tc>
          <w:tcPr>
            <w:tcW w:w="1667" w:type="dxa"/>
          </w:tcPr>
          <w:p w14:paraId="41793FB6">
            <w:pPr>
              <w:autoSpaceDE w:val="0"/>
              <w:autoSpaceDN w:val="0"/>
              <w:adjustRightInd w:val="0"/>
              <w:spacing w:line="360" w:lineRule="auto"/>
              <w:jc w:val="center"/>
              <w:rPr>
                <w:rFonts w:ascii="宋体" w:hAnsi="宋体" w:cs="宋体"/>
                <w:color w:val="auto"/>
                <w:sz w:val="24"/>
                <w:highlight w:val="none"/>
              </w:rPr>
            </w:pPr>
          </w:p>
        </w:tc>
        <w:tc>
          <w:tcPr>
            <w:tcW w:w="2690" w:type="dxa"/>
          </w:tcPr>
          <w:p w14:paraId="75CDEC37">
            <w:pPr>
              <w:autoSpaceDE w:val="0"/>
              <w:autoSpaceDN w:val="0"/>
              <w:adjustRightInd w:val="0"/>
              <w:spacing w:line="360" w:lineRule="auto"/>
              <w:jc w:val="center"/>
              <w:rPr>
                <w:rFonts w:ascii="宋体" w:hAnsi="宋体" w:cs="宋体"/>
                <w:color w:val="auto"/>
                <w:sz w:val="24"/>
                <w:highlight w:val="none"/>
              </w:rPr>
            </w:pPr>
          </w:p>
        </w:tc>
        <w:tc>
          <w:tcPr>
            <w:tcW w:w="1872" w:type="dxa"/>
          </w:tcPr>
          <w:p w14:paraId="20C2F020">
            <w:pPr>
              <w:autoSpaceDE w:val="0"/>
              <w:autoSpaceDN w:val="0"/>
              <w:adjustRightInd w:val="0"/>
              <w:spacing w:line="360" w:lineRule="auto"/>
              <w:jc w:val="center"/>
              <w:rPr>
                <w:rFonts w:ascii="宋体" w:hAnsi="宋体" w:cs="宋体"/>
                <w:color w:val="auto"/>
                <w:sz w:val="24"/>
                <w:highlight w:val="none"/>
              </w:rPr>
            </w:pPr>
          </w:p>
        </w:tc>
        <w:tc>
          <w:tcPr>
            <w:tcW w:w="1933" w:type="dxa"/>
          </w:tcPr>
          <w:p w14:paraId="6E444C1F">
            <w:pPr>
              <w:autoSpaceDE w:val="0"/>
              <w:autoSpaceDN w:val="0"/>
              <w:adjustRightInd w:val="0"/>
              <w:spacing w:line="360" w:lineRule="auto"/>
              <w:jc w:val="center"/>
              <w:rPr>
                <w:rFonts w:ascii="宋体" w:hAnsi="宋体" w:cs="宋体"/>
                <w:color w:val="auto"/>
                <w:sz w:val="24"/>
                <w:highlight w:val="none"/>
              </w:rPr>
            </w:pPr>
          </w:p>
        </w:tc>
      </w:tr>
      <w:tr w14:paraId="5AA9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5A79C0D">
            <w:pPr>
              <w:autoSpaceDE w:val="0"/>
              <w:autoSpaceDN w:val="0"/>
              <w:adjustRightInd w:val="0"/>
              <w:spacing w:line="360" w:lineRule="auto"/>
              <w:jc w:val="center"/>
              <w:rPr>
                <w:rFonts w:ascii="宋体" w:hAnsi="宋体" w:cs="宋体"/>
                <w:color w:val="auto"/>
                <w:sz w:val="24"/>
                <w:highlight w:val="none"/>
              </w:rPr>
            </w:pPr>
          </w:p>
        </w:tc>
        <w:tc>
          <w:tcPr>
            <w:tcW w:w="1667" w:type="dxa"/>
          </w:tcPr>
          <w:p w14:paraId="646CD7B7">
            <w:pPr>
              <w:autoSpaceDE w:val="0"/>
              <w:autoSpaceDN w:val="0"/>
              <w:adjustRightInd w:val="0"/>
              <w:spacing w:line="360" w:lineRule="auto"/>
              <w:jc w:val="center"/>
              <w:rPr>
                <w:rFonts w:ascii="宋体" w:hAnsi="宋体" w:cs="宋体"/>
                <w:color w:val="auto"/>
                <w:sz w:val="24"/>
                <w:highlight w:val="none"/>
              </w:rPr>
            </w:pPr>
          </w:p>
        </w:tc>
        <w:tc>
          <w:tcPr>
            <w:tcW w:w="2690" w:type="dxa"/>
          </w:tcPr>
          <w:p w14:paraId="46608DD9">
            <w:pPr>
              <w:autoSpaceDE w:val="0"/>
              <w:autoSpaceDN w:val="0"/>
              <w:adjustRightInd w:val="0"/>
              <w:spacing w:line="360" w:lineRule="auto"/>
              <w:jc w:val="center"/>
              <w:rPr>
                <w:rFonts w:ascii="宋体" w:hAnsi="宋体" w:cs="宋体"/>
                <w:color w:val="auto"/>
                <w:sz w:val="24"/>
                <w:highlight w:val="none"/>
              </w:rPr>
            </w:pPr>
          </w:p>
        </w:tc>
        <w:tc>
          <w:tcPr>
            <w:tcW w:w="1872" w:type="dxa"/>
          </w:tcPr>
          <w:p w14:paraId="6A5F859F">
            <w:pPr>
              <w:autoSpaceDE w:val="0"/>
              <w:autoSpaceDN w:val="0"/>
              <w:adjustRightInd w:val="0"/>
              <w:spacing w:line="360" w:lineRule="auto"/>
              <w:jc w:val="center"/>
              <w:rPr>
                <w:rFonts w:ascii="宋体" w:hAnsi="宋体" w:cs="宋体"/>
                <w:color w:val="auto"/>
                <w:sz w:val="24"/>
                <w:highlight w:val="none"/>
              </w:rPr>
            </w:pPr>
          </w:p>
        </w:tc>
        <w:tc>
          <w:tcPr>
            <w:tcW w:w="1933" w:type="dxa"/>
          </w:tcPr>
          <w:p w14:paraId="46B7C572">
            <w:pPr>
              <w:autoSpaceDE w:val="0"/>
              <w:autoSpaceDN w:val="0"/>
              <w:adjustRightInd w:val="0"/>
              <w:spacing w:line="360" w:lineRule="auto"/>
              <w:jc w:val="center"/>
              <w:rPr>
                <w:rFonts w:ascii="宋体" w:hAnsi="宋体" w:cs="宋体"/>
                <w:color w:val="auto"/>
                <w:sz w:val="24"/>
                <w:highlight w:val="none"/>
              </w:rPr>
            </w:pPr>
          </w:p>
        </w:tc>
      </w:tr>
      <w:tr w14:paraId="4AD3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5086B47">
            <w:pPr>
              <w:autoSpaceDE w:val="0"/>
              <w:autoSpaceDN w:val="0"/>
              <w:adjustRightInd w:val="0"/>
              <w:spacing w:line="360" w:lineRule="auto"/>
              <w:jc w:val="center"/>
              <w:rPr>
                <w:rFonts w:ascii="宋体" w:hAnsi="宋体" w:cs="宋体"/>
                <w:color w:val="auto"/>
                <w:sz w:val="24"/>
                <w:highlight w:val="none"/>
              </w:rPr>
            </w:pPr>
          </w:p>
        </w:tc>
        <w:tc>
          <w:tcPr>
            <w:tcW w:w="1667" w:type="dxa"/>
          </w:tcPr>
          <w:p w14:paraId="25B5903A">
            <w:pPr>
              <w:autoSpaceDE w:val="0"/>
              <w:autoSpaceDN w:val="0"/>
              <w:adjustRightInd w:val="0"/>
              <w:spacing w:line="360" w:lineRule="auto"/>
              <w:jc w:val="center"/>
              <w:rPr>
                <w:rFonts w:ascii="宋体" w:hAnsi="宋体" w:cs="宋体"/>
                <w:color w:val="auto"/>
                <w:sz w:val="24"/>
                <w:highlight w:val="none"/>
              </w:rPr>
            </w:pPr>
          </w:p>
        </w:tc>
        <w:tc>
          <w:tcPr>
            <w:tcW w:w="2690" w:type="dxa"/>
          </w:tcPr>
          <w:p w14:paraId="2160E9A2">
            <w:pPr>
              <w:autoSpaceDE w:val="0"/>
              <w:autoSpaceDN w:val="0"/>
              <w:adjustRightInd w:val="0"/>
              <w:spacing w:line="360" w:lineRule="auto"/>
              <w:jc w:val="center"/>
              <w:rPr>
                <w:rFonts w:ascii="宋体" w:hAnsi="宋体" w:cs="宋体"/>
                <w:color w:val="auto"/>
                <w:sz w:val="24"/>
                <w:highlight w:val="none"/>
              </w:rPr>
            </w:pPr>
          </w:p>
        </w:tc>
        <w:tc>
          <w:tcPr>
            <w:tcW w:w="1872" w:type="dxa"/>
          </w:tcPr>
          <w:p w14:paraId="7481738F">
            <w:pPr>
              <w:autoSpaceDE w:val="0"/>
              <w:autoSpaceDN w:val="0"/>
              <w:adjustRightInd w:val="0"/>
              <w:spacing w:line="360" w:lineRule="auto"/>
              <w:jc w:val="center"/>
              <w:rPr>
                <w:rFonts w:ascii="宋体" w:hAnsi="宋体" w:cs="宋体"/>
                <w:color w:val="auto"/>
                <w:sz w:val="24"/>
                <w:highlight w:val="none"/>
              </w:rPr>
            </w:pPr>
          </w:p>
        </w:tc>
        <w:tc>
          <w:tcPr>
            <w:tcW w:w="1933" w:type="dxa"/>
          </w:tcPr>
          <w:p w14:paraId="7ADC7514">
            <w:pPr>
              <w:autoSpaceDE w:val="0"/>
              <w:autoSpaceDN w:val="0"/>
              <w:adjustRightInd w:val="0"/>
              <w:spacing w:line="360" w:lineRule="auto"/>
              <w:jc w:val="center"/>
              <w:rPr>
                <w:rFonts w:ascii="宋体" w:hAnsi="宋体" w:cs="宋体"/>
                <w:color w:val="auto"/>
                <w:sz w:val="24"/>
                <w:highlight w:val="none"/>
              </w:rPr>
            </w:pPr>
          </w:p>
        </w:tc>
      </w:tr>
      <w:tr w14:paraId="6F2DA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7DF7F2DA">
            <w:pPr>
              <w:autoSpaceDE w:val="0"/>
              <w:autoSpaceDN w:val="0"/>
              <w:adjustRightInd w:val="0"/>
              <w:spacing w:line="360" w:lineRule="auto"/>
              <w:jc w:val="center"/>
              <w:rPr>
                <w:rFonts w:ascii="宋体" w:hAnsi="宋体" w:cs="宋体"/>
                <w:color w:val="auto"/>
                <w:sz w:val="24"/>
                <w:highlight w:val="none"/>
              </w:rPr>
            </w:pPr>
          </w:p>
        </w:tc>
        <w:tc>
          <w:tcPr>
            <w:tcW w:w="1667" w:type="dxa"/>
          </w:tcPr>
          <w:p w14:paraId="17D1D981">
            <w:pPr>
              <w:autoSpaceDE w:val="0"/>
              <w:autoSpaceDN w:val="0"/>
              <w:adjustRightInd w:val="0"/>
              <w:spacing w:line="360" w:lineRule="auto"/>
              <w:jc w:val="center"/>
              <w:rPr>
                <w:rFonts w:ascii="宋体" w:hAnsi="宋体" w:cs="宋体"/>
                <w:color w:val="auto"/>
                <w:sz w:val="24"/>
                <w:highlight w:val="none"/>
              </w:rPr>
            </w:pPr>
          </w:p>
        </w:tc>
        <w:tc>
          <w:tcPr>
            <w:tcW w:w="2690" w:type="dxa"/>
          </w:tcPr>
          <w:p w14:paraId="02DEBECD">
            <w:pPr>
              <w:autoSpaceDE w:val="0"/>
              <w:autoSpaceDN w:val="0"/>
              <w:adjustRightInd w:val="0"/>
              <w:spacing w:line="360" w:lineRule="auto"/>
              <w:jc w:val="center"/>
              <w:rPr>
                <w:rFonts w:ascii="宋体" w:hAnsi="宋体" w:cs="宋体"/>
                <w:color w:val="auto"/>
                <w:sz w:val="24"/>
                <w:highlight w:val="none"/>
              </w:rPr>
            </w:pPr>
          </w:p>
        </w:tc>
        <w:tc>
          <w:tcPr>
            <w:tcW w:w="1872" w:type="dxa"/>
          </w:tcPr>
          <w:p w14:paraId="4751228B">
            <w:pPr>
              <w:autoSpaceDE w:val="0"/>
              <w:autoSpaceDN w:val="0"/>
              <w:adjustRightInd w:val="0"/>
              <w:spacing w:line="360" w:lineRule="auto"/>
              <w:jc w:val="center"/>
              <w:rPr>
                <w:rFonts w:ascii="宋体" w:hAnsi="宋体" w:cs="宋体"/>
                <w:color w:val="auto"/>
                <w:sz w:val="24"/>
                <w:highlight w:val="none"/>
              </w:rPr>
            </w:pPr>
          </w:p>
        </w:tc>
        <w:tc>
          <w:tcPr>
            <w:tcW w:w="1933" w:type="dxa"/>
          </w:tcPr>
          <w:p w14:paraId="25978A80">
            <w:pPr>
              <w:autoSpaceDE w:val="0"/>
              <w:autoSpaceDN w:val="0"/>
              <w:adjustRightInd w:val="0"/>
              <w:spacing w:line="360" w:lineRule="auto"/>
              <w:jc w:val="center"/>
              <w:rPr>
                <w:rFonts w:ascii="宋体" w:hAnsi="宋体" w:cs="宋体"/>
                <w:color w:val="auto"/>
                <w:sz w:val="24"/>
                <w:highlight w:val="none"/>
              </w:rPr>
            </w:pPr>
          </w:p>
        </w:tc>
      </w:tr>
      <w:tr w14:paraId="6B4DF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056" w:type="dxa"/>
          </w:tcPr>
          <w:p w14:paraId="7A615017">
            <w:pPr>
              <w:autoSpaceDE w:val="0"/>
              <w:autoSpaceDN w:val="0"/>
              <w:adjustRightInd w:val="0"/>
              <w:spacing w:line="360" w:lineRule="auto"/>
              <w:jc w:val="center"/>
              <w:rPr>
                <w:rFonts w:ascii="宋体" w:hAnsi="宋体" w:cs="宋体"/>
                <w:color w:val="auto"/>
                <w:sz w:val="24"/>
                <w:highlight w:val="none"/>
              </w:rPr>
            </w:pPr>
          </w:p>
        </w:tc>
        <w:tc>
          <w:tcPr>
            <w:tcW w:w="1667" w:type="dxa"/>
          </w:tcPr>
          <w:p w14:paraId="25481441">
            <w:pPr>
              <w:autoSpaceDE w:val="0"/>
              <w:autoSpaceDN w:val="0"/>
              <w:adjustRightInd w:val="0"/>
              <w:spacing w:line="360" w:lineRule="auto"/>
              <w:jc w:val="center"/>
              <w:rPr>
                <w:rFonts w:ascii="宋体" w:hAnsi="宋体" w:cs="宋体"/>
                <w:color w:val="auto"/>
                <w:sz w:val="24"/>
                <w:highlight w:val="none"/>
              </w:rPr>
            </w:pPr>
          </w:p>
        </w:tc>
        <w:tc>
          <w:tcPr>
            <w:tcW w:w="2690" w:type="dxa"/>
          </w:tcPr>
          <w:p w14:paraId="26B2CB13">
            <w:pPr>
              <w:autoSpaceDE w:val="0"/>
              <w:autoSpaceDN w:val="0"/>
              <w:adjustRightInd w:val="0"/>
              <w:spacing w:line="360" w:lineRule="auto"/>
              <w:jc w:val="center"/>
              <w:rPr>
                <w:rFonts w:ascii="宋体" w:hAnsi="宋体" w:cs="宋体"/>
                <w:color w:val="auto"/>
                <w:sz w:val="24"/>
                <w:highlight w:val="none"/>
              </w:rPr>
            </w:pPr>
          </w:p>
        </w:tc>
        <w:tc>
          <w:tcPr>
            <w:tcW w:w="1872" w:type="dxa"/>
          </w:tcPr>
          <w:p w14:paraId="5EDF8D1B">
            <w:pPr>
              <w:autoSpaceDE w:val="0"/>
              <w:autoSpaceDN w:val="0"/>
              <w:adjustRightInd w:val="0"/>
              <w:spacing w:line="360" w:lineRule="auto"/>
              <w:jc w:val="center"/>
              <w:rPr>
                <w:rFonts w:ascii="宋体" w:hAnsi="宋体" w:cs="宋体"/>
                <w:color w:val="auto"/>
                <w:sz w:val="24"/>
                <w:highlight w:val="none"/>
              </w:rPr>
            </w:pPr>
          </w:p>
        </w:tc>
        <w:tc>
          <w:tcPr>
            <w:tcW w:w="1933" w:type="dxa"/>
          </w:tcPr>
          <w:p w14:paraId="2AC1B7F9">
            <w:pPr>
              <w:autoSpaceDE w:val="0"/>
              <w:autoSpaceDN w:val="0"/>
              <w:adjustRightInd w:val="0"/>
              <w:spacing w:line="360" w:lineRule="auto"/>
              <w:jc w:val="center"/>
              <w:rPr>
                <w:rFonts w:ascii="宋体" w:hAnsi="宋体" w:cs="宋体"/>
                <w:color w:val="auto"/>
                <w:sz w:val="24"/>
                <w:highlight w:val="none"/>
              </w:rPr>
            </w:pPr>
          </w:p>
        </w:tc>
      </w:tr>
    </w:tbl>
    <w:p w14:paraId="42058A0E">
      <w:pPr>
        <w:spacing w:line="360" w:lineRule="auto"/>
        <w:jc w:val="center"/>
        <w:outlineLvl w:val="0"/>
        <w:rPr>
          <w:rFonts w:ascii="宋体" w:hAnsi="宋体" w:cs="宋体"/>
          <w:color w:val="auto"/>
          <w:sz w:val="24"/>
          <w:szCs w:val="24"/>
          <w:highlight w:val="none"/>
        </w:rPr>
      </w:pPr>
    </w:p>
    <w:p w14:paraId="3CF04876">
      <w:pPr>
        <w:jc w:val="left"/>
        <w:rPr>
          <w:rFonts w:ascii="宋体" w:hAnsi="宋体" w:cs="宋体"/>
          <w:color w:val="auto"/>
          <w:sz w:val="24"/>
          <w:highlight w:val="none"/>
        </w:rPr>
      </w:pPr>
      <w:r>
        <w:rPr>
          <w:rFonts w:hint="eastAsia" w:ascii="宋体" w:hAnsi="宋体" w:cs="宋体"/>
          <w:color w:val="auto"/>
          <w:sz w:val="24"/>
          <w:highlight w:val="none"/>
        </w:rPr>
        <w:t>注：1.附合同或中标通知书（复印件加盖公章）。</w:t>
      </w:r>
    </w:p>
    <w:p w14:paraId="2DEA6E1B">
      <w:pPr>
        <w:tabs>
          <w:tab w:val="left" w:pos="0"/>
          <w:tab w:val="left" w:pos="720"/>
          <w:tab w:val="left" w:pos="1440"/>
          <w:tab w:val="left" w:pos="2160"/>
          <w:tab w:val="left" w:pos="2880"/>
          <w:tab w:val="left" w:pos="3600"/>
          <w:tab w:val="left" w:pos="4320"/>
        </w:tabs>
        <w:autoSpaceDE w:val="0"/>
        <w:autoSpaceDN w:val="0"/>
        <w:adjustRightInd w:val="0"/>
        <w:spacing w:line="480" w:lineRule="auto"/>
        <w:ind w:right="480"/>
        <w:rPr>
          <w:rFonts w:ascii="宋体" w:hAnsi="宋体" w:cs="宋体"/>
          <w:color w:val="auto"/>
          <w:sz w:val="24"/>
          <w:highlight w:val="none"/>
        </w:rPr>
      </w:pPr>
    </w:p>
    <w:p w14:paraId="4A7903A7">
      <w:pPr>
        <w:tabs>
          <w:tab w:val="left" w:pos="0"/>
          <w:tab w:val="left" w:pos="720"/>
          <w:tab w:val="left" w:pos="1440"/>
          <w:tab w:val="left" w:pos="2160"/>
          <w:tab w:val="left" w:pos="2880"/>
          <w:tab w:val="left" w:pos="3600"/>
          <w:tab w:val="left" w:pos="4320"/>
        </w:tabs>
        <w:autoSpaceDE w:val="0"/>
        <w:autoSpaceDN w:val="0"/>
        <w:adjustRightInd w:val="0"/>
        <w:spacing w:line="480" w:lineRule="auto"/>
        <w:ind w:right="480"/>
        <w:rPr>
          <w:rFonts w:ascii="宋体" w:hAnsi="宋体" w:cs="宋体"/>
          <w:color w:val="auto"/>
          <w:sz w:val="24"/>
          <w:highlight w:val="none"/>
        </w:rPr>
      </w:pPr>
      <w:r>
        <w:rPr>
          <w:rFonts w:hint="eastAsia" w:ascii="宋体" w:hAnsi="宋体" w:cs="宋体"/>
          <w:color w:val="auto"/>
          <w:sz w:val="24"/>
          <w:highlight w:val="none"/>
        </w:rPr>
        <w:t xml:space="preserve">供应商名称（盖章）：                           </w:t>
      </w:r>
    </w:p>
    <w:p w14:paraId="22FC5298">
      <w:pPr>
        <w:tabs>
          <w:tab w:val="left" w:pos="0"/>
          <w:tab w:val="left" w:pos="720"/>
          <w:tab w:val="left" w:pos="1440"/>
          <w:tab w:val="left" w:pos="2160"/>
          <w:tab w:val="left" w:pos="2880"/>
          <w:tab w:val="left" w:pos="3600"/>
          <w:tab w:val="left" w:pos="4320"/>
        </w:tabs>
        <w:autoSpaceDE w:val="0"/>
        <w:autoSpaceDN w:val="0"/>
        <w:adjustRightInd w:val="0"/>
        <w:spacing w:line="480" w:lineRule="auto"/>
        <w:rPr>
          <w:rFonts w:ascii="宋体" w:hAnsi="宋体" w:cs="宋体"/>
          <w:color w:val="auto"/>
          <w:sz w:val="24"/>
          <w:highlight w:val="none"/>
        </w:rPr>
      </w:pPr>
      <w:r>
        <w:rPr>
          <w:rFonts w:hint="eastAsia" w:ascii="宋体" w:hAnsi="宋体" w:cs="宋体"/>
          <w:color w:val="auto"/>
          <w:sz w:val="24"/>
          <w:highlight w:val="none"/>
        </w:rPr>
        <w:t>法定代表人或授权代表（签字或盖章）：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4ECCDC3E">
      <w:pPr>
        <w:jc w:val="left"/>
        <w:rPr>
          <w:rFonts w:ascii="宋体" w:hAnsi="宋体" w:cs="宋体"/>
          <w:color w:val="auto"/>
          <w:sz w:val="24"/>
          <w:highlight w:val="none"/>
        </w:rPr>
      </w:pPr>
    </w:p>
    <w:p w14:paraId="5E1527D7">
      <w:pPr>
        <w:spacing w:line="360" w:lineRule="auto"/>
        <w:outlineLvl w:val="0"/>
        <w:rPr>
          <w:rFonts w:ascii="宋体" w:hAnsi="宋体" w:cs="宋体"/>
          <w:color w:val="auto"/>
          <w:sz w:val="24"/>
          <w:szCs w:val="24"/>
          <w:highlight w:val="none"/>
        </w:rPr>
      </w:pPr>
      <w:r>
        <w:rPr>
          <w:rFonts w:hint="eastAsia" w:ascii="宋体" w:hAnsi="宋体" w:cs="宋体"/>
          <w:color w:val="auto"/>
          <w:sz w:val="24"/>
          <w:highlight w:val="none"/>
        </w:rPr>
        <w:t xml:space="preserve">日期：      年     月    日 </w:t>
      </w:r>
    </w:p>
    <w:p w14:paraId="23229948">
      <w:pPr>
        <w:spacing w:line="520" w:lineRule="exact"/>
        <w:rPr>
          <w:rFonts w:ascii="宋体" w:hAnsi="宋体" w:cs="宋体"/>
          <w:color w:val="auto"/>
          <w:sz w:val="24"/>
          <w:szCs w:val="24"/>
          <w:highlight w:val="none"/>
        </w:rPr>
      </w:pPr>
    </w:p>
    <w:p w14:paraId="14A4AAA8">
      <w:pPr>
        <w:pStyle w:val="8"/>
        <w:rPr>
          <w:color w:val="auto"/>
          <w:highlight w:val="none"/>
        </w:rPr>
      </w:pPr>
    </w:p>
    <w:p w14:paraId="1EC00600">
      <w:pPr>
        <w:jc w:val="center"/>
        <w:rPr>
          <w:rFonts w:ascii="宋体" w:hAnsi="宋体" w:cs="宋体"/>
          <w:b/>
          <w:bCs/>
          <w:color w:val="auto"/>
          <w:sz w:val="24"/>
          <w:szCs w:val="24"/>
          <w:highlight w:val="none"/>
        </w:rPr>
      </w:pPr>
    </w:p>
    <w:p w14:paraId="10544EE7">
      <w:pPr>
        <w:jc w:val="center"/>
        <w:rPr>
          <w:rFonts w:ascii="宋体" w:hAnsi="宋体" w:cs="宋体"/>
          <w:b/>
          <w:bCs/>
          <w:color w:val="auto"/>
          <w:sz w:val="24"/>
          <w:szCs w:val="24"/>
          <w:highlight w:val="none"/>
        </w:rPr>
      </w:pPr>
    </w:p>
    <w:p w14:paraId="315970EF">
      <w:pPr>
        <w:jc w:val="center"/>
        <w:rPr>
          <w:rFonts w:ascii="宋体" w:hAnsi="宋体" w:cs="宋体"/>
          <w:b/>
          <w:bCs/>
          <w:color w:val="auto"/>
          <w:sz w:val="24"/>
          <w:szCs w:val="24"/>
          <w:highlight w:val="none"/>
        </w:rPr>
      </w:pPr>
    </w:p>
    <w:p w14:paraId="1AC61E23">
      <w:pPr>
        <w:jc w:val="center"/>
        <w:rPr>
          <w:rFonts w:ascii="宋体" w:hAnsi="宋体" w:cs="宋体"/>
          <w:b/>
          <w:bCs/>
          <w:color w:val="auto"/>
          <w:sz w:val="24"/>
          <w:szCs w:val="24"/>
          <w:highlight w:val="none"/>
        </w:rPr>
      </w:pPr>
    </w:p>
    <w:p w14:paraId="2E97A9BA">
      <w:pPr>
        <w:jc w:val="center"/>
        <w:rPr>
          <w:rFonts w:ascii="宋体" w:hAnsi="宋体" w:cs="宋体"/>
          <w:b/>
          <w:bCs/>
          <w:color w:val="auto"/>
          <w:sz w:val="24"/>
          <w:szCs w:val="24"/>
          <w:highlight w:val="none"/>
        </w:rPr>
      </w:pPr>
    </w:p>
    <w:p w14:paraId="0432B3DA">
      <w:pPr>
        <w:jc w:val="center"/>
        <w:rPr>
          <w:rFonts w:ascii="宋体" w:hAnsi="宋体" w:cs="宋体"/>
          <w:b/>
          <w:bCs/>
          <w:color w:val="auto"/>
          <w:sz w:val="24"/>
          <w:szCs w:val="24"/>
          <w:highlight w:val="none"/>
        </w:rPr>
      </w:pPr>
    </w:p>
    <w:p w14:paraId="3608C3ED">
      <w:pPr>
        <w:jc w:val="center"/>
        <w:rPr>
          <w:rFonts w:ascii="宋体" w:hAnsi="宋体" w:cs="宋体"/>
          <w:b/>
          <w:bCs/>
          <w:color w:val="auto"/>
          <w:sz w:val="24"/>
          <w:szCs w:val="24"/>
          <w:highlight w:val="none"/>
        </w:rPr>
      </w:pPr>
    </w:p>
    <w:p w14:paraId="4935C3E3">
      <w:pPr>
        <w:rPr>
          <w:rFonts w:ascii="宋体" w:hAnsi="宋体" w:cs="宋体"/>
          <w:b/>
          <w:bCs/>
          <w:color w:val="auto"/>
          <w:sz w:val="24"/>
          <w:szCs w:val="24"/>
          <w:highlight w:val="none"/>
        </w:rPr>
      </w:pPr>
    </w:p>
    <w:p w14:paraId="2AB15D1D">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第八部分  售后承诺</w:t>
      </w:r>
    </w:p>
    <w:p w14:paraId="023F8990">
      <w:pPr>
        <w:spacing w:line="360" w:lineRule="auto"/>
        <w:rPr>
          <w:rFonts w:ascii="宋体" w:hAnsi="宋体" w:cs="宋体"/>
          <w:b/>
          <w:color w:val="auto"/>
          <w:sz w:val="24"/>
          <w:szCs w:val="24"/>
          <w:highlight w:val="none"/>
        </w:rPr>
      </w:pPr>
    </w:p>
    <w:p w14:paraId="4F0798A5">
      <w:pPr>
        <w:spacing w:line="360" w:lineRule="auto"/>
        <w:rPr>
          <w:rFonts w:ascii="宋体" w:hAnsi="宋体" w:cs="宋体"/>
          <w:b/>
          <w:color w:val="auto"/>
          <w:sz w:val="24"/>
          <w:szCs w:val="24"/>
          <w:highlight w:val="none"/>
        </w:rPr>
      </w:pPr>
    </w:p>
    <w:p w14:paraId="191D312B">
      <w:pPr>
        <w:spacing w:line="360" w:lineRule="auto"/>
        <w:rPr>
          <w:rFonts w:ascii="宋体" w:hAnsi="宋体" w:cs="宋体"/>
          <w:b/>
          <w:color w:val="auto"/>
          <w:sz w:val="24"/>
          <w:szCs w:val="24"/>
          <w:highlight w:val="none"/>
        </w:rPr>
      </w:pPr>
    </w:p>
    <w:p w14:paraId="4877F00C">
      <w:pPr>
        <w:spacing w:line="360" w:lineRule="auto"/>
        <w:rPr>
          <w:rFonts w:ascii="宋体" w:hAnsi="宋体" w:cs="宋体"/>
          <w:b/>
          <w:color w:val="auto"/>
          <w:sz w:val="24"/>
          <w:szCs w:val="24"/>
          <w:highlight w:val="none"/>
        </w:rPr>
      </w:pPr>
    </w:p>
    <w:p w14:paraId="2934F173">
      <w:pPr>
        <w:spacing w:line="360" w:lineRule="auto"/>
        <w:rPr>
          <w:rFonts w:ascii="宋体" w:hAnsi="宋体" w:cs="宋体"/>
          <w:b/>
          <w:color w:val="auto"/>
          <w:sz w:val="24"/>
          <w:szCs w:val="24"/>
          <w:highlight w:val="none"/>
        </w:rPr>
      </w:pPr>
    </w:p>
    <w:p w14:paraId="7746B040">
      <w:pPr>
        <w:spacing w:line="360" w:lineRule="auto"/>
        <w:rPr>
          <w:rFonts w:ascii="宋体" w:hAnsi="宋体" w:cs="宋体"/>
          <w:b/>
          <w:color w:val="auto"/>
          <w:sz w:val="24"/>
          <w:szCs w:val="24"/>
          <w:highlight w:val="none"/>
        </w:rPr>
      </w:pPr>
    </w:p>
    <w:p w14:paraId="74E5264C">
      <w:pPr>
        <w:spacing w:line="360" w:lineRule="auto"/>
        <w:rPr>
          <w:rFonts w:ascii="宋体" w:hAnsi="宋体" w:cs="宋体"/>
          <w:b/>
          <w:color w:val="auto"/>
          <w:sz w:val="24"/>
          <w:szCs w:val="24"/>
          <w:highlight w:val="none"/>
        </w:rPr>
      </w:pPr>
    </w:p>
    <w:p w14:paraId="322B0E27">
      <w:pPr>
        <w:spacing w:line="360" w:lineRule="auto"/>
        <w:rPr>
          <w:rFonts w:ascii="宋体" w:hAnsi="宋体" w:cs="宋体"/>
          <w:b/>
          <w:color w:val="auto"/>
          <w:sz w:val="24"/>
          <w:szCs w:val="24"/>
          <w:highlight w:val="none"/>
        </w:rPr>
      </w:pPr>
    </w:p>
    <w:p w14:paraId="5FF93002">
      <w:pPr>
        <w:spacing w:line="480" w:lineRule="auto"/>
        <w:ind w:right="480"/>
        <w:rPr>
          <w:rFonts w:ascii="宋体" w:hAnsi="宋体" w:cs="宋体"/>
          <w:color w:val="auto"/>
          <w:sz w:val="24"/>
          <w:szCs w:val="24"/>
          <w:highlight w:val="none"/>
          <w:u w:val="single"/>
        </w:rPr>
      </w:pPr>
    </w:p>
    <w:p w14:paraId="6A4D664F">
      <w:pPr>
        <w:spacing w:line="360" w:lineRule="auto"/>
        <w:jc w:val="center"/>
        <w:outlineLvl w:val="0"/>
        <w:rPr>
          <w:rFonts w:ascii="宋体" w:hAnsi="宋体" w:cs="宋体"/>
          <w:color w:val="auto"/>
          <w:sz w:val="24"/>
          <w:szCs w:val="24"/>
          <w:highlight w:val="none"/>
        </w:rPr>
      </w:pPr>
    </w:p>
    <w:p w14:paraId="287B4253">
      <w:pPr>
        <w:rPr>
          <w:rFonts w:ascii="宋体" w:hAnsi="宋体" w:cs="宋体"/>
          <w:color w:val="auto"/>
          <w:sz w:val="24"/>
          <w:szCs w:val="24"/>
          <w:highlight w:val="none"/>
        </w:rPr>
      </w:pPr>
    </w:p>
    <w:p w14:paraId="24559880">
      <w:pPr>
        <w:spacing w:line="360" w:lineRule="auto"/>
        <w:jc w:val="center"/>
        <w:outlineLvl w:val="0"/>
        <w:rPr>
          <w:rFonts w:ascii="宋体" w:hAnsi="宋体" w:cs="宋体"/>
          <w:b/>
          <w:bCs/>
          <w:color w:val="auto"/>
          <w:sz w:val="24"/>
          <w:szCs w:val="24"/>
          <w:highlight w:val="none"/>
        </w:rPr>
      </w:pPr>
    </w:p>
    <w:p w14:paraId="6DFC18D8">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7495DF8">
      <w:pPr>
        <w:spacing w:line="360" w:lineRule="auto"/>
        <w:jc w:val="center"/>
        <w:outlineLvl w:val="0"/>
        <w:rPr>
          <w:rFonts w:ascii="宋体" w:hAnsi="宋体" w:cs="宋体"/>
          <w:color w:val="auto"/>
          <w:sz w:val="24"/>
          <w:szCs w:val="24"/>
          <w:highlight w:val="none"/>
        </w:rPr>
      </w:pPr>
      <w:r>
        <w:rPr>
          <w:rFonts w:hint="eastAsia" w:ascii="宋体" w:hAnsi="宋体" w:cs="宋体"/>
          <w:b/>
          <w:bCs/>
          <w:color w:val="auto"/>
          <w:sz w:val="24"/>
          <w:szCs w:val="24"/>
          <w:highlight w:val="none"/>
        </w:rPr>
        <w:t>第九部分  供应商承诺</w:t>
      </w:r>
    </w:p>
    <w:p w14:paraId="7AB144A7">
      <w:pPr>
        <w:widowControl/>
        <w:spacing w:line="52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承诺书（一）</w:t>
      </w:r>
    </w:p>
    <w:p w14:paraId="23A7CB63">
      <w:pPr>
        <w:spacing w:line="360" w:lineRule="atLeast"/>
        <w:jc w:val="center"/>
        <w:rPr>
          <w:rFonts w:ascii="宋体" w:hAnsi="宋体" w:cs="宋体"/>
          <w:b/>
          <w:color w:val="auto"/>
          <w:sz w:val="24"/>
          <w:szCs w:val="24"/>
          <w:highlight w:val="none"/>
        </w:rPr>
      </w:pP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C51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DCD25F1">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4B4B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317BA7A">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作为参加贵公司组织的采购项目的供应商，本公司承诺：在参加本项目招标之前不存在被依法禁止经营行为、财产被接管或冻结的情况，如有隐瞒实情，愿承担一切责任及后果。</w:t>
            </w:r>
          </w:p>
        </w:tc>
      </w:tr>
      <w:tr w14:paraId="2186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C445928">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71CE30E6">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56887E5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6234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3240" w:type="dxa"/>
            <w:vAlign w:val="center"/>
          </w:tcPr>
          <w:p w14:paraId="1078A27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7D0D8B80">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72D29528">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3B2E30E9">
      <w:pPr>
        <w:jc w:val="center"/>
        <w:rPr>
          <w:rFonts w:ascii="宋体" w:hAnsi="宋体" w:cs="宋体"/>
          <w:b/>
          <w:color w:val="auto"/>
          <w:sz w:val="24"/>
          <w:szCs w:val="24"/>
          <w:highlight w:val="none"/>
        </w:rPr>
      </w:pPr>
    </w:p>
    <w:p w14:paraId="5E8094DA">
      <w:pPr>
        <w:jc w:val="center"/>
        <w:rPr>
          <w:rFonts w:ascii="宋体" w:hAnsi="宋体" w:cs="宋体"/>
          <w:b/>
          <w:color w:val="auto"/>
          <w:sz w:val="24"/>
          <w:szCs w:val="24"/>
          <w:highlight w:val="none"/>
        </w:rPr>
      </w:pPr>
    </w:p>
    <w:p w14:paraId="5ED806CB">
      <w:pPr>
        <w:jc w:val="center"/>
        <w:rPr>
          <w:rFonts w:ascii="宋体" w:hAnsi="宋体" w:cs="宋体"/>
          <w:b/>
          <w:color w:val="auto"/>
          <w:sz w:val="24"/>
          <w:szCs w:val="24"/>
          <w:highlight w:val="none"/>
        </w:rPr>
      </w:pPr>
    </w:p>
    <w:p w14:paraId="23E86B88">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承诺书（二）</w:t>
      </w: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F5E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162D604">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2645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4418309">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作为参加贵公司组织的采购项目的供应商，本公司郑重申告并承诺：近三年受到有关行政主管部门的行政处理、不良行为记录为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次（没有填零），如有隐瞒实情，愿承担一切责任及后果。</w:t>
            </w:r>
          </w:p>
        </w:tc>
      </w:tr>
      <w:tr w14:paraId="5209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2646C8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4513FB9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7A426E10">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68C2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3240" w:type="dxa"/>
            <w:vAlign w:val="center"/>
          </w:tcPr>
          <w:p w14:paraId="605ABF42">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7940B39D">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1F8A0B00">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693392C8">
      <w:pPr>
        <w:spacing w:line="360" w:lineRule="atLeast"/>
        <w:jc w:val="center"/>
        <w:rPr>
          <w:rFonts w:ascii="宋体" w:hAnsi="宋体" w:cs="宋体"/>
          <w:b/>
          <w:color w:val="auto"/>
          <w:sz w:val="24"/>
          <w:szCs w:val="24"/>
          <w:highlight w:val="none"/>
        </w:rPr>
      </w:pPr>
    </w:p>
    <w:p w14:paraId="70547DB6">
      <w:pPr>
        <w:spacing w:line="360" w:lineRule="atLeast"/>
        <w:jc w:val="center"/>
        <w:rPr>
          <w:rFonts w:ascii="宋体" w:hAnsi="宋体" w:cs="宋体"/>
          <w:b/>
          <w:color w:val="auto"/>
          <w:sz w:val="24"/>
          <w:szCs w:val="24"/>
          <w:highlight w:val="none"/>
        </w:rPr>
      </w:pPr>
    </w:p>
    <w:p w14:paraId="512FA9D6">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6D90E76A">
      <w:pPr>
        <w:spacing w:line="360" w:lineRule="atLeast"/>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承诺书（三）</w:t>
      </w:r>
    </w:p>
    <w:p w14:paraId="4D5B166D">
      <w:pPr>
        <w:spacing w:line="360" w:lineRule="atLeast"/>
        <w:jc w:val="center"/>
        <w:rPr>
          <w:rFonts w:ascii="宋体" w:hAnsi="宋体" w:cs="宋体"/>
          <w:b/>
          <w:color w:val="auto"/>
          <w:sz w:val="24"/>
          <w:szCs w:val="24"/>
          <w:highlight w:val="none"/>
        </w:rPr>
      </w:pP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F313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42CB8B6">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07976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FDF0F9F">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作为参加贵公司组织的采购项目的供应商，本公司郑重申告：近三年因产品供货问题（水货、替代品、次品、翻新品等）的不法行为记录为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次（没有填零），如有隐瞒实情，愿承担一切责任及后果。</w:t>
            </w:r>
          </w:p>
          <w:p w14:paraId="153458C1">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本公司承诺：本次招标标的物为正品行货。</w:t>
            </w:r>
          </w:p>
        </w:tc>
      </w:tr>
      <w:tr w14:paraId="79DB2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5B1513E">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5CA1D4A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5DC77801">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03E52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3240" w:type="dxa"/>
            <w:vAlign w:val="center"/>
          </w:tcPr>
          <w:p w14:paraId="0B5EB170">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69EFD34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63F597B5">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20949ADD">
      <w:pPr>
        <w:jc w:val="center"/>
        <w:rPr>
          <w:rFonts w:ascii="宋体" w:hAnsi="宋体" w:cs="宋体"/>
          <w:b/>
          <w:color w:val="auto"/>
          <w:sz w:val="24"/>
          <w:szCs w:val="24"/>
          <w:highlight w:val="none"/>
        </w:rPr>
      </w:pPr>
    </w:p>
    <w:p w14:paraId="4CF51E97">
      <w:pPr>
        <w:pStyle w:val="36"/>
        <w:ind w:firstLine="0" w:firstLineChars="0"/>
        <w:rPr>
          <w:color w:val="auto"/>
          <w:highlight w:val="none"/>
        </w:rPr>
      </w:pPr>
    </w:p>
    <w:p w14:paraId="77E93EE6">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承诺书（四）</w:t>
      </w: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BA72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779A40D">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020D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EC01278">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作为参加贵公司组织的采购项目的供应商，本公司承诺：参加本次招标提交的所有资质证明文件及业绩证明文件是真实的、有效的，如有隐瞒实情，愿承担一切责任及后果。</w:t>
            </w:r>
          </w:p>
        </w:tc>
      </w:tr>
      <w:tr w14:paraId="75ED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EADD82A">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31E57B9D">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7D9CE8D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0932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3240" w:type="dxa"/>
            <w:vAlign w:val="center"/>
          </w:tcPr>
          <w:p w14:paraId="3712DC9B">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2B4488A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47799648">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088B2254">
      <w:pPr>
        <w:jc w:val="center"/>
        <w:rPr>
          <w:rFonts w:ascii="宋体" w:hAnsi="宋体" w:cs="宋体"/>
          <w:b/>
          <w:color w:val="auto"/>
          <w:sz w:val="24"/>
          <w:szCs w:val="24"/>
          <w:highlight w:val="none"/>
        </w:rPr>
      </w:pPr>
    </w:p>
    <w:p w14:paraId="71CE48CF">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608C46D9">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承诺书（五）</w:t>
      </w:r>
    </w:p>
    <w:p w14:paraId="16F6CA8E">
      <w:pPr>
        <w:jc w:val="center"/>
        <w:outlineLvl w:val="0"/>
        <w:rPr>
          <w:rFonts w:ascii="宋体" w:hAnsi="宋体" w:cs="宋体"/>
          <w:b/>
          <w:color w:val="auto"/>
          <w:sz w:val="24"/>
          <w:szCs w:val="24"/>
          <w:highlight w:val="none"/>
        </w:rPr>
      </w:pPr>
      <w:r>
        <w:rPr>
          <w:rFonts w:hint="eastAsia" w:ascii="宋体" w:hAnsi="宋体" w:cs="宋体"/>
          <w:b/>
          <w:bCs/>
          <w:color w:val="auto"/>
          <w:kern w:val="0"/>
          <w:sz w:val="24"/>
          <w:szCs w:val="24"/>
          <w:highlight w:val="none"/>
        </w:rPr>
        <w:t>供应商拒绝政府采购领域商业贿赂承诺书</w:t>
      </w:r>
    </w:p>
    <w:p w14:paraId="5BE823CD">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为响应党中央、国务院关于治理政府采购领域商业贿赂行为的号召，我单位在此庄严承诺：</w:t>
      </w:r>
    </w:p>
    <w:p w14:paraId="514C9ABB">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1、在参与政府采购活动中遵纪守法、诚信经营、公平竞标。</w:t>
      </w:r>
    </w:p>
    <w:p w14:paraId="66F6D147">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2、不向政府采购人、采购代理机构和政府采购评审专家进行任何形式的商业贿赂以谋取交易机会。</w:t>
      </w:r>
    </w:p>
    <w:p w14:paraId="0E1C97AB">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3、不向政府采购代理机构和采购人提供虚假资质文件或采用虚假应标方式参与政府采购市场竞争并谋取中标、成交。</w:t>
      </w:r>
    </w:p>
    <w:p w14:paraId="50D2451A">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4、不采取“围标、陪标”等商业欺诈手段获得政府采购定单。</w:t>
      </w:r>
    </w:p>
    <w:p w14:paraId="7A5E61CA">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5、不采取不正当手段诋毁、排挤其他供应商。</w:t>
      </w:r>
    </w:p>
    <w:p w14:paraId="7CB91360">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6、不在提供商品和服务时“偷梁换柱、以次充好”损害采购人的合法权益。</w:t>
      </w:r>
    </w:p>
    <w:p w14:paraId="740CCE6E">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7、不与采购人、采购代理机构政府采购评审专家或其它供应商恶意串通，进行质疑和投诉，维护政府采购市场秩序。</w:t>
      </w:r>
    </w:p>
    <w:p w14:paraId="36313181">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8、尊重和接受政府采购监督管理部门的监督和政府采购代理机构招标采购要求，承担因违约行为给采购人造成的损失。</w:t>
      </w:r>
    </w:p>
    <w:p w14:paraId="58DCDD5A">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9、不发生其他有悖于政府采购公开、公平、公正和诚信原则的行为。    </w:t>
      </w:r>
    </w:p>
    <w:p w14:paraId="11C72DD7">
      <w:pPr>
        <w:widowControl/>
        <w:spacing w:line="360" w:lineRule="auto"/>
        <w:ind w:firstLine="720" w:firstLineChars="3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rPr>
        <w:t>　             　　</w:t>
      </w:r>
      <w:r>
        <w:rPr>
          <w:rFonts w:hint="eastAsia" w:ascii="宋体" w:hAnsi="宋体" w:cs="宋体"/>
          <w:color w:val="auto"/>
          <w:kern w:val="0"/>
          <w:sz w:val="24"/>
          <w:szCs w:val="24"/>
          <w:highlight w:val="none"/>
        </w:rPr>
        <w:t>（盖章）</w:t>
      </w:r>
    </w:p>
    <w:p w14:paraId="15B2E80E">
      <w:pPr>
        <w:widowControl/>
        <w:spacing w:line="360" w:lineRule="auto"/>
        <w:ind w:firstLine="720" w:firstLineChars="3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全权代表：</w:t>
      </w:r>
      <w:r>
        <w:rPr>
          <w:rFonts w:hint="eastAsia" w:ascii="宋体" w:hAnsi="宋体" w:cs="宋体"/>
          <w:color w:val="auto"/>
          <w:kern w:val="0"/>
          <w:sz w:val="24"/>
          <w:szCs w:val="24"/>
          <w:highlight w:val="none"/>
          <w:u w:val="single"/>
        </w:rPr>
        <w:t>　　　　　　　　　</w:t>
      </w:r>
      <w:r>
        <w:rPr>
          <w:rFonts w:hint="eastAsia" w:ascii="宋体" w:hAnsi="宋体" w:cs="宋体"/>
          <w:color w:val="auto"/>
          <w:kern w:val="0"/>
          <w:sz w:val="24"/>
          <w:szCs w:val="24"/>
          <w:highlight w:val="none"/>
        </w:rPr>
        <w:t>（签字或盖章）</w:t>
      </w:r>
    </w:p>
    <w:p w14:paraId="25DAF381">
      <w:pPr>
        <w:widowControl/>
        <w:spacing w:line="360" w:lineRule="auto"/>
        <w:ind w:firstLine="720" w:firstLineChars="300"/>
        <w:jc w:val="left"/>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地　　址：</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w:t>
      </w:r>
    </w:p>
    <w:p w14:paraId="31674A11">
      <w:pPr>
        <w:spacing w:line="360" w:lineRule="auto"/>
        <w:ind w:firstLine="720" w:firstLineChars="3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　　话：</w:t>
      </w:r>
      <w:r>
        <w:rPr>
          <w:rFonts w:hint="eastAsia" w:ascii="宋体" w:hAnsi="宋体" w:cs="宋体"/>
          <w:color w:val="auto"/>
          <w:kern w:val="0"/>
          <w:sz w:val="24"/>
          <w:szCs w:val="24"/>
          <w:highlight w:val="none"/>
          <w:u w:val="single"/>
        </w:rPr>
        <w:t>　　　　　       　　</w:t>
      </w:r>
    </w:p>
    <w:p w14:paraId="01CFDFD6">
      <w:pPr>
        <w:spacing w:line="360" w:lineRule="auto"/>
        <w:jc w:val="right"/>
        <w:rPr>
          <w:rFonts w:ascii="宋体" w:hAnsi="宋体" w:cs="宋体"/>
          <w:color w:val="auto"/>
          <w:kern w:val="0"/>
          <w:sz w:val="24"/>
          <w:szCs w:val="24"/>
          <w:highlight w:val="none"/>
        </w:rPr>
      </w:pPr>
    </w:p>
    <w:p w14:paraId="6E04360E">
      <w:pPr>
        <w:jc w:val="right"/>
        <w:rPr>
          <w:rFonts w:ascii="宋体" w:hAnsi="宋体" w:cs="宋体"/>
          <w:color w:val="auto"/>
          <w:kern w:val="0"/>
          <w:sz w:val="24"/>
          <w:szCs w:val="24"/>
          <w:highlight w:val="none"/>
        </w:rPr>
      </w:pPr>
      <w:r>
        <w:rPr>
          <w:rFonts w:hint="eastAsia" w:ascii="宋体" w:hAnsi="宋体" w:cs="宋体"/>
          <w:color w:val="auto"/>
          <w:kern w:val="0"/>
          <w:sz w:val="24"/>
          <w:szCs w:val="24"/>
          <w:highlight w:val="none"/>
        </w:rPr>
        <w:t>年　　月　　日</w:t>
      </w:r>
    </w:p>
    <w:p w14:paraId="66478EF5">
      <w:pPr>
        <w:jc w:val="right"/>
        <w:rPr>
          <w:rFonts w:ascii="宋体" w:hAnsi="宋体" w:cs="宋体"/>
          <w:color w:val="auto"/>
          <w:kern w:val="0"/>
          <w:sz w:val="24"/>
          <w:szCs w:val="24"/>
          <w:highlight w:val="none"/>
        </w:rPr>
      </w:pPr>
    </w:p>
    <w:p w14:paraId="294E7589">
      <w:pPr>
        <w:jc w:val="right"/>
        <w:rPr>
          <w:rFonts w:ascii="宋体" w:hAnsi="宋体" w:cs="宋体"/>
          <w:color w:val="auto"/>
          <w:kern w:val="0"/>
          <w:sz w:val="24"/>
          <w:szCs w:val="24"/>
          <w:highlight w:val="none"/>
        </w:rPr>
      </w:pPr>
    </w:p>
    <w:p w14:paraId="075C00AD">
      <w:pPr>
        <w:jc w:val="right"/>
        <w:rPr>
          <w:rFonts w:ascii="宋体" w:hAnsi="宋体" w:cs="宋体"/>
          <w:color w:val="auto"/>
          <w:kern w:val="0"/>
          <w:sz w:val="24"/>
          <w:szCs w:val="24"/>
          <w:highlight w:val="none"/>
        </w:rPr>
      </w:pPr>
    </w:p>
    <w:p w14:paraId="7B861FFC">
      <w:pPr>
        <w:jc w:val="right"/>
        <w:rPr>
          <w:rFonts w:ascii="宋体" w:hAnsi="宋体" w:cs="宋体"/>
          <w:color w:val="auto"/>
          <w:kern w:val="0"/>
          <w:sz w:val="24"/>
          <w:szCs w:val="24"/>
          <w:highlight w:val="none"/>
        </w:rPr>
      </w:pPr>
    </w:p>
    <w:p w14:paraId="1FAC7AD2">
      <w:pPr>
        <w:jc w:val="right"/>
        <w:rPr>
          <w:rFonts w:ascii="宋体" w:hAnsi="宋体" w:cs="宋体"/>
          <w:color w:val="auto"/>
          <w:kern w:val="0"/>
          <w:sz w:val="24"/>
          <w:szCs w:val="24"/>
          <w:highlight w:val="none"/>
        </w:rPr>
      </w:pPr>
    </w:p>
    <w:p w14:paraId="4B257412">
      <w:pPr>
        <w:jc w:val="right"/>
        <w:rPr>
          <w:rFonts w:ascii="宋体" w:hAnsi="宋体" w:cs="宋体"/>
          <w:color w:val="auto"/>
          <w:kern w:val="0"/>
          <w:sz w:val="24"/>
          <w:szCs w:val="24"/>
          <w:highlight w:val="none"/>
        </w:rPr>
      </w:pPr>
    </w:p>
    <w:p w14:paraId="0D73F4AE">
      <w:pPr>
        <w:jc w:val="right"/>
        <w:rPr>
          <w:rFonts w:ascii="宋体" w:hAnsi="宋体" w:cs="宋体"/>
          <w:color w:val="auto"/>
          <w:kern w:val="0"/>
          <w:sz w:val="24"/>
          <w:szCs w:val="24"/>
          <w:highlight w:val="none"/>
        </w:rPr>
      </w:pPr>
    </w:p>
    <w:p w14:paraId="3BDBE9A8">
      <w:pPr>
        <w:jc w:val="right"/>
        <w:rPr>
          <w:rFonts w:ascii="宋体" w:hAnsi="宋体" w:cs="宋体"/>
          <w:color w:val="auto"/>
          <w:kern w:val="0"/>
          <w:sz w:val="24"/>
          <w:szCs w:val="24"/>
          <w:highlight w:val="none"/>
        </w:rPr>
      </w:pPr>
    </w:p>
    <w:p w14:paraId="39AE65B7">
      <w:pPr>
        <w:jc w:val="right"/>
        <w:rPr>
          <w:rFonts w:ascii="宋体" w:hAnsi="宋体" w:cs="宋体"/>
          <w:color w:val="auto"/>
          <w:kern w:val="0"/>
          <w:sz w:val="24"/>
          <w:szCs w:val="24"/>
          <w:highlight w:val="none"/>
        </w:rPr>
      </w:pPr>
    </w:p>
    <w:p w14:paraId="16D97FAE">
      <w:pPr>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第十部分 供应商认为有必要提供的其他材料</w:t>
      </w:r>
    </w:p>
    <w:p w14:paraId="35A8C6AE">
      <w:pPr>
        <w:jc w:val="center"/>
        <w:rPr>
          <w:rFonts w:ascii="宋体" w:hAnsi="宋体" w:cs="宋体"/>
          <w:b/>
          <w:bCs/>
          <w:color w:val="auto"/>
          <w:kern w:val="0"/>
          <w:sz w:val="24"/>
          <w:szCs w:val="24"/>
          <w:highlight w:val="none"/>
        </w:rPr>
      </w:pPr>
    </w:p>
    <w:sectPr>
      <w:pgSz w:w="11906" w:h="16838"/>
      <w:pgMar w:top="1440" w:right="1293" w:bottom="1440" w:left="1293" w:header="851" w:footer="992" w:gutter="34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ECE5B">
    <w:pPr>
      <w:pStyle w:val="16"/>
      <w:tabs>
        <w:tab w:val="right" w:pos="9345"/>
        <w:tab w:val="clear" w:pos="8306"/>
      </w:tabs>
      <w:ind w:right="31680"/>
      <w:rPr>
        <w:rStyle w:val="30"/>
      </w:rPr>
    </w:pPr>
    <w:r>
      <w:fldChar w:fldCharType="begin"/>
    </w:r>
    <w:r>
      <w:rPr>
        <w:rStyle w:val="30"/>
      </w:rPr>
      <w:instrText xml:space="preserve">PAGE  </w:instrText>
    </w:r>
    <w:r>
      <w:fldChar w:fldCharType="separate"/>
    </w:r>
    <w:r>
      <w:rPr>
        <w:rStyle w:val="30"/>
      </w:rPr>
      <w:t>1</w:t>
    </w:r>
    <w:r>
      <w:fldChar w:fldCharType="end"/>
    </w:r>
  </w:p>
  <w:p w14:paraId="661E9C41">
    <w:pPr>
      <w:pStyle w:val="16"/>
      <w:tabs>
        <w:tab w:val="right" w:pos="9345"/>
        <w:tab w:val="clear" w:pos="8306"/>
      </w:tabs>
      <w:ind w:right="316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595C">
    <w:pPr>
      <w:pStyle w:val="16"/>
    </w:pPr>
    <w:r>
      <w:rPr>
        <w:rFonts w:hint="eastAsia" w:eastAsiaTheme="minorEastAsia"/>
        <w:lang w:eastAsia="zh-CN"/>
      </w:rPr>
      <w:drawing>
        <wp:anchor distT="0" distB="0" distL="114300" distR="114300" simplePos="0" relativeHeight="251664384" behindDoc="0" locked="0" layoutInCell="1" allowOverlap="1">
          <wp:simplePos x="0" y="0"/>
          <wp:positionH relativeFrom="leftMargin">
            <wp:align>left</wp:align>
          </wp:positionH>
          <wp:positionV relativeFrom="page">
            <wp:align>bottom</wp:align>
          </wp:positionV>
          <wp:extent cx="1233170" cy="928370"/>
          <wp:effectExtent l="0" t="0" r="5080" b="5080"/>
          <wp:wrapNone/>
          <wp:docPr id="22" name="图片 22"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片3"/>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rot="10800000" flipV="1">
                    <a:off x="0" y="0"/>
                    <a:ext cx="1233170" cy="928370"/>
                  </a:xfrm>
                  <a:prstGeom prst="rect">
                    <a:avLst/>
                  </a:prstGeom>
                </pic:spPr>
              </pic:pic>
            </a:graphicData>
          </a:graphic>
        </wp:anchor>
      </w:drawing>
    </w:r>
    <w:r>
      <w:rPr>
        <w:rFonts w:hint="eastAsia" w:eastAsiaTheme="minorEastAsia"/>
        <w:lang w:eastAsia="zh-CN"/>
      </w:rPr>
      <w:drawing>
        <wp:anchor distT="0" distB="0" distL="114300" distR="114300" simplePos="0" relativeHeight="251663360" behindDoc="0" locked="0" layoutInCell="1" allowOverlap="1">
          <wp:simplePos x="0" y="0"/>
          <wp:positionH relativeFrom="rightMargin">
            <wp:align>right</wp:align>
          </wp:positionH>
          <wp:positionV relativeFrom="page">
            <wp:align>bottom</wp:align>
          </wp:positionV>
          <wp:extent cx="1233170" cy="928370"/>
          <wp:effectExtent l="0" t="0" r="5080" b="5080"/>
          <wp:wrapNone/>
          <wp:docPr id="3" name="图片 3"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3"/>
                  <pic:cNvPicPr>
                    <a:picLocks noChangeAspect="1"/>
                  </pic:cNvPicPr>
                </pic:nvPicPr>
                <pic:blipFill>
                  <a:blip r:embed="rId3">
                    <a:extLst>
                      <a:ext uri="{96DAC541-7B7A-43D3-8B79-37D633B846F1}">
                        <asvg:svgBlip xmlns:asvg="http://schemas.microsoft.com/office/drawing/2016/SVG/main" r:embed="rId4"/>
                      </a:ext>
                    </a:extLst>
                  </a:blip>
                  <a:stretch>
                    <a:fillRect/>
                  </a:stretch>
                </pic:blipFill>
                <pic:spPr>
                  <a:xfrm>
                    <a:off x="0" y="0"/>
                    <a:ext cx="1233170" cy="928370"/>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E8E1B">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C92EB1A">
                          <w:pPr>
                            <w:pStyle w:val="16"/>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5C92EB1A">
                    <w:pPr>
                      <w:pStyle w:val="16"/>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A2CB4">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1A3F3">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EAD3292">
                          <w:pPr>
                            <w:pStyle w:val="16"/>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7EAD3292">
                    <w:pPr>
                      <w:pStyle w:val="16"/>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13DF7">
    <w:pPr>
      <w:pStyle w:val="1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34B0B82">
                          <w:pPr>
                            <w:pStyle w:val="16"/>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034B0B82">
                    <w:pPr>
                      <w:pStyle w:val="16"/>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87B08">
    <w:pPr>
      <w:pStyle w:val="18"/>
      <w:ind w:left="31680" w:right="31680" w:firstLine="316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53CEA">
    <w:pPr>
      <w:pStyle w:val="18"/>
      <w:rPr>
        <w:rFonts w:hint="eastAsia"/>
        <w:lang w:val="en-US"/>
      </w:rPr>
    </w:pPr>
    <w:r>
      <w:rPr>
        <w:rFonts w:hint="eastAsia" w:eastAsiaTheme="minorEastAsia"/>
        <w:lang w:eastAsia="zh-CN"/>
      </w:rPr>
      <w:drawing>
        <wp:anchor distT="0" distB="0" distL="114300" distR="114300" simplePos="0" relativeHeight="251662336" behindDoc="0" locked="0" layoutInCell="1" allowOverlap="1">
          <wp:simplePos x="0" y="0"/>
          <wp:positionH relativeFrom="leftMargin">
            <wp:align>left</wp:align>
          </wp:positionH>
          <wp:positionV relativeFrom="page">
            <wp:align>top</wp:align>
          </wp:positionV>
          <wp:extent cx="5265420" cy="1085850"/>
          <wp:effectExtent l="0" t="0" r="11430" b="0"/>
          <wp:wrapNone/>
          <wp:docPr id="21" name="图片 2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2"/>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5265420" cy="1085850"/>
                  </a:xfrm>
                  <a:prstGeom prst="rect">
                    <a:avLst/>
                  </a:prstGeom>
                </pic:spPr>
              </pic:pic>
            </a:graphicData>
          </a:graphic>
          <wp14:sizeRelH relativeFrom="page">
            <wp14:pctWidth>100000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1EB09">
    <w:pPr>
      <w:pStyle w:val="18"/>
      <w:keepNext/>
      <w:keepLines/>
      <w:pageBreakBefore/>
      <w:widowControl/>
      <w:pBdr>
        <w:bottom w:val="single" w:color="auto" w:sz="4" w:space="1"/>
      </w:pBdr>
      <w:kinsoku/>
      <w:wordWrap w:val="0"/>
      <w:overflowPunct/>
      <w:topLinePunct/>
      <w:autoSpaceDE/>
      <w:autoSpaceDN/>
      <w:bidi w:val="0"/>
      <w:adjustRightInd/>
      <w:snapToGrid w:val="0"/>
      <w:ind w:firstLine="0" w:firstLineChars="0"/>
      <w:jc w:val="left"/>
      <w:textAlignment w:val="center"/>
      <w:rPr>
        <w:rFonts w:hint="eastAsia" w:ascii="方正行楷简体" w:hAnsi="方正行楷简体" w:eastAsia="方正行楷简体" w:cs="方正行楷简体"/>
        <w:b/>
        <w:bCs/>
        <w:sz w:val="21"/>
        <w:szCs w:val="28"/>
        <w:lang w:val="en-US"/>
      </w:rPr>
    </w:pPr>
    <w:r>
      <w:drawing>
        <wp:inline distT="0" distB="0" distL="114300" distR="114300">
          <wp:extent cx="337185" cy="337185"/>
          <wp:effectExtent l="0" t="0" r="5715"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337185" cy="337185"/>
                  </a:xfrm>
                  <a:prstGeom prst="rect">
                    <a:avLst/>
                  </a:prstGeom>
                  <a:noFill/>
                  <a:ln>
                    <a:noFill/>
                  </a:ln>
                </pic:spPr>
              </pic:pic>
            </a:graphicData>
          </a:graphic>
        </wp:inline>
      </w:drawing>
    </w:r>
    <w:r>
      <w:rPr>
        <w:rFonts w:hint="eastAsia" w:ascii="方正行楷简体" w:hAnsi="方正行楷简体" w:eastAsia="方正行楷简体" w:cs="方正行楷简体"/>
        <w:b/>
        <w:bCs/>
        <w:sz w:val="21"/>
        <w:szCs w:val="28"/>
        <w:lang w:val="en-US" w:eastAsia="zh-CN"/>
      </w:rPr>
      <w:t>陕西中源项目管理有限公司</w:t>
    </w:r>
  </w:p>
  <w:p w14:paraId="3DF4B0A4">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9A821">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21864493"/>
    <w:multiLevelType w:val="singleLevel"/>
    <w:tmpl w:val="21864493"/>
    <w:lvl w:ilvl="0" w:tentative="0">
      <w:start w:val="1"/>
      <w:numFmt w:val="decimal"/>
      <w:suff w:val="nothing"/>
      <w:lvlText w:val="（%1）"/>
      <w:lvlJc w:val="left"/>
    </w:lvl>
  </w:abstractNum>
  <w:abstractNum w:abstractNumId="2">
    <w:nsid w:val="28CE082F"/>
    <w:multiLevelType w:val="singleLevel"/>
    <w:tmpl w:val="28CE082F"/>
    <w:lvl w:ilvl="0" w:tentative="0">
      <w:start w:val="2"/>
      <w:numFmt w:val="chineseCounting"/>
      <w:suff w:val="nothing"/>
      <w:lvlText w:val="%1、"/>
      <w:lvlJc w:val="left"/>
      <w:rPr>
        <w:rFonts w:hint="eastAsia"/>
      </w:rPr>
    </w:lvl>
  </w:abstractNum>
  <w:abstractNum w:abstractNumId="3">
    <w:nsid w:val="7D98B9B5"/>
    <w:multiLevelType w:val="multilevel"/>
    <w:tmpl w:val="7D98B9B5"/>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dit="readOnly" w:formatting="1" w:enforcement="1" w:cryptProviderType="rsaFull" w:cryptAlgorithmClass="hash" w:cryptAlgorithmType="typeAny" w:cryptAlgorithmSid="4" w:cryptSpinCount="0" w:hash="k7+gYBkXQwSw+wt1Gn5lrlbz/mM=" w:salt="cImuuWbg1l7STdT1ceTkGQ=="/>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hNTgzZTQ5NTFmN2E2NzViNTlhY2Y5ZGRjODAyZmMifQ=="/>
  </w:docVars>
  <w:rsids>
    <w:rsidRoot w:val="00172A27"/>
    <w:rsid w:val="00014D2B"/>
    <w:rsid w:val="000240C7"/>
    <w:rsid w:val="00045296"/>
    <w:rsid w:val="000515D7"/>
    <w:rsid w:val="000539F8"/>
    <w:rsid w:val="00055763"/>
    <w:rsid w:val="0005609D"/>
    <w:rsid w:val="000615C6"/>
    <w:rsid w:val="00065817"/>
    <w:rsid w:val="00070644"/>
    <w:rsid w:val="00083ADB"/>
    <w:rsid w:val="000959EB"/>
    <w:rsid w:val="000A1355"/>
    <w:rsid w:val="000A5882"/>
    <w:rsid w:val="000D4B0A"/>
    <w:rsid w:val="00104895"/>
    <w:rsid w:val="00112021"/>
    <w:rsid w:val="0011523B"/>
    <w:rsid w:val="001302CD"/>
    <w:rsid w:val="00141EA4"/>
    <w:rsid w:val="00143693"/>
    <w:rsid w:val="00145FD8"/>
    <w:rsid w:val="0015364F"/>
    <w:rsid w:val="00172A27"/>
    <w:rsid w:val="0018729E"/>
    <w:rsid w:val="001952F0"/>
    <w:rsid w:val="001A3772"/>
    <w:rsid w:val="001A456D"/>
    <w:rsid w:val="001A669B"/>
    <w:rsid w:val="001F0BB1"/>
    <w:rsid w:val="001F3F3F"/>
    <w:rsid w:val="00202BA1"/>
    <w:rsid w:val="00224669"/>
    <w:rsid w:val="00226B84"/>
    <w:rsid w:val="0024007E"/>
    <w:rsid w:val="002472E1"/>
    <w:rsid w:val="00250072"/>
    <w:rsid w:val="00272AE6"/>
    <w:rsid w:val="0029310F"/>
    <w:rsid w:val="002A1C3A"/>
    <w:rsid w:val="002A6003"/>
    <w:rsid w:val="002C01C2"/>
    <w:rsid w:val="002E0562"/>
    <w:rsid w:val="002F463E"/>
    <w:rsid w:val="00312644"/>
    <w:rsid w:val="00327230"/>
    <w:rsid w:val="00353E6A"/>
    <w:rsid w:val="00353FA8"/>
    <w:rsid w:val="003579E5"/>
    <w:rsid w:val="00374FF8"/>
    <w:rsid w:val="003826ED"/>
    <w:rsid w:val="00386036"/>
    <w:rsid w:val="00395BE6"/>
    <w:rsid w:val="003968C0"/>
    <w:rsid w:val="003A265F"/>
    <w:rsid w:val="003D7A37"/>
    <w:rsid w:val="003E245A"/>
    <w:rsid w:val="003E2EEE"/>
    <w:rsid w:val="003F2CCB"/>
    <w:rsid w:val="00404DF8"/>
    <w:rsid w:val="00405B35"/>
    <w:rsid w:val="0041092F"/>
    <w:rsid w:val="00410E88"/>
    <w:rsid w:val="00420E3F"/>
    <w:rsid w:val="0042189B"/>
    <w:rsid w:val="00435457"/>
    <w:rsid w:val="00460770"/>
    <w:rsid w:val="00460E2E"/>
    <w:rsid w:val="00480FC7"/>
    <w:rsid w:val="004847FE"/>
    <w:rsid w:val="00497114"/>
    <w:rsid w:val="004A09EE"/>
    <w:rsid w:val="004B72E1"/>
    <w:rsid w:val="004C6407"/>
    <w:rsid w:val="004D1E66"/>
    <w:rsid w:val="004E77A2"/>
    <w:rsid w:val="00500871"/>
    <w:rsid w:val="00501B90"/>
    <w:rsid w:val="0050233B"/>
    <w:rsid w:val="00505CAA"/>
    <w:rsid w:val="005067EF"/>
    <w:rsid w:val="00510BAD"/>
    <w:rsid w:val="00513B50"/>
    <w:rsid w:val="00522910"/>
    <w:rsid w:val="00526C46"/>
    <w:rsid w:val="00540406"/>
    <w:rsid w:val="00552C77"/>
    <w:rsid w:val="00556747"/>
    <w:rsid w:val="0058110B"/>
    <w:rsid w:val="00584F39"/>
    <w:rsid w:val="005A4BFD"/>
    <w:rsid w:val="005A698F"/>
    <w:rsid w:val="005D19BA"/>
    <w:rsid w:val="005D44A3"/>
    <w:rsid w:val="005E6297"/>
    <w:rsid w:val="006119A5"/>
    <w:rsid w:val="00620981"/>
    <w:rsid w:val="00621235"/>
    <w:rsid w:val="00621C4F"/>
    <w:rsid w:val="00622680"/>
    <w:rsid w:val="00637AEE"/>
    <w:rsid w:val="00641E21"/>
    <w:rsid w:val="00645A48"/>
    <w:rsid w:val="00645E61"/>
    <w:rsid w:val="0065354E"/>
    <w:rsid w:val="00660F4C"/>
    <w:rsid w:val="00677711"/>
    <w:rsid w:val="006836C2"/>
    <w:rsid w:val="006A5CF5"/>
    <w:rsid w:val="006D2C7C"/>
    <w:rsid w:val="00705417"/>
    <w:rsid w:val="00710F13"/>
    <w:rsid w:val="007219D1"/>
    <w:rsid w:val="0072248C"/>
    <w:rsid w:val="00736F7D"/>
    <w:rsid w:val="007411CF"/>
    <w:rsid w:val="00744646"/>
    <w:rsid w:val="00751BE9"/>
    <w:rsid w:val="007752D5"/>
    <w:rsid w:val="00780320"/>
    <w:rsid w:val="0078422F"/>
    <w:rsid w:val="007A1D9C"/>
    <w:rsid w:val="007B1531"/>
    <w:rsid w:val="007B3C24"/>
    <w:rsid w:val="007C4DC4"/>
    <w:rsid w:val="007C7511"/>
    <w:rsid w:val="007D6BAC"/>
    <w:rsid w:val="007E7100"/>
    <w:rsid w:val="007F7428"/>
    <w:rsid w:val="00804CCD"/>
    <w:rsid w:val="00821E6D"/>
    <w:rsid w:val="00824BEA"/>
    <w:rsid w:val="00826DD0"/>
    <w:rsid w:val="00840E01"/>
    <w:rsid w:val="0086266A"/>
    <w:rsid w:val="008672BE"/>
    <w:rsid w:val="00892BAD"/>
    <w:rsid w:val="008A036F"/>
    <w:rsid w:val="008C11D6"/>
    <w:rsid w:val="008E51A2"/>
    <w:rsid w:val="008E7C61"/>
    <w:rsid w:val="009179EC"/>
    <w:rsid w:val="009429DE"/>
    <w:rsid w:val="00944EF4"/>
    <w:rsid w:val="00961E34"/>
    <w:rsid w:val="009757D9"/>
    <w:rsid w:val="0098210A"/>
    <w:rsid w:val="009932C6"/>
    <w:rsid w:val="009955EE"/>
    <w:rsid w:val="009B09DF"/>
    <w:rsid w:val="00A01DFD"/>
    <w:rsid w:val="00A02B75"/>
    <w:rsid w:val="00A07A94"/>
    <w:rsid w:val="00A12AD1"/>
    <w:rsid w:val="00A3482B"/>
    <w:rsid w:val="00A63B77"/>
    <w:rsid w:val="00A82CF7"/>
    <w:rsid w:val="00AC69C2"/>
    <w:rsid w:val="00AE6522"/>
    <w:rsid w:val="00AF22E0"/>
    <w:rsid w:val="00AF6A2E"/>
    <w:rsid w:val="00AF72BE"/>
    <w:rsid w:val="00AF74B9"/>
    <w:rsid w:val="00B47AA9"/>
    <w:rsid w:val="00B65202"/>
    <w:rsid w:val="00B712D9"/>
    <w:rsid w:val="00B71767"/>
    <w:rsid w:val="00B7202F"/>
    <w:rsid w:val="00B91E93"/>
    <w:rsid w:val="00B92FB1"/>
    <w:rsid w:val="00BA73FE"/>
    <w:rsid w:val="00BC06AA"/>
    <w:rsid w:val="00BC5575"/>
    <w:rsid w:val="00BD2DA9"/>
    <w:rsid w:val="00BE1145"/>
    <w:rsid w:val="00BE53AF"/>
    <w:rsid w:val="00BF0445"/>
    <w:rsid w:val="00BF3292"/>
    <w:rsid w:val="00BF6093"/>
    <w:rsid w:val="00BF6443"/>
    <w:rsid w:val="00C1235E"/>
    <w:rsid w:val="00C12DCC"/>
    <w:rsid w:val="00C21C75"/>
    <w:rsid w:val="00C35DDD"/>
    <w:rsid w:val="00C41F88"/>
    <w:rsid w:val="00C67F32"/>
    <w:rsid w:val="00C84EAC"/>
    <w:rsid w:val="00C9663F"/>
    <w:rsid w:val="00CB36D9"/>
    <w:rsid w:val="00CC143C"/>
    <w:rsid w:val="00CC369C"/>
    <w:rsid w:val="00CD7286"/>
    <w:rsid w:val="00CF46D7"/>
    <w:rsid w:val="00CF5C18"/>
    <w:rsid w:val="00D56B1B"/>
    <w:rsid w:val="00D6031C"/>
    <w:rsid w:val="00D6393A"/>
    <w:rsid w:val="00D75AEB"/>
    <w:rsid w:val="00D81CF1"/>
    <w:rsid w:val="00D861EB"/>
    <w:rsid w:val="00D9035B"/>
    <w:rsid w:val="00D967C8"/>
    <w:rsid w:val="00D97FBD"/>
    <w:rsid w:val="00DB5BD2"/>
    <w:rsid w:val="00DC24EE"/>
    <w:rsid w:val="00DC2E27"/>
    <w:rsid w:val="00DC3981"/>
    <w:rsid w:val="00E00172"/>
    <w:rsid w:val="00E05F9A"/>
    <w:rsid w:val="00E3399B"/>
    <w:rsid w:val="00E400D8"/>
    <w:rsid w:val="00E44F09"/>
    <w:rsid w:val="00E54340"/>
    <w:rsid w:val="00E63BB0"/>
    <w:rsid w:val="00E95654"/>
    <w:rsid w:val="00EB19CF"/>
    <w:rsid w:val="00EC0BD2"/>
    <w:rsid w:val="00EF61AB"/>
    <w:rsid w:val="00F10FE8"/>
    <w:rsid w:val="00F21486"/>
    <w:rsid w:val="00F229B7"/>
    <w:rsid w:val="00F24818"/>
    <w:rsid w:val="00F341F4"/>
    <w:rsid w:val="00F47AEC"/>
    <w:rsid w:val="00F51208"/>
    <w:rsid w:val="00F77DA5"/>
    <w:rsid w:val="00F81D20"/>
    <w:rsid w:val="00FA3CDD"/>
    <w:rsid w:val="00FD11BD"/>
    <w:rsid w:val="00FE1B40"/>
    <w:rsid w:val="00FE44EC"/>
    <w:rsid w:val="00FE655C"/>
    <w:rsid w:val="0100390C"/>
    <w:rsid w:val="01421866"/>
    <w:rsid w:val="01683456"/>
    <w:rsid w:val="01892A29"/>
    <w:rsid w:val="019B4349"/>
    <w:rsid w:val="01A32655"/>
    <w:rsid w:val="01BB78DE"/>
    <w:rsid w:val="01C06D9D"/>
    <w:rsid w:val="02303E52"/>
    <w:rsid w:val="024D6952"/>
    <w:rsid w:val="025D0A31"/>
    <w:rsid w:val="02903FF1"/>
    <w:rsid w:val="029854B2"/>
    <w:rsid w:val="02C6395F"/>
    <w:rsid w:val="02D11544"/>
    <w:rsid w:val="02E101F4"/>
    <w:rsid w:val="02E42DB9"/>
    <w:rsid w:val="02F267FB"/>
    <w:rsid w:val="033E304C"/>
    <w:rsid w:val="034E34E5"/>
    <w:rsid w:val="0377218E"/>
    <w:rsid w:val="03840113"/>
    <w:rsid w:val="038748C9"/>
    <w:rsid w:val="03BA6482"/>
    <w:rsid w:val="03C2559E"/>
    <w:rsid w:val="03E95F56"/>
    <w:rsid w:val="04042CCD"/>
    <w:rsid w:val="040956A0"/>
    <w:rsid w:val="041871BA"/>
    <w:rsid w:val="042C5DF2"/>
    <w:rsid w:val="042F58B4"/>
    <w:rsid w:val="043B389F"/>
    <w:rsid w:val="043C1ADF"/>
    <w:rsid w:val="043D6775"/>
    <w:rsid w:val="044C4196"/>
    <w:rsid w:val="047E0954"/>
    <w:rsid w:val="047E3122"/>
    <w:rsid w:val="048117A4"/>
    <w:rsid w:val="04B36AFE"/>
    <w:rsid w:val="04DE5F43"/>
    <w:rsid w:val="04ED1A7B"/>
    <w:rsid w:val="04ED5FAE"/>
    <w:rsid w:val="04EE2C80"/>
    <w:rsid w:val="053E3467"/>
    <w:rsid w:val="05437D6F"/>
    <w:rsid w:val="055654FF"/>
    <w:rsid w:val="05837C14"/>
    <w:rsid w:val="05926AFC"/>
    <w:rsid w:val="05BB1631"/>
    <w:rsid w:val="05CA704A"/>
    <w:rsid w:val="05ED2FCC"/>
    <w:rsid w:val="06134019"/>
    <w:rsid w:val="067C413F"/>
    <w:rsid w:val="069A6E1B"/>
    <w:rsid w:val="06CE5D1F"/>
    <w:rsid w:val="06E62D1A"/>
    <w:rsid w:val="06E65C70"/>
    <w:rsid w:val="0703189E"/>
    <w:rsid w:val="07400CB3"/>
    <w:rsid w:val="077F129E"/>
    <w:rsid w:val="0790390F"/>
    <w:rsid w:val="07A51AC1"/>
    <w:rsid w:val="07D14A37"/>
    <w:rsid w:val="07F75BB6"/>
    <w:rsid w:val="07F774BF"/>
    <w:rsid w:val="080C22B5"/>
    <w:rsid w:val="08176FD5"/>
    <w:rsid w:val="083553E6"/>
    <w:rsid w:val="084367D4"/>
    <w:rsid w:val="084A33BA"/>
    <w:rsid w:val="08543AC4"/>
    <w:rsid w:val="0892340F"/>
    <w:rsid w:val="08AF3283"/>
    <w:rsid w:val="08AF5E5C"/>
    <w:rsid w:val="08B77D91"/>
    <w:rsid w:val="08E12374"/>
    <w:rsid w:val="08FE4D22"/>
    <w:rsid w:val="092A7209"/>
    <w:rsid w:val="09472F26"/>
    <w:rsid w:val="095605F0"/>
    <w:rsid w:val="096538CC"/>
    <w:rsid w:val="097E4CA3"/>
    <w:rsid w:val="09A0601A"/>
    <w:rsid w:val="09A96D52"/>
    <w:rsid w:val="09B04457"/>
    <w:rsid w:val="0A1341F3"/>
    <w:rsid w:val="0A167572"/>
    <w:rsid w:val="0A6238E5"/>
    <w:rsid w:val="0A785620"/>
    <w:rsid w:val="0AA66967"/>
    <w:rsid w:val="0AE96D0C"/>
    <w:rsid w:val="0B2B531E"/>
    <w:rsid w:val="0B341577"/>
    <w:rsid w:val="0B343278"/>
    <w:rsid w:val="0B485A8A"/>
    <w:rsid w:val="0B5B48A6"/>
    <w:rsid w:val="0B80263D"/>
    <w:rsid w:val="0B9E5C77"/>
    <w:rsid w:val="0BAD37DD"/>
    <w:rsid w:val="0BC52EC4"/>
    <w:rsid w:val="0BC607B5"/>
    <w:rsid w:val="0C01727B"/>
    <w:rsid w:val="0C0E5D2A"/>
    <w:rsid w:val="0C201306"/>
    <w:rsid w:val="0C2747F8"/>
    <w:rsid w:val="0C2B6701"/>
    <w:rsid w:val="0C606995"/>
    <w:rsid w:val="0C76312B"/>
    <w:rsid w:val="0C7D25F3"/>
    <w:rsid w:val="0CB65297"/>
    <w:rsid w:val="0CC80FE7"/>
    <w:rsid w:val="0CC912C9"/>
    <w:rsid w:val="0CD66D33"/>
    <w:rsid w:val="0CDC33DA"/>
    <w:rsid w:val="0CF16094"/>
    <w:rsid w:val="0CF33877"/>
    <w:rsid w:val="0D0A7DFE"/>
    <w:rsid w:val="0D180B0A"/>
    <w:rsid w:val="0D291AAF"/>
    <w:rsid w:val="0D307853"/>
    <w:rsid w:val="0D386697"/>
    <w:rsid w:val="0D48635B"/>
    <w:rsid w:val="0D7428A1"/>
    <w:rsid w:val="0D8301BA"/>
    <w:rsid w:val="0D883921"/>
    <w:rsid w:val="0D9027E5"/>
    <w:rsid w:val="0D9068A1"/>
    <w:rsid w:val="0D954B09"/>
    <w:rsid w:val="0D9724C0"/>
    <w:rsid w:val="0DAA456F"/>
    <w:rsid w:val="0DB32F16"/>
    <w:rsid w:val="0DB55A8B"/>
    <w:rsid w:val="0DC10264"/>
    <w:rsid w:val="0DC445CC"/>
    <w:rsid w:val="0DEC68B5"/>
    <w:rsid w:val="0E0433F8"/>
    <w:rsid w:val="0E065D31"/>
    <w:rsid w:val="0E1B6C6A"/>
    <w:rsid w:val="0E222C82"/>
    <w:rsid w:val="0E245E2A"/>
    <w:rsid w:val="0E3728ED"/>
    <w:rsid w:val="0E4F1D94"/>
    <w:rsid w:val="0E5053D1"/>
    <w:rsid w:val="0E581AFE"/>
    <w:rsid w:val="0E606057"/>
    <w:rsid w:val="0E652723"/>
    <w:rsid w:val="0E7333A9"/>
    <w:rsid w:val="0E7D38AA"/>
    <w:rsid w:val="0EDE74FA"/>
    <w:rsid w:val="0F28445F"/>
    <w:rsid w:val="0F321916"/>
    <w:rsid w:val="0F4262C6"/>
    <w:rsid w:val="0F55787B"/>
    <w:rsid w:val="0F6D0D84"/>
    <w:rsid w:val="0FE67B78"/>
    <w:rsid w:val="0FEE55B5"/>
    <w:rsid w:val="10063E37"/>
    <w:rsid w:val="100E2F59"/>
    <w:rsid w:val="103878F0"/>
    <w:rsid w:val="10452A61"/>
    <w:rsid w:val="108505D5"/>
    <w:rsid w:val="1094138A"/>
    <w:rsid w:val="10B43C41"/>
    <w:rsid w:val="10B770D7"/>
    <w:rsid w:val="10F55C63"/>
    <w:rsid w:val="10FB3302"/>
    <w:rsid w:val="11242406"/>
    <w:rsid w:val="113359C7"/>
    <w:rsid w:val="114A6D72"/>
    <w:rsid w:val="114F6A26"/>
    <w:rsid w:val="116D0589"/>
    <w:rsid w:val="11730634"/>
    <w:rsid w:val="1188362D"/>
    <w:rsid w:val="11C348E4"/>
    <w:rsid w:val="11D72029"/>
    <w:rsid w:val="11FC016B"/>
    <w:rsid w:val="1215513F"/>
    <w:rsid w:val="12461AF8"/>
    <w:rsid w:val="1265404E"/>
    <w:rsid w:val="126A66F2"/>
    <w:rsid w:val="126D458A"/>
    <w:rsid w:val="128822B7"/>
    <w:rsid w:val="128C735D"/>
    <w:rsid w:val="129950C0"/>
    <w:rsid w:val="12AF37E5"/>
    <w:rsid w:val="12BE1379"/>
    <w:rsid w:val="12DD6F6A"/>
    <w:rsid w:val="12FD6DCB"/>
    <w:rsid w:val="13090DCD"/>
    <w:rsid w:val="13096D6E"/>
    <w:rsid w:val="13144282"/>
    <w:rsid w:val="13230567"/>
    <w:rsid w:val="13401267"/>
    <w:rsid w:val="137150F6"/>
    <w:rsid w:val="13741FA0"/>
    <w:rsid w:val="137763D5"/>
    <w:rsid w:val="13796E03"/>
    <w:rsid w:val="13862030"/>
    <w:rsid w:val="139900FC"/>
    <w:rsid w:val="13C25DA2"/>
    <w:rsid w:val="13D20224"/>
    <w:rsid w:val="13FA778A"/>
    <w:rsid w:val="140214AD"/>
    <w:rsid w:val="1405192C"/>
    <w:rsid w:val="140A04C9"/>
    <w:rsid w:val="143376E1"/>
    <w:rsid w:val="14351698"/>
    <w:rsid w:val="14421A16"/>
    <w:rsid w:val="145304E8"/>
    <w:rsid w:val="145911C4"/>
    <w:rsid w:val="149E54BE"/>
    <w:rsid w:val="14A746EE"/>
    <w:rsid w:val="14A76C40"/>
    <w:rsid w:val="14BD70F0"/>
    <w:rsid w:val="14CF76E3"/>
    <w:rsid w:val="14DF53FE"/>
    <w:rsid w:val="14EF6168"/>
    <w:rsid w:val="15227476"/>
    <w:rsid w:val="155E4003"/>
    <w:rsid w:val="15635965"/>
    <w:rsid w:val="1593290D"/>
    <w:rsid w:val="15984010"/>
    <w:rsid w:val="15AB2740"/>
    <w:rsid w:val="15CB4B32"/>
    <w:rsid w:val="15E877EE"/>
    <w:rsid w:val="15F67641"/>
    <w:rsid w:val="161047B5"/>
    <w:rsid w:val="162E6E5F"/>
    <w:rsid w:val="1644553F"/>
    <w:rsid w:val="165A5BBA"/>
    <w:rsid w:val="165B6215"/>
    <w:rsid w:val="166435B7"/>
    <w:rsid w:val="166E116D"/>
    <w:rsid w:val="16880C28"/>
    <w:rsid w:val="168A0D82"/>
    <w:rsid w:val="1691770D"/>
    <w:rsid w:val="16BB043F"/>
    <w:rsid w:val="16D351BA"/>
    <w:rsid w:val="16E400C7"/>
    <w:rsid w:val="16F26BB7"/>
    <w:rsid w:val="170243D6"/>
    <w:rsid w:val="17370882"/>
    <w:rsid w:val="17851E38"/>
    <w:rsid w:val="178904F9"/>
    <w:rsid w:val="178A1103"/>
    <w:rsid w:val="17BD6697"/>
    <w:rsid w:val="17EE0BA2"/>
    <w:rsid w:val="17FC7106"/>
    <w:rsid w:val="183539E5"/>
    <w:rsid w:val="183D21F3"/>
    <w:rsid w:val="18476530"/>
    <w:rsid w:val="18503751"/>
    <w:rsid w:val="186C33CA"/>
    <w:rsid w:val="186F4230"/>
    <w:rsid w:val="18760EE9"/>
    <w:rsid w:val="18B77532"/>
    <w:rsid w:val="18D25F75"/>
    <w:rsid w:val="18E07246"/>
    <w:rsid w:val="18E13C01"/>
    <w:rsid w:val="190C296A"/>
    <w:rsid w:val="194175B3"/>
    <w:rsid w:val="19473BA7"/>
    <w:rsid w:val="19BE5A4B"/>
    <w:rsid w:val="19D20175"/>
    <w:rsid w:val="1A134E4F"/>
    <w:rsid w:val="1A3D0518"/>
    <w:rsid w:val="1A5F2F35"/>
    <w:rsid w:val="1A6F68A4"/>
    <w:rsid w:val="1A8E53FF"/>
    <w:rsid w:val="1A9555C1"/>
    <w:rsid w:val="1AB46370"/>
    <w:rsid w:val="1ABA3E40"/>
    <w:rsid w:val="1ABE1837"/>
    <w:rsid w:val="1AC766F9"/>
    <w:rsid w:val="1AD21D52"/>
    <w:rsid w:val="1AFF4667"/>
    <w:rsid w:val="1B185267"/>
    <w:rsid w:val="1B1D6B6A"/>
    <w:rsid w:val="1B7345A5"/>
    <w:rsid w:val="1B770D54"/>
    <w:rsid w:val="1B7C4A77"/>
    <w:rsid w:val="1B9476CB"/>
    <w:rsid w:val="1BB40B66"/>
    <w:rsid w:val="1BBC5D0B"/>
    <w:rsid w:val="1BD746DF"/>
    <w:rsid w:val="1BE271E4"/>
    <w:rsid w:val="1BEC6B0F"/>
    <w:rsid w:val="1C116575"/>
    <w:rsid w:val="1C1C6FED"/>
    <w:rsid w:val="1C2141D7"/>
    <w:rsid w:val="1C4B0B66"/>
    <w:rsid w:val="1C5027E7"/>
    <w:rsid w:val="1C6A223B"/>
    <w:rsid w:val="1C6C6F8F"/>
    <w:rsid w:val="1C7A5321"/>
    <w:rsid w:val="1C891B7E"/>
    <w:rsid w:val="1C8A24A6"/>
    <w:rsid w:val="1CEC142A"/>
    <w:rsid w:val="1D046618"/>
    <w:rsid w:val="1D350989"/>
    <w:rsid w:val="1D35212C"/>
    <w:rsid w:val="1D3C49F0"/>
    <w:rsid w:val="1D3E2BD2"/>
    <w:rsid w:val="1D804DF1"/>
    <w:rsid w:val="1D893AF2"/>
    <w:rsid w:val="1D9658AF"/>
    <w:rsid w:val="1DB33C2E"/>
    <w:rsid w:val="1DEF4B97"/>
    <w:rsid w:val="1E274249"/>
    <w:rsid w:val="1E314F7B"/>
    <w:rsid w:val="1E5D789A"/>
    <w:rsid w:val="1E5E14ED"/>
    <w:rsid w:val="1E8648BE"/>
    <w:rsid w:val="1EAD21C7"/>
    <w:rsid w:val="1EB83840"/>
    <w:rsid w:val="1EC35BA7"/>
    <w:rsid w:val="1ECD645B"/>
    <w:rsid w:val="1F0059BA"/>
    <w:rsid w:val="1F1D2DC9"/>
    <w:rsid w:val="1F241011"/>
    <w:rsid w:val="1F640385"/>
    <w:rsid w:val="1FBF52AF"/>
    <w:rsid w:val="1FD47844"/>
    <w:rsid w:val="20052992"/>
    <w:rsid w:val="200F5BCA"/>
    <w:rsid w:val="20155E25"/>
    <w:rsid w:val="20324DA5"/>
    <w:rsid w:val="20346EFB"/>
    <w:rsid w:val="203B18B4"/>
    <w:rsid w:val="20547043"/>
    <w:rsid w:val="20554073"/>
    <w:rsid w:val="208234C3"/>
    <w:rsid w:val="20A05C93"/>
    <w:rsid w:val="20B16579"/>
    <w:rsid w:val="20DF0DD2"/>
    <w:rsid w:val="20E71588"/>
    <w:rsid w:val="21075171"/>
    <w:rsid w:val="211553E0"/>
    <w:rsid w:val="2118245A"/>
    <w:rsid w:val="2139298F"/>
    <w:rsid w:val="213B7338"/>
    <w:rsid w:val="215D11C0"/>
    <w:rsid w:val="216C3763"/>
    <w:rsid w:val="216F2365"/>
    <w:rsid w:val="218864B1"/>
    <w:rsid w:val="220C6A6A"/>
    <w:rsid w:val="22160E9E"/>
    <w:rsid w:val="2225116B"/>
    <w:rsid w:val="224228E1"/>
    <w:rsid w:val="22647D89"/>
    <w:rsid w:val="226A1B81"/>
    <w:rsid w:val="228048EE"/>
    <w:rsid w:val="228C2E52"/>
    <w:rsid w:val="22A250A5"/>
    <w:rsid w:val="22E771D2"/>
    <w:rsid w:val="22F32B29"/>
    <w:rsid w:val="230D420B"/>
    <w:rsid w:val="2310184B"/>
    <w:rsid w:val="23164C4B"/>
    <w:rsid w:val="231D3918"/>
    <w:rsid w:val="23204B91"/>
    <w:rsid w:val="23365955"/>
    <w:rsid w:val="234A704C"/>
    <w:rsid w:val="239F2F1E"/>
    <w:rsid w:val="23A106DD"/>
    <w:rsid w:val="23A77931"/>
    <w:rsid w:val="23B169FC"/>
    <w:rsid w:val="23B74CC3"/>
    <w:rsid w:val="23F13FA6"/>
    <w:rsid w:val="23F728A4"/>
    <w:rsid w:val="24037C11"/>
    <w:rsid w:val="241D37F3"/>
    <w:rsid w:val="2429042B"/>
    <w:rsid w:val="24406A22"/>
    <w:rsid w:val="244F2355"/>
    <w:rsid w:val="24737E47"/>
    <w:rsid w:val="24842AC9"/>
    <w:rsid w:val="24B70997"/>
    <w:rsid w:val="24C918E4"/>
    <w:rsid w:val="25090731"/>
    <w:rsid w:val="251A0CF7"/>
    <w:rsid w:val="251B3741"/>
    <w:rsid w:val="25250720"/>
    <w:rsid w:val="253F66B0"/>
    <w:rsid w:val="2564653C"/>
    <w:rsid w:val="259B0480"/>
    <w:rsid w:val="25A1735B"/>
    <w:rsid w:val="25CE749F"/>
    <w:rsid w:val="25FF0C78"/>
    <w:rsid w:val="260D6E61"/>
    <w:rsid w:val="262A60FD"/>
    <w:rsid w:val="262F496D"/>
    <w:rsid w:val="265658EB"/>
    <w:rsid w:val="26796841"/>
    <w:rsid w:val="26A27BE0"/>
    <w:rsid w:val="26A733C0"/>
    <w:rsid w:val="26A75A5A"/>
    <w:rsid w:val="26AC6598"/>
    <w:rsid w:val="26AE260D"/>
    <w:rsid w:val="26BF6CC8"/>
    <w:rsid w:val="26D206A6"/>
    <w:rsid w:val="26FB6447"/>
    <w:rsid w:val="27163166"/>
    <w:rsid w:val="271C14F4"/>
    <w:rsid w:val="272E46B6"/>
    <w:rsid w:val="272F5791"/>
    <w:rsid w:val="273B17BD"/>
    <w:rsid w:val="273B6F43"/>
    <w:rsid w:val="27454FE7"/>
    <w:rsid w:val="27502468"/>
    <w:rsid w:val="27627CCC"/>
    <w:rsid w:val="279D7CFA"/>
    <w:rsid w:val="27B63B72"/>
    <w:rsid w:val="27D054CD"/>
    <w:rsid w:val="27DE4A8F"/>
    <w:rsid w:val="27E02DAF"/>
    <w:rsid w:val="280349D4"/>
    <w:rsid w:val="280874B4"/>
    <w:rsid w:val="28273825"/>
    <w:rsid w:val="28287775"/>
    <w:rsid w:val="28400DE8"/>
    <w:rsid w:val="2840111C"/>
    <w:rsid w:val="285B453F"/>
    <w:rsid w:val="2887270F"/>
    <w:rsid w:val="289E6001"/>
    <w:rsid w:val="28A67745"/>
    <w:rsid w:val="28B41000"/>
    <w:rsid w:val="28D66744"/>
    <w:rsid w:val="29013255"/>
    <w:rsid w:val="29052C71"/>
    <w:rsid w:val="290E5921"/>
    <w:rsid w:val="29240969"/>
    <w:rsid w:val="296F2207"/>
    <w:rsid w:val="2998038F"/>
    <w:rsid w:val="29B53816"/>
    <w:rsid w:val="29DE2D07"/>
    <w:rsid w:val="2A2166BE"/>
    <w:rsid w:val="2A4D53BF"/>
    <w:rsid w:val="2A5D4518"/>
    <w:rsid w:val="2A6413B9"/>
    <w:rsid w:val="2A805303"/>
    <w:rsid w:val="2A9160E4"/>
    <w:rsid w:val="2AA905A0"/>
    <w:rsid w:val="2AAD435E"/>
    <w:rsid w:val="2AEE6DC9"/>
    <w:rsid w:val="2B1D1A9E"/>
    <w:rsid w:val="2B275B09"/>
    <w:rsid w:val="2B2A6B10"/>
    <w:rsid w:val="2B2C7EFD"/>
    <w:rsid w:val="2B5D7831"/>
    <w:rsid w:val="2B9F3937"/>
    <w:rsid w:val="2BBC21BD"/>
    <w:rsid w:val="2BC159CC"/>
    <w:rsid w:val="2BDD6E85"/>
    <w:rsid w:val="2C187B54"/>
    <w:rsid w:val="2C355316"/>
    <w:rsid w:val="2C41145A"/>
    <w:rsid w:val="2C785D66"/>
    <w:rsid w:val="2CA714E0"/>
    <w:rsid w:val="2CB23EF6"/>
    <w:rsid w:val="2CD80CA2"/>
    <w:rsid w:val="2CFD2D18"/>
    <w:rsid w:val="2D287BC3"/>
    <w:rsid w:val="2D2E6F42"/>
    <w:rsid w:val="2D356477"/>
    <w:rsid w:val="2D526A7F"/>
    <w:rsid w:val="2D532856"/>
    <w:rsid w:val="2D632787"/>
    <w:rsid w:val="2D7C34C7"/>
    <w:rsid w:val="2D8401A1"/>
    <w:rsid w:val="2D861D8E"/>
    <w:rsid w:val="2DC34FFE"/>
    <w:rsid w:val="2DD34B51"/>
    <w:rsid w:val="2E0F01A2"/>
    <w:rsid w:val="2E285745"/>
    <w:rsid w:val="2E525F4F"/>
    <w:rsid w:val="2E7061B9"/>
    <w:rsid w:val="2E7B079D"/>
    <w:rsid w:val="2E9512DC"/>
    <w:rsid w:val="2EDC68D8"/>
    <w:rsid w:val="2EE70E3E"/>
    <w:rsid w:val="2F0628A9"/>
    <w:rsid w:val="2F715F8D"/>
    <w:rsid w:val="2F724EF7"/>
    <w:rsid w:val="2F8268CA"/>
    <w:rsid w:val="2FB425BE"/>
    <w:rsid w:val="2FBD2EB5"/>
    <w:rsid w:val="2FC06203"/>
    <w:rsid w:val="2FCB751B"/>
    <w:rsid w:val="301216A5"/>
    <w:rsid w:val="301B4497"/>
    <w:rsid w:val="302B4C57"/>
    <w:rsid w:val="304D7FDB"/>
    <w:rsid w:val="305373A1"/>
    <w:rsid w:val="305835DF"/>
    <w:rsid w:val="30623410"/>
    <w:rsid w:val="306E7905"/>
    <w:rsid w:val="30802232"/>
    <w:rsid w:val="30914C41"/>
    <w:rsid w:val="30A4351B"/>
    <w:rsid w:val="30C90C32"/>
    <w:rsid w:val="30DC22B5"/>
    <w:rsid w:val="30E824B3"/>
    <w:rsid w:val="30F6762E"/>
    <w:rsid w:val="30FE229E"/>
    <w:rsid w:val="31157FD4"/>
    <w:rsid w:val="312D0892"/>
    <w:rsid w:val="31334005"/>
    <w:rsid w:val="315C063C"/>
    <w:rsid w:val="31A83577"/>
    <w:rsid w:val="31B6026E"/>
    <w:rsid w:val="31C81287"/>
    <w:rsid w:val="31D420C7"/>
    <w:rsid w:val="31FC25BB"/>
    <w:rsid w:val="320662C2"/>
    <w:rsid w:val="320F2B7F"/>
    <w:rsid w:val="323B6E74"/>
    <w:rsid w:val="32941A12"/>
    <w:rsid w:val="32A534F2"/>
    <w:rsid w:val="32A60298"/>
    <w:rsid w:val="32A61DA7"/>
    <w:rsid w:val="32AA7F71"/>
    <w:rsid w:val="32AB2590"/>
    <w:rsid w:val="32B35497"/>
    <w:rsid w:val="32C0538D"/>
    <w:rsid w:val="32E00C87"/>
    <w:rsid w:val="330A3D47"/>
    <w:rsid w:val="331B6931"/>
    <w:rsid w:val="3334740F"/>
    <w:rsid w:val="336127DE"/>
    <w:rsid w:val="33982D8C"/>
    <w:rsid w:val="33D857E5"/>
    <w:rsid w:val="33EA154C"/>
    <w:rsid w:val="34100582"/>
    <w:rsid w:val="341221FB"/>
    <w:rsid w:val="342E3621"/>
    <w:rsid w:val="345211E3"/>
    <w:rsid w:val="34781430"/>
    <w:rsid w:val="34A50FCD"/>
    <w:rsid w:val="34AA42FA"/>
    <w:rsid w:val="34BA1A94"/>
    <w:rsid w:val="34C91C8B"/>
    <w:rsid w:val="34D67282"/>
    <w:rsid w:val="34F273F3"/>
    <w:rsid w:val="34F452B8"/>
    <w:rsid w:val="351F5D4F"/>
    <w:rsid w:val="353537E3"/>
    <w:rsid w:val="357331BF"/>
    <w:rsid w:val="35966916"/>
    <w:rsid w:val="359816DA"/>
    <w:rsid w:val="35B31FBD"/>
    <w:rsid w:val="35B8152A"/>
    <w:rsid w:val="35BF1FB9"/>
    <w:rsid w:val="35C32BCC"/>
    <w:rsid w:val="35D80743"/>
    <w:rsid w:val="3606231A"/>
    <w:rsid w:val="360E03C8"/>
    <w:rsid w:val="36604B7C"/>
    <w:rsid w:val="36683267"/>
    <w:rsid w:val="368B71BF"/>
    <w:rsid w:val="369431CD"/>
    <w:rsid w:val="36960053"/>
    <w:rsid w:val="36CD7109"/>
    <w:rsid w:val="370536F9"/>
    <w:rsid w:val="370F1EA1"/>
    <w:rsid w:val="371C1D14"/>
    <w:rsid w:val="373939FB"/>
    <w:rsid w:val="3742731A"/>
    <w:rsid w:val="375A2C31"/>
    <w:rsid w:val="375E0700"/>
    <w:rsid w:val="376231E3"/>
    <w:rsid w:val="37775DC1"/>
    <w:rsid w:val="37C83566"/>
    <w:rsid w:val="37CC02AC"/>
    <w:rsid w:val="37D13DAF"/>
    <w:rsid w:val="37DA0AE8"/>
    <w:rsid w:val="380802BB"/>
    <w:rsid w:val="38443150"/>
    <w:rsid w:val="385342D5"/>
    <w:rsid w:val="385F0069"/>
    <w:rsid w:val="38800F65"/>
    <w:rsid w:val="38813697"/>
    <w:rsid w:val="388749CB"/>
    <w:rsid w:val="38B1302B"/>
    <w:rsid w:val="38B91C49"/>
    <w:rsid w:val="38DF664A"/>
    <w:rsid w:val="38FE5B87"/>
    <w:rsid w:val="39095997"/>
    <w:rsid w:val="39172938"/>
    <w:rsid w:val="39A00433"/>
    <w:rsid w:val="39AD2998"/>
    <w:rsid w:val="39B045E0"/>
    <w:rsid w:val="39E74E39"/>
    <w:rsid w:val="39EC7F6C"/>
    <w:rsid w:val="39FB6913"/>
    <w:rsid w:val="3A451DB4"/>
    <w:rsid w:val="3A7E4E57"/>
    <w:rsid w:val="3A983878"/>
    <w:rsid w:val="3ACD2F98"/>
    <w:rsid w:val="3AE81585"/>
    <w:rsid w:val="3AEF74FE"/>
    <w:rsid w:val="3AF2090E"/>
    <w:rsid w:val="3AF726A2"/>
    <w:rsid w:val="3B292881"/>
    <w:rsid w:val="3B743A54"/>
    <w:rsid w:val="3BE2765C"/>
    <w:rsid w:val="3BEC2CF4"/>
    <w:rsid w:val="3BF05D4F"/>
    <w:rsid w:val="3C157C55"/>
    <w:rsid w:val="3C207011"/>
    <w:rsid w:val="3C3F0172"/>
    <w:rsid w:val="3C6269DE"/>
    <w:rsid w:val="3C6775E7"/>
    <w:rsid w:val="3C6858C9"/>
    <w:rsid w:val="3C6F525F"/>
    <w:rsid w:val="3C75207F"/>
    <w:rsid w:val="3C81332B"/>
    <w:rsid w:val="3CA11126"/>
    <w:rsid w:val="3CB01AC1"/>
    <w:rsid w:val="3CE96E8D"/>
    <w:rsid w:val="3CEA5012"/>
    <w:rsid w:val="3CF13E04"/>
    <w:rsid w:val="3CF772D5"/>
    <w:rsid w:val="3D13629F"/>
    <w:rsid w:val="3D19363A"/>
    <w:rsid w:val="3D3E75C2"/>
    <w:rsid w:val="3D45594C"/>
    <w:rsid w:val="3D48307D"/>
    <w:rsid w:val="3D6D6A5B"/>
    <w:rsid w:val="3D8418FA"/>
    <w:rsid w:val="3D9F1B9B"/>
    <w:rsid w:val="3DA04EAD"/>
    <w:rsid w:val="3DD71BE4"/>
    <w:rsid w:val="3DFE1F7D"/>
    <w:rsid w:val="3E056D5E"/>
    <w:rsid w:val="3E0F39F4"/>
    <w:rsid w:val="3E3B179A"/>
    <w:rsid w:val="3E9F6514"/>
    <w:rsid w:val="3EC37376"/>
    <w:rsid w:val="3EE64818"/>
    <w:rsid w:val="3EF21D59"/>
    <w:rsid w:val="3F167490"/>
    <w:rsid w:val="3F1E169C"/>
    <w:rsid w:val="3F201434"/>
    <w:rsid w:val="3F2103C0"/>
    <w:rsid w:val="3F2A77CA"/>
    <w:rsid w:val="3F4150D3"/>
    <w:rsid w:val="3F4D0397"/>
    <w:rsid w:val="3F69589C"/>
    <w:rsid w:val="3F6A2EB2"/>
    <w:rsid w:val="3F7044C0"/>
    <w:rsid w:val="3F89477B"/>
    <w:rsid w:val="3F903CB0"/>
    <w:rsid w:val="3F9E5838"/>
    <w:rsid w:val="3FA03C8E"/>
    <w:rsid w:val="3FAC1D69"/>
    <w:rsid w:val="3FC30939"/>
    <w:rsid w:val="3FD8575B"/>
    <w:rsid w:val="400D1324"/>
    <w:rsid w:val="401E1817"/>
    <w:rsid w:val="4022454D"/>
    <w:rsid w:val="40292ACE"/>
    <w:rsid w:val="403517F7"/>
    <w:rsid w:val="4079391A"/>
    <w:rsid w:val="409C3112"/>
    <w:rsid w:val="40C65859"/>
    <w:rsid w:val="40D32A6B"/>
    <w:rsid w:val="40E76EEC"/>
    <w:rsid w:val="41195482"/>
    <w:rsid w:val="412C4940"/>
    <w:rsid w:val="41985D30"/>
    <w:rsid w:val="419D0727"/>
    <w:rsid w:val="419E0761"/>
    <w:rsid w:val="41B101AA"/>
    <w:rsid w:val="41BB4894"/>
    <w:rsid w:val="41D709B0"/>
    <w:rsid w:val="41F50C5D"/>
    <w:rsid w:val="41F65CC8"/>
    <w:rsid w:val="42530F2C"/>
    <w:rsid w:val="42851F86"/>
    <w:rsid w:val="42AB4F0D"/>
    <w:rsid w:val="42B00246"/>
    <w:rsid w:val="42D4087C"/>
    <w:rsid w:val="42E34F87"/>
    <w:rsid w:val="42F80B8E"/>
    <w:rsid w:val="433A51B1"/>
    <w:rsid w:val="436F4534"/>
    <w:rsid w:val="43754ED1"/>
    <w:rsid w:val="439A4D10"/>
    <w:rsid w:val="43A072BE"/>
    <w:rsid w:val="43F630F9"/>
    <w:rsid w:val="4414742F"/>
    <w:rsid w:val="44185130"/>
    <w:rsid w:val="44226A76"/>
    <w:rsid w:val="44393424"/>
    <w:rsid w:val="444B386E"/>
    <w:rsid w:val="444F08FA"/>
    <w:rsid w:val="44A27E3A"/>
    <w:rsid w:val="44AC3F5B"/>
    <w:rsid w:val="44B5278E"/>
    <w:rsid w:val="44B8182A"/>
    <w:rsid w:val="44C00B9F"/>
    <w:rsid w:val="44D878CD"/>
    <w:rsid w:val="44E810DE"/>
    <w:rsid w:val="44E93AF4"/>
    <w:rsid w:val="450F7CC3"/>
    <w:rsid w:val="452C2695"/>
    <w:rsid w:val="452C3E8A"/>
    <w:rsid w:val="45330254"/>
    <w:rsid w:val="4547686B"/>
    <w:rsid w:val="456D3D50"/>
    <w:rsid w:val="457F1E0E"/>
    <w:rsid w:val="457F54A0"/>
    <w:rsid w:val="4588045E"/>
    <w:rsid w:val="458A1763"/>
    <w:rsid w:val="45A27A6E"/>
    <w:rsid w:val="45C016D9"/>
    <w:rsid w:val="45FB25FC"/>
    <w:rsid w:val="4610546C"/>
    <w:rsid w:val="461A1DEF"/>
    <w:rsid w:val="461E2A9E"/>
    <w:rsid w:val="463531E9"/>
    <w:rsid w:val="464078C0"/>
    <w:rsid w:val="464B290E"/>
    <w:rsid w:val="46C30069"/>
    <w:rsid w:val="46ED66AF"/>
    <w:rsid w:val="46FA6E2F"/>
    <w:rsid w:val="46FF153C"/>
    <w:rsid w:val="47022DDB"/>
    <w:rsid w:val="471B2690"/>
    <w:rsid w:val="474A0B7D"/>
    <w:rsid w:val="474C15D6"/>
    <w:rsid w:val="47542D0E"/>
    <w:rsid w:val="47B2443D"/>
    <w:rsid w:val="47C31207"/>
    <w:rsid w:val="47E331F7"/>
    <w:rsid w:val="48113460"/>
    <w:rsid w:val="481B0013"/>
    <w:rsid w:val="48291474"/>
    <w:rsid w:val="482B7F18"/>
    <w:rsid w:val="482D2807"/>
    <w:rsid w:val="485D4415"/>
    <w:rsid w:val="4871485E"/>
    <w:rsid w:val="487B2013"/>
    <w:rsid w:val="48CA103E"/>
    <w:rsid w:val="48E04A9C"/>
    <w:rsid w:val="48EC3917"/>
    <w:rsid w:val="48F21D72"/>
    <w:rsid w:val="49070B77"/>
    <w:rsid w:val="49274EC4"/>
    <w:rsid w:val="4935774C"/>
    <w:rsid w:val="494F42D0"/>
    <w:rsid w:val="496B2B17"/>
    <w:rsid w:val="497C41DF"/>
    <w:rsid w:val="49BC605D"/>
    <w:rsid w:val="49F843EA"/>
    <w:rsid w:val="4A0C18D0"/>
    <w:rsid w:val="4A4235ED"/>
    <w:rsid w:val="4A4D5CFF"/>
    <w:rsid w:val="4A520A1B"/>
    <w:rsid w:val="4A897A9B"/>
    <w:rsid w:val="4A9F5C4F"/>
    <w:rsid w:val="4AA74983"/>
    <w:rsid w:val="4AC44595"/>
    <w:rsid w:val="4AC63348"/>
    <w:rsid w:val="4ACA567C"/>
    <w:rsid w:val="4ACD6A65"/>
    <w:rsid w:val="4AD172A4"/>
    <w:rsid w:val="4AD42B42"/>
    <w:rsid w:val="4AE11DC9"/>
    <w:rsid w:val="4AE24C14"/>
    <w:rsid w:val="4AEE44A4"/>
    <w:rsid w:val="4AF40B31"/>
    <w:rsid w:val="4AFE1C49"/>
    <w:rsid w:val="4B19217B"/>
    <w:rsid w:val="4B1B0C7B"/>
    <w:rsid w:val="4B301285"/>
    <w:rsid w:val="4B654430"/>
    <w:rsid w:val="4B9B49F1"/>
    <w:rsid w:val="4BA26C84"/>
    <w:rsid w:val="4BFE5C5D"/>
    <w:rsid w:val="4C216D91"/>
    <w:rsid w:val="4C3B7B68"/>
    <w:rsid w:val="4C60771E"/>
    <w:rsid w:val="4C914FD9"/>
    <w:rsid w:val="4CDA6157"/>
    <w:rsid w:val="4CFD76BE"/>
    <w:rsid w:val="4D324012"/>
    <w:rsid w:val="4D3F4C8D"/>
    <w:rsid w:val="4D5375EB"/>
    <w:rsid w:val="4D595D95"/>
    <w:rsid w:val="4D6F5FF7"/>
    <w:rsid w:val="4D7A1FBE"/>
    <w:rsid w:val="4D7D13AB"/>
    <w:rsid w:val="4DA74BD2"/>
    <w:rsid w:val="4DB16074"/>
    <w:rsid w:val="4DDB2238"/>
    <w:rsid w:val="4E562ED0"/>
    <w:rsid w:val="4E9407BC"/>
    <w:rsid w:val="4EBF58E5"/>
    <w:rsid w:val="4ECC2935"/>
    <w:rsid w:val="4EDB45D7"/>
    <w:rsid w:val="4F070495"/>
    <w:rsid w:val="4F0A56DB"/>
    <w:rsid w:val="4F37016F"/>
    <w:rsid w:val="4F3E579E"/>
    <w:rsid w:val="4F4524B4"/>
    <w:rsid w:val="4F4C3A40"/>
    <w:rsid w:val="4F536C76"/>
    <w:rsid w:val="4F960087"/>
    <w:rsid w:val="4FA44BB2"/>
    <w:rsid w:val="4FB56058"/>
    <w:rsid w:val="4FBC358C"/>
    <w:rsid w:val="4FD94FDD"/>
    <w:rsid w:val="4FD96F0B"/>
    <w:rsid w:val="4FF36F49"/>
    <w:rsid w:val="4FFB4818"/>
    <w:rsid w:val="500021C7"/>
    <w:rsid w:val="50207200"/>
    <w:rsid w:val="502379B3"/>
    <w:rsid w:val="50246688"/>
    <w:rsid w:val="50262D7F"/>
    <w:rsid w:val="502909B1"/>
    <w:rsid w:val="50354514"/>
    <w:rsid w:val="503B4446"/>
    <w:rsid w:val="505218E5"/>
    <w:rsid w:val="50645371"/>
    <w:rsid w:val="508D5A72"/>
    <w:rsid w:val="50FC4FA4"/>
    <w:rsid w:val="51055F4E"/>
    <w:rsid w:val="512619EC"/>
    <w:rsid w:val="51433D0B"/>
    <w:rsid w:val="514349DF"/>
    <w:rsid w:val="51752C91"/>
    <w:rsid w:val="51837711"/>
    <w:rsid w:val="51844B18"/>
    <w:rsid w:val="519434E5"/>
    <w:rsid w:val="519C757C"/>
    <w:rsid w:val="51C20298"/>
    <w:rsid w:val="51D366B6"/>
    <w:rsid w:val="52344790"/>
    <w:rsid w:val="52660EFD"/>
    <w:rsid w:val="52761FF3"/>
    <w:rsid w:val="528323BF"/>
    <w:rsid w:val="52A75148"/>
    <w:rsid w:val="52C5344F"/>
    <w:rsid w:val="52CC338B"/>
    <w:rsid w:val="52D041F9"/>
    <w:rsid w:val="532A17E7"/>
    <w:rsid w:val="534E6E9E"/>
    <w:rsid w:val="5366733E"/>
    <w:rsid w:val="536A3708"/>
    <w:rsid w:val="539E56B8"/>
    <w:rsid w:val="53AB314A"/>
    <w:rsid w:val="53BB0CC5"/>
    <w:rsid w:val="53DD7A90"/>
    <w:rsid w:val="53F360C7"/>
    <w:rsid w:val="53F95C9F"/>
    <w:rsid w:val="53FB6ED0"/>
    <w:rsid w:val="53FD2613"/>
    <w:rsid w:val="54023D00"/>
    <w:rsid w:val="540E2DBF"/>
    <w:rsid w:val="5421661C"/>
    <w:rsid w:val="54334AF5"/>
    <w:rsid w:val="54477CCC"/>
    <w:rsid w:val="54856DC3"/>
    <w:rsid w:val="54D3049F"/>
    <w:rsid w:val="54DC7112"/>
    <w:rsid w:val="54E93865"/>
    <w:rsid w:val="54FE437D"/>
    <w:rsid w:val="55001C6C"/>
    <w:rsid w:val="550145CA"/>
    <w:rsid w:val="551D350C"/>
    <w:rsid w:val="551E1E45"/>
    <w:rsid w:val="55225732"/>
    <w:rsid w:val="55257FAF"/>
    <w:rsid w:val="55327D5F"/>
    <w:rsid w:val="5542426C"/>
    <w:rsid w:val="5549486A"/>
    <w:rsid w:val="557E7125"/>
    <w:rsid w:val="55847D8A"/>
    <w:rsid w:val="55862183"/>
    <w:rsid w:val="559567A8"/>
    <w:rsid w:val="559D0B07"/>
    <w:rsid w:val="55A22115"/>
    <w:rsid w:val="55C9353A"/>
    <w:rsid w:val="55D004EE"/>
    <w:rsid w:val="55D00AFE"/>
    <w:rsid w:val="55EA4C8D"/>
    <w:rsid w:val="55EC1B56"/>
    <w:rsid w:val="55F31239"/>
    <w:rsid w:val="56554BB1"/>
    <w:rsid w:val="56585918"/>
    <w:rsid w:val="566F6867"/>
    <w:rsid w:val="569C1A46"/>
    <w:rsid w:val="56E43A8D"/>
    <w:rsid w:val="570E47A6"/>
    <w:rsid w:val="57195AD3"/>
    <w:rsid w:val="57405D72"/>
    <w:rsid w:val="574960BF"/>
    <w:rsid w:val="57596A82"/>
    <w:rsid w:val="57703072"/>
    <w:rsid w:val="577B7D41"/>
    <w:rsid w:val="577F47BE"/>
    <w:rsid w:val="578C6340"/>
    <w:rsid w:val="57BD2100"/>
    <w:rsid w:val="57C1470D"/>
    <w:rsid w:val="57C86454"/>
    <w:rsid w:val="57DE03AB"/>
    <w:rsid w:val="57E81EE8"/>
    <w:rsid w:val="582D5BCE"/>
    <w:rsid w:val="582E0DC7"/>
    <w:rsid w:val="584A1345"/>
    <w:rsid w:val="5865610D"/>
    <w:rsid w:val="58661CC5"/>
    <w:rsid w:val="58785A7C"/>
    <w:rsid w:val="58882ACE"/>
    <w:rsid w:val="589D3550"/>
    <w:rsid w:val="58C96C1F"/>
    <w:rsid w:val="58F248C1"/>
    <w:rsid w:val="58F772FE"/>
    <w:rsid w:val="59146DDA"/>
    <w:rsid w:val="595E6D1A"/>
    <w:rsid w:val="5975028C"/>
    <w:rsid w:val="59751451"/>
    <w:rsid w:val="59C0599C"/>
    <w:rsid w:val="59C363FA"/>
    <w:rsid w:val="5A1B1DC0"/>
    <w:rsid w:val="5A283BDC"/>
    <w:rsid w:val="5A386B10"/>
    <w:rsid w:val="5A4743CC"/>
    <w:rsid w:val="5A481E78"/>
    <w:rsid w:val="5A4E1CE2"/>
    <w:rsid w:val="5A8E4C59"/>
    <w:rsid w:val="5AA61758"/>
    <w:rsid w:val="5AB21F29"/>
    <w:rsid w:val="5AD65067"/>
    <w:rsid w:val="5ADE7AE9"/>
    <w:rsid w:val="5B3B5D9E"/>
    <w:rsid w:val="5B3B72C3"/>
    <w:rsid w:val="5B3B7F3D"/>
    <w:rsid w:val="5B4A6A5C"/>
    <w:rsid w:val="5B542454"/>
    <w:rsid w:val="5B655379"/>
    <w:rsid w:val="5BAE32A5"/>
    <w:rsid w:val="5BB86A54"/>
    <w:rsid w:val="5BBE61E3"/>
    <w:rsid w:val="5C112172"/>
    <w:rsid w:val="5C21314A"/>
    <w:rsid w:val="5C232169"/>
    <w:rsid w:val="5C4F79BB"/>
    <w:rsid w:val="5C926A07"/>
    <w:rsid w:val="5CAF2A54"/>
    <w:rsid w:val="5CCD4554"/>
    <w:rsid w:val="5CDE6E93"/>
    <w:rsid w:val="5CF273EB"/>
    <w:rsid w:val="5CF30792"/>
    <w:rsid w:val="5CFA3D9C"/>
    <w:rsid w:val="5D16433F"/>
    <w:rsid w:val="5D2A3D15"/>
    <w:rsid w:val="5D4C38E7"/>
    <w:rsid w:val="5D710A2A"/>
    <w:rsid w:val="5D9F32E9"/>
    <w:rsid w:val="5DAF3276"/>
    <w:rsid w:val="5DB76B80"/>
    <w:rsid w:val="5DC547E4"/>
    <w:rsid w:val="5DCF7A63"/>
    <w:rsid w:val="5DEC7D1C"/>
    <w:rsid w:val="5DFF2B81"/>
    <w:rsid w:val="5E027511"/>
    <w:rsid w:val="5E06161C"/>
    <w:rsid w:val="5E0D285A"/>
    <w:rsid w:val="5E156BB1"/>
    <w:rsid w:val="5E2100C3"/>
    <w:rsid w:val="5E442499"/>
    <w:rsid w:val="5E513F30"/>
    <w:rsid w:val="5E60571D"/>
    <w:rsid w:val="5E693363"/>
    <w:rsid w:val="5E735393"/>
    <w:rsid w:val="5E7B7DB9"/>
    <w:rsid w:val="5E813EC1"/>
    <w:rsid w:val="5E9F21B5"/>
    <w:rsid w:val="5EAA25A6"/>
    <w:rsid w:val="5EAC326D"/>
    <w:rsid w:val="5EF80A95"/>
    <w:rsid w:val="5EFE2925"/>
    <w:rsid w:val="5F322CE9"/>
    <w:rsid w:val="5FA346A9"/>
    <w:rsid w:val="5FA903EC"/>
    <w:rsid w:val="5FCA61D2"/>
    <w:rsid w:val="5FE904E2"/>
    <w:rsid w:val="5FF91D1B"/>
    <w:rsid w:val="5FF9450E"/>
    <w:rsid w:val="6008159B"/>
    <w:rsid w:val="60163727"/>
    <w:rsid w:val="607833EE"/>
    <w:rsid w:val="608F43AA"/>
    <w:rsid w:val="60A267B8"/>
    <w:rsid w:val="60B5311A"/>
    <w:rsid w:val="60DA16C0"/>
    <w:rsid w:val="60E751ED"/>
    <w:rsid w:val="60F6520F"/>
    <w:rsid w:val="6125231E"/>
    <w:rsid w:val="613E2A9E"/>
    <w:rsid w:val="61427BDF"/>
    <w:rsid w:val="6184248C"/>
    <w:rsid w:val="61A70BCD"/>
    <w:rsid w:val="61B535F4"/>
    <w:rsid w:val="61D92963"/>
    <w:rsid w:val="61E93383"/>
    <w:rsid w:val="62144221"/>
    <w:rsid w:val="621D247A"/>
    <w:rsid w:val="622C6B75"/>
    <w:rsid w:val="62491DE8"/>
    <w:rsid w:val="624A3925"/>
    <w:rsid w:val="62505118"/>
    <w:rsid w:val="627D6728"/>
    <w:rsid w:val="627E5EAA"/>
    <w:rsid w:val="629E1A55"/>
    <w:rsid w:val="62A92398"/>
    <w:rsid w:val="62F6075B"/>
    <w:rsid w:val="630E5CBC"/>
    <w:rsid w:val="632A7F89"/>
    <w:rsid w:val="6331257D"/>
    <w:rsid w:val="633F5952"/>
    <w:rsid w:val="635B0227"/>
    <w:rsid w:val="635F650E"/>
    <w:rsid w:val="638142F2"/>
    <w:rsid w:val="638F5B5C"/>
    <w:rsid w:val="639744D8"/>
    <w:rsid w:val="63BD035C"/>
    <w:rsid w:val="63D220A9"/>
    <w:rsid w:val="63DC0B57"/>
    <w:rsid w:val="64000D3E"/>
    <w:rsid w:val="641C2867"/>
    <w:rsid w:val="645C459F"/>
    <w:rsid w:val="645F128E"/>
    <w:rsid w:val="646C1BB9"/>
    <w:rsid w:val="646D455D"/>
    <w:rsid w:val="64723EF1"/>
    <w:rsid w:val="64D636F6"/>
    <w:rsid w:val="64F64926"/>
    <w:rsid w:val="65024685"/>
    <w:rsid w:val="6511665B"/>
    <w:rsid w:val="65324B17"/>
    <w:rsid w:val="6549634D"/>
    <w:rsid w:val="655C7D45"/>
    <w:rsid w:val="658342A0"/>
    <w:rsid w:val="65852CA2"/>
    <w:rsid w:val="65BA6705"/>
    <w:rsid w:val="65CC64FF"/>
    <w:rsid w:val="65D14BED"/>
    <w:rsid w:val="65D42762"/>
    <w:rsid w:val="65E869DF"/>
    <w:rsid w:val="65F23753"/>
    <w:rsid w:val="6604650A"/>
    <w:rsid w:val="6654246A"/>
    <w:rsid w:val="666258E9"/>
    <w:rsid w:val="66721DF3"/>
    <w:rsid w:val="66E267AB"/>
    <w:rsid w:val="66E617C4"/>
    <w:rsid w:val="670527A6"/>
    <w:rsid w:val="671056CE"/>
    <w:rsid w:val="671C5BC9"/>
    <w:rsid w:val="671D73FB"/>
    <w:rsid w:val="671F14A8"/>
    <w:rsid w:val="67204E28"/>
    <w:rsid w:val="67252B4B"/>
    <w:rsid w:val="67456D79"/>
    <w:rsid w:val="67D020E6"/>
    <w:rsid w:val="67D912E5"/>
    <w:rsid w:val="68012703"/>
    <w:rsid w:val="68016300"/>
    <w:rsid w:val="680D78C4"/>
    <w:rsid w:val="680E2888"/>
    <w:rsid w:val="68277D94"/>
    <w:rsid w:val="683A5704"/>
    <w:rsid w:val="684C7C96"/>
    <w:rsid w:val="685427BA"/>
    <w:rsid w:val="68676CD0"/>
    <w:rsid w:val="68A13DAA"/>
    <w:rsid w:val="68AC5644"/>
    <w:rsid w:val="68B8762A"/>
    <w:rsid w:val="68CC11E8"/>
    <w:rsid w:val="68D968CD"/>
    <w:rsid w:val="68EE1B77"/>
    <w:rsid w:val="68EF1F92"/>
    <w:rsid w:val="690316C2"/>
    <w:rsid w:val="69164F88"/>
    <w:rsid w:val="6924670A"/>
    <w:rsid w:val="69723BFF"/>
    <w:rsid w:val="699A40B7"/>
    <w:rsid w:val="69A7327D"/>
    <w:rsid w:val="69BB5CFF"/>
    <w:rsid w:val="69C41DE7"/>
    <w:rsid w:val="69C72AFB"/>
    <w:rsid w:val="69D17637"/>
    <w:rsid w:val="69F06B9F"/>
    <w:rsid w:val="6A1A7942"/>
    <w:rsid w:val="6A546E18"/>
    <w:rsid w:val="6A7F2D70"/>
    <w:rsid w:val="6A8D6569"/>
    <w:rsid w:val="6AA46811"/>
    <w:rsid w:val="6AC379EA"/>
    <w:rsid w:val="6AE377A7"/>
    <w:rsid w:val="6B035090"/>
    <w:rsid w:val="6B3C1FBC"/>
    <w:rsid w:val="6B4E546C"/>
    <w:rsid w:val="6B503E7D"/>
    <w:rsid w:val="6B6035B0"/>
    <w:rsid w:val="6B96107D"/>
    <w:rsid w:val="6BD679DF"/>
    <w:rsid w:val="6BFB7593"/>
    <w:rsid w:val="6C054650"/>
    <w:rsid w:val="6C1A6F78"/>
    <w:rsid w:val="6C2F0B94"/>
    <w:rsid w:val="6C387B5D"/>
    <w:rsid w:val="6C3E7211"/>
    <w:rsid w:val="6C4B4959"/>
    <w:rsid w:val="6CBD67C0"/>
    <w:rsid w:val="6CE4257E"/>
    <w:rsid w:val="6CEC398D"/>
    <w:rsid w:val="6CED7451"/>
    <w:rsid w:val="6CFE1E5E"/>
    <w:rsid w:val="6D017057"/>
    <w:rsid w:val="6D0834FA"/>
    <w:rsid w:val="6D13399E"/>
    <w:rsid w:val="6D1957E7"/>
    <w:rsid w:val="6D1F412E"/>
    <w:rsid w:val="6D2E004E"/>
    <w:rsid w:val="6D3F555E"/>
    <w:rsid w:val="6D6B4238"/>
    <w:rsid w:val="6D946EB3"/>
    <w:rsid w:val="6DA90F56"/>
    <w:rsid w:val="6DB37113"/>
    <w:rsid w:val="6DC915B5"/>
    <w:rsid w:val="6E1A70B2"/>
    <w:rsid w:val="6E263FD1"/>
    <w:rsid w:val="6E3D26B8"/>
    <w:rsid w:val="6E500E0E"/>
    <w:rsid w:val="6E530FBD"/>
    <w:rsid w:val="6E8157A9"/>
    <w:rsid w:val="6E8D21FF"/>
    <w:rsid w:val="6EB05EBC"/>
    <w:rsid w:val="6ED65E31"/>
    <w:rsid w:val="6EE256D5"/>
    <w:rsid w:val="6EEA092E"/>
    <w:rsid w:val="6EF2361A"/>
    <w:rsid w:val="6F073A52"/>
    <w:rsid w:val="6F2614AD"/>
    <w:rsid w:val="6F3D13BF"/>
    <w:rsid w:val="6F601C0C"/>
    <w:rsid w:val="6F685A10"/>
    <w:rsid w:val="6F932B03"/>
    <w:rsid w:val="6F9E0AFD"/>
    <w:rsid w:val="6FB1369F"/>
    <w:rsid w:val="6FB650A2"/>
    <w:rsid w:val="6FF628E5"/>
    <w:rsid w:val="6FF7503E"/>
    <w:rsid w:val="702C288E"/>
    <w:rsid w:val="70401DD4"/>
    <w:rsid w:val="70486FEE"/>
    <w:rsid w:val="706016C6"/>
    <w:rsid w:val="706B5E19"/>
    <w:rsid w:val="70A9683B"/>
    <w:rsid w:val="70B130D6"/>
    <w:rsid w:val="70BA3F77"/>
    <w:rsid w:val="70F85CB1"/>
    <w:rsid w:val="71470F67"/>
    <w:rsid w:val="717345B7"/>
    <w:rsid w:val="718E62C9"/>
    <w:rsid w:val="71920663"/>
    <w:rsid w:val="71B5791D"/>
    <w:rsid w:val="72087007"/>
    <w:rsid w:val="72094F0A"/>
    <w:rsid w:val="721C4BC8"/>
    <w:rsid w:val="72320205"/>
    <w:rsid w:val="723254CD"/>
    <w:rsid w:val="72371193"/>
    <w:rsid w:val="72412491"/>
    <w:rsid w:val="724B66B0"/>
    <w:rsid w:val="72553EC0"/>
    <w:rsid w:val="729606F7"/>
    <w:rsid w:val="72A05558"/>
    <w:rsid w:val="72AD57C1"/>
    <w:rsid w:val="72BF3C2A"/>
    <w:rsid w:val="72C44F6D"/>
    <w:rsid w:val="72D06864"/>
    <w:rsid w:val="72E03031"/>
    <w:rsid w:val="73095C38"/>
    <w:rsid w:val="73210C24"/>
    <w:rsid w:val="733469BA"/>
    <w:rsid w:val="738039EB"/>
    <w:rsid w:val="7382708A"/>
    <w:rsid w:val="73A741EA"/>
    <w:rsid w:val="73AD4841"/>
    <w:rsid w:val="741E4D1F"/>
    <w:rsid w:val="74296AFC"/>
    <w:rsid w:val="74865875"/>
    <w:rsid w:val="748C63BA"/>
    <w:rsid w:val="74D858B0"/>
    <w:rsid w:val="74DD0BB3"/>
    <w:rsid w:val="74FA1F9E"/>
    <w:rsid w:val="750661F4"/>
    <w:rsid w:val="751C0761"/>
    <w:rsid w:val="753E1436"/>
    <w:rsid w:val="75671C8E"/>
    <w:rsid w:val="758B6E3E"/>
    <w:rsid w:val="75926B78"/>
    <w:rsid w:val="759727BC"/>
    <w:rsid w:val="75EB0B83"/>
    <w:rsid w:val="75EE3B8F"/>
    <w:rsid w:val="75F11A65"/>
    <w:rsid w:val="75FC78A7"/>
    <w:rsid w:val="76074FDA"/>
    <w:rsid w:val="76110896"/>
    <w:rsid w:val="762B3CB7"/>
    <w:rsid w:val="7636693D"/>
    <w:rsid w:val="7645293F"/>
    <w:rsid w:val="766C1004"/>
    <w:rsid w:val="766D728C"/>
    <w:rsid w:val="768C1521"/>
    <w:rsid w:val="76D00F50"/>
    <w:rsid w:val="76D51456"/>
    <w:rsid w:val="76DA3ADF"/>
    <w:rsid w:val="77096FA1"/>
    <w:rsid w:val="770F279D"/>
    <w:rsid w:val="77247AC7"/>
    <w:rsid w:val="77464550"/>
    <w:rsid w:val="77657899"/>
    <w:rsid w:val="7768089A"/>
    <w:rsid w:val="776C3909"/>
    <w:rsid w:val="776C4B63"/>
    <w:rsid w:val="776E3A5E"/>
    <w:rsid w:val="777D21E0"/>
    <w:rsid w:val="77AA2EC6"/>
    <w:rsid w:val="77AA45E9"/>
    <w:rsid w:val="77CF1904"/>
    <w:rsid w:val="77CF318A"/>
    <w:rsid w:val="77D33E02"/>
    <w:rsid w:val="77EA0512"/>
    <w:rsid w:val="781553FD"/>
    <w:rsid w:val="78577F92"/>
    <w:rsid w:val="7861669D"/>
    <w:rsid w:val="78657C1D"/>
    <w:rsid w:val="787562A6"/>
    <w:rsid w:val="78797692"/>
    <w:rsid w:val="78891C0C"/>
    <w:rsid w:val="788C470A"/>
    <w:rsid w:val="788D31A8"/>
    <w:rsid w:val="789665DE"/>
    <w:rsid w:val="78A35DDA"/>
    <w:rsid w:val="78A63320"/>
    <w:rsid w:val="78C93825"/>
    <w:rsid w:val="78DB7463"/>
    <w:rsid w:val="78F71DAA"/>
    <w:rsid w:val="790D6EC4"/>
    <w:rsid w:val="79265EED"/>
    <w:rsid w:val="796E3599"/>
    <w:rsid w:val="79704E78"/>
    <w:rsid w:val="79705F9A"/>
    <w:rsid w:val="798327BE"/>
    <w:rsid w:val="79B878B4"/>
    <w:rsid w:val="79D1106C"/>
    <w:rsid w:val="79E22868"/>
    <w:rsid w:val="79EB0C01"/>
    <w:rsid w:val="7A191890"/>
    <w:rsid w:val="7A263AF5"/>
    <w:rsid w:val="7A320895"/>
    <w:rsid w:val="7A325EA8"/>
    <w:rsid w:val="7A375308"/>
    <w:rsid w:val="7A5F2CDB"/>
    <w:rsid w:val="7A6D11DF"/>
    <w:rsid w:val="7A8C5467"/>
    <w:rsid w:val="7AAB3D83"/>
    <w:rsid w:val="7ABA3F9B"/>
    <w:rsid w:val="7AD72395"/>
    <w:rsid w:val="7AD973D3"/>
    <w:rsid w:val="7AEA11A3"/>
    <w:rsid w:val="7AFF2ECF"/>
    <w:rsid w:val="7B00126A"/>
    <w:rsid w:val="7B053990"/>
    <w:rsid w:val="7B19149C"/>
    <w:rsid w:val="7B1F19C0"/>
    <w:rsid w:val="7B3325EB"/>
    <w:rsid w:val="7B4D056E"/>
    <w:rsid w:val="7B5B066E"/>
    <w:rsid w:val="7BA1762A"/>
    <w:rsid w:val="7BA30EAE"/>
    <w:rsid w:val="7BF77332"/>
    <w:rsid w:val="7C163001"/>
    <w:rsid w:val="7C373B09"/>
    <w:rsid w:val="7C5B1395"/>
    <w:rsid w:val="7C7475F1"/>
    <w:rsid w:val="7C761EA7"/>
    <w:rsid w:val="7CCD2F68"/>
    <w:rsid w:val="7CD722EF"/>
    <w:rsid w:val="7D0F3523"/>
    <w:rsid w:val="7D431E63"/>
    <w:rsid w:val="7D64082F"/>
    <w:rsid w:val="7D6D6416"/>
    <w:rsid w:val="7D8D510B"/>
    <w:rsid w:val="7DB00524"/>
    <w:rsid w:val="7DCE38DA"/>
    <w:rsid w:val="7DE00B5D"/>
    <w:rsid w:val="7E120424"/>
    <w:rsid w:val="7E6F6D70"/>
    <w:rsid w:val="7E8A0559"/>
    <w:rsid w:val="7E9F2AA2"/>
    <w:rsid w:val="7EBD0766"/>
    <w:rsid w:val="7ECD72FA"/>
    <w:rsid w:val="7EF958B6"/>
    <w:rsid w:val="7F0F242A"/>
    <w:rsid w:val="7F201D31"/>
    <w:rsid w:val="7F4E686F"/>
    <w:rsid w:val="7F631F9A"/>
    <w:rsid w:val="7F67241F"/>
    <w:rsid w:val="7F676361"/>
    <w:rsid w:val="7F6F1D7F"/>
    <w:rsid w:val="7F904CC7"/>
    <w:rsid w:val="7F916628"/>
    <w:rsid w:val="7F9F1307"/>
    <w:rsid w:val="7FA06901"/>
    <w:rsid w:val="7FE8621F"/>
    <w:rsid w:val="7FF137E0"/>
    <w:rsid w:val="7FFB15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autoRedefine/>
    <w:qFormat/>
    <w:uiPriority w:val="9"/>
    <w:pPr>
      <w:keepNext/>
      <w:keepLines/>
      <w:spacing w:before="340" w:after="330" w:line="576" w:lineRule="auto"/>
      <w:outlineLvl w:val="0"/>
    </w:pPr>
    <w:rPr>
      <w:b/>
      <w:kern w:val="44"/>
      <w:sz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uiPriority w:val="9"/>
    <w:pPr>
      <w:keepNext/>
      <w:keepLines/>
      <w:spacing w:before="260" w:after="260" w:line="415" w:lineRule="auto"/>
      <w:outlineLvl w:val="2"/>
    </w:pPr>
    <w:rPr>
      <w:b/>
      <w:sz w:val="32"/>
    </w:rPr>
  </w:style>
  <w:style w:type="paragraph" w:styleId="5">
    <w:name w:val="heading 4"/>
    <w:basedOn w:val="1"/>
    <w:next w:val="1"/>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6">
    <w:name w:val="heading 5"/>
    <w:basedOn w:val="1"/>
    <w:next w:val="1"/>
    <w:autoRedefine/>
    <w:semiHidden/>
    <w:unhideWhenUsed/>
    <w:qFormat/>
    <w:uiPriority w:val="9"/>
    <w:pPr>
      <w:keepNext/>
      <w:keepLines/>
      <w:numPr>
        <w:ilvl w:val="4"/>
        <w:numId w:val="1"/>
      </w:numPr>
      <w:outlineLvl w:val="4"/>
    </w:pPr>
    <w:rPr>
      <w:rFonts w:cs="Times New Roman"/>
      <w:b/>
      <w:bCs/>
      <w:sz w:val="24"/>
      <w:szCs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8"/>
    <w:autoRedefine/>
    <w:unhideWhenUsed/>
    <w:qFormat/>
    <w:uiPriority w:val="0"/>
    <w:pPr>
      <w:ind w:firstLine="420" w:firstLineChars="200"/>
    </w:pPr>
  </w:style>
  <w:style w:type="paragraph" w:styleId="8">
    <w:name w:val="Body Text First Indent 2"/>
    <w:basedOn w:val="9"/>
    <w:autoRedefine/>
    <w:unhideWhenUsed/>
    <w:qFormat/>
    <w:uiPriority w:val="99"/>
    <w:pPr>
      <w:autoSpaceDE w:val="0"/>
      <w:autoSpaceDN w:val="0"/>
      <w:ind w:firstLine="420" w:firstLineChars="200"/>
    </w:pPr>
    <w:rPr>
      <w:rFonts w:ascii="宋体" w:hAnsi="宋体" w:cs="宋体"/>
      <w:szCs w:val="21"/>
    </w:rPr>
  </w:style>
  <w:style w:type="paragraph" w:styleId="9">
    <w:name w:val="Body Text Indent"/>
    <w:basedOn w:val="1"/>
    <w:autoRedefine/>
    <w:unhideWhenUsed/>
    <w:qFormat/>
    <w:uiPriority w:val="99"/>
    <w:pPr>
      <w:spacing w:after="120"/>
      <w:ind w:left="420" w:leftChars="200"/>
    </w:pPr>
  </w:style>
  <w:style w:type="paragraph" w:styleId="10">
    <w:name w:val="annotation text"/>
    <w:basedOn w:val="1"/>
    <w:link w:val="44"/>
    <w:autoRedefine/>
    <w:unhideWhenUsed/>
    <w:qFormat/>
    <w:uiPriority w:val="99"/>
    <w:pPr>
      <w:jc w:val="left"/>
    </w:pPr>
    <w:rPr>
      <w:rFonts w:cs="Times New Roman"/>
    </w:rPr>
  </w:style>
  <w:style w:type="paragraph" w:styleId="11">
    <w:name w:val="Body Text 3"/>
    <w:basedOn w:val="1"/>
    <w:autoRedefine/>
    <w:qFormat/>
    <w:uiPriority w:val="99"/>
    <w:pPr>
      <w:spacing w:line="380" w:lineRule="exact"/>
    </w:pPr>
    <w:rPr>
      <w:rFonts w:eastAsia="黑体"/>
      <w:kern w:val="0"/>
      <w:sz w:val="20"/>
      <w:szCs w:val="20"/>
    </w:rPr>
  </w:style>
  <w:style w:type="paragraph" w:styleId="12">
    <w:name w:val="Body Text"/>
    <w:basedOn w:val="1"/>
    <w:next w:val="1"/>
    <w:autoRedefine/>
    <w:qFormat/>
    <w:uiPriority w:val="0"/>
    <w:pPr>
      <w:spacing w:afterLines="50" w:line="360" w:lineRule="auto"/>
    </w:pPr>
    <w:rPr>
      <w:rFonts w:ascii="宋体" w:hAnsi="宋体"/>
      <w:color w:val="000000"/>
      <w:sz w:val="24"/>
    </w:rPr>
  </w:style>
  <w:style w:type="paragraph" w:styleId="13">
    <w:name w:val="Plain Text"/>
    <w:basedOn w:val="1"/>
    <w:link w:val="61"/>
    <w:autoRedefine/>
    <w:qFormat/>
    <w:uiPriority w:val="0"/>
    <w:rPr>
      <w:rFonts w:hAnsi="Courier New"/>
    </w:rPr>
  </w:style>
  <w:style w:type="paragraph" w:styleId="14">
    <w:name w:val="Body Text Indent 2"/>
    <w:basedOn w:val="1"/>
    <w:autoRedefine/>
    <w:qFormat/>
    <w:uiPriority w:val="0"/>
    <w:pPr>
      <w:spacing w:after="120" w:line="480" w:lineRule="auto"/>
      <w:ind w:left="420" w:leftChars="200"/>
    </w:pPr>
  </w:style>
  <w:style w:type="paragraph" w:styleId="15">
    <w:name w:val="Balloon Text"/>
    <w:basedOn w:val="1"/>
    <w:link w:val="45"/>
    <w:autoRedefine/>
    <w:unhideWhenUsed/>
    <w:qFormat/>
    <w:uiPriority w:val="99"/>
    <w:rPr>
      <w:rFonts w:ascii="宋体" w:cs="Times New Roman"/>
      <w:sz w:val="18"/>
      <w:szCs w:val="18"/>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envelope return"/>
    <w:basedOn w:val="1"/>
    <w:autoRedefine/>
    <w:unhideWhenUsed/>
    <w:qFormat/>
    <w:uiPriority w:val="99"/>
    <w:pPr>
      <w:snapToGrid w:val="0"/>
    </w:pPr>
    <w:rPr>
      <w:rFonts w:ascii="Cambria" w:hAnsi="Cambria"/>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Body Text Indent 3"/>
    <w:basedOn w:val="1"/>
    <w:autoRedefine/>
    <w:qFormat/>
    <w:uiPriority w:val="0"/>
    <w:pPr>
      <w:spacing w:line="410" w:lineRule="exact"/>
      <w:ind w:left="619" w:leftChars="295" w:firstLine="390" w:firstLineChars="179"/>
    </w:pPr>
    <w:rPr>
      <w:rFonts w:ascii="宋体" w:hAnsi="宋体"/>
      <w:spacing w:val="4"/>
    </w:rPr>
  </w:style>
  <w:style w:type="paragraph" w:styleId="20">
    <w:name w:val="toc 2"/>
    <w:basedOn w:val="1"/>
    <w:next w:val="1"/>
    <w:autoRedefine/>
    <w:qFormat/>
    <w:uiPriority w:val="39"/>
    <w:pPr>
      <w:ind w:left="420" w:leftChars="200"/>
    </w:pPr>
  </w:style>
  <w:style w:type="paragraph" w:styleId="21">
    <w:name w:val="Body Text 2"/>
    <w:basedOn w:val="1"/>
    <w:autoRedefine/>
    <w:qFormat/>
    <w:uiPriority w:val="99"/>
    <w:pPr>
      <w:jc w:val="center"/>
    </w:pPr>
    <w:rPr>
      <w:b/>
      <w:spacing w:val="-20"/>
      <w:w w:val="130"/>
      <w:sz w:val="48"/>
      <w:szCs w:val="20"/>
    </w:rPr>
  </w:style>
  <w:style w:type="paragraph" w:styleId="22">
    <w:name w:val="Message Header"/>
    <w:basedOn w:val="1"/>
    <w:next w:val="1"/>
    <w:autoRedefine/>
    <w:qFormat/>
    <w:uiPriority w:val="0"/>
    <w:pPr>
      <w:pBdr>
        <w:top w:val="none" w:color="auto" w:sz="0" w:space="1"/>
        <w:left w:val="none" w:color="auto" w:sz="0" w:space="1"/>
        <w:bottom w:val="none" w:color="auto" w:sz="0" w:space="1"/>
        <w:right w:val="none" w:color="auto" w:sz="0" w:space="1"/>
      </w:pBdr>
      <w:shd w:val="clear" w:color="auto" w:fill="FFFFFF"/>
      <w:spacing w:before="100" w:beforeAutospacing="1" w:after="100" w:afterAutospacing="1"/>
      <w:ind w:left="1080" w:leftChars="500" w:hanging="1080" w:hangingChars="500"/>
    </w:pPr>
    <w:rPr>
      <w:rFonts w:ascii="Cambria" w:hAnsi="Cambria" w:cs="宋体"/>
      <w:sz w:val="24"/>
    </w:rPr>
  </w:style>
  <w:style w:type="paragraph" w:styleId="23">
    <w:name w:val="Normal (Web)"/>
    <w:basedOn w:val="1"/>
    <w:autoRedefine/>
    <w:unhideWhenUsed/>
    <w:qFormat/>
    <w:uiPriority w:val="99"/>
    <w:pPr>
      <w:spacing w:before="100" w:beforeAutospacing="1" w:after="100" w:afterAutospacing="1"/>
      <w:jc w:val="left"/>
    </w:pPr>
    <w:rPr>
      <w:rFonts w:cs="Times New Roman"/>
      <w:kern w:val="0"/>
      <w:sz w:val="24"/>
    </w:rPr>
  </w:style>
  <w:style w:type="paragraph" w:styleId="24">
    <w:name w:val="annotation subject"/>
    <w:basedOn w:val="10"/>
    <w:next w:val="10"/>
    <w:link w:val="46"/>
    <w:autoRedefine/>
    <w:unhideWhenUsed/>
    <w:qFormat/>
    <w:uiPriority w:val="99"/>
    <w:rPr>
      <w:b/>
      <w:bCs/>
    </w:rPr>
  </w:style>
  <w:style w:type="paragraph" w:styleId="25">
    <w:name w:val="Body Text First Indent"/>
    <w:basedOn w:val="12"/>
    <w:next w:val="8"/>
    <w:autoRedefine/>
    <w:unhideWhenUsed/>
    <w:qFormat/>
    <w:uiPriority w:val="0"/>
    <w:pPr>
      <w:spacing w:afterLines="0" w:line="240" w:lineRule="auto"/>
      <w:ind w:firstLine="420" w:firstLineChars="100"/>
    </w:pPr>
    <w:rPr>
      <w:rFonts w:ascii="Times New Roman" w:hAnsi="Times New Roman"/>
      <w:color w:val="auto"/>
      <w:sz w:val="18"/>
      <w:szCs w:val="18"/>
    </w:rPr>
  </w:style>
  <w:style w:type="table" w:styleId="27">
    <w:name w:val="Table Grid"/>
    <w:basedOn w:val="26"/>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uiPriority w:val="0"/>
    <w:rPr>
      <w:b/>
    </w:rPr>
  </w:style>
  <w:style w:type="character" w:styleId="30">
    <w:name w:val="page number"/>
    <w:basedOn w:val="28"/>
    <w:autoRedefine/>
    <w:unhideWhenUsed/>
    <w:qFormat/>
    <w:uiPriority w:val="99"/>
    <w:rPr>
      <w:rFonts w:cs="Times New Roman"/>
    </w:rPr>
  </w:style>
  <w:style w:type="character" w:styleId="31">
    <w:name w:val="FollowedHyperlink"/>
    <w:autoRedefine/>
    <w:unhideWhenUsed/>
    <w:qFormat/>
    <w:uiPriority w:val="99"/>
    <w:rPr>
      <w:rFonts w:hint="default" w:ascii="微软雅黑" w:hAnsi="微软雅黑" w:eastAsia="微软雅黑" w:cs="微软雅黑"/>
      <w:color w:val="02396F"/>
      <w:u w:val="single"/>
    </w:rPr>
  </w:style>
  <w:style w:type="character" w:styleId="32">
    <w:name w:val="Hyperlink"/>
    <w:autoRedefine/>
    <w:unhideWhenUsed/>
    <w:qFormat/>
    <w:uiPriority w:val="99"/>
    <w:rPr>
      <w:rFonts w:cs="Times New Roman"/>
      <w:color w:val="0000FF"/>
      <w:u w:val="single"/>
    </w:rPr>
  </w:style>
  <w:style w:type="character" w:styleId="33">
    <w:name w:val="annotation reference"/>
    <w:autoRedefine/>
    <w:unhideWhenUsed/>
    <w:qFormat/>
    <w:uiPriority w:val="99"/>
    <w:rPr>
      <w:sz w:val="21"/>
      <w:szCs w:val="21"/>
    </w:rPr>
  </w:style>
  <w:style w:type="paragraph" w:customStyle="1" w:styleId="34">
    <w:name w:val="正文缩进1"/>
    <w:basedOn w:val="1"/>
    <w:autoRedefine/>
    <w:qFormat/>
    <w:uiPriority w:val="0"/>
    <w:pPr>
      <w:ind w:firstLine="420" w:firstLineChars="200"/>
    </w:pPr>
  </w:style>
  <w:style w:type="paragraph" w:customStyle="1" w:styleId="35">
    <w:name w:val="Default"/>
    <w:next w:val="1"/>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6">
    <w:name w:val="BodyText1I"/>
    <w:basedOn w:val="37"/>
    <w:autoRedefine/>
    <w:qFormat/>
    <w:uiPriority w:val="0"/>
    <w:pPr>
      <w:ind w:firstLine="420" w:firstLineChars="100"/>
    </w:pPr>
    <w:rPr>
      <w:color w:val="000000"/>
      <w:sz w:val="18"/>
      <w:szCs w:val="18"/>
    </w:rPr>
  </w:style>
  <w:style w:type="paragraph" w:customStyle="1" w:styleId="37">
    <w:name w:val="BodyText"/>
    <w:basedOn w:val="1"/>
    <w:autoRedefine/>
    <w:qFormat/>
    <w:uiPriority w:val="0"/>
    <w:pPr>
      <w:spacing w:after="120"/>
      <w:textAlignment w:val="baseline"/>
    </w:pPr>
    <w:rPr>
      <w:rFonts w:ascii="Times New Roman" w:hAnsi="Times New Roman"/>
      <w:szCs w:val="20"/>
    </w:rPr>
  </w:style>
  <w:style w:type="character" w:customStyle="1" w:styleId="38">
    <w:name w:val="gjfg"/>
    <w:basedOn w:val="28"/>
    <w:autoRedefine/>
    <w:qFormat/>
    <w:uiPriority w:val="0"/>
  </w:style>
  <w:style w:type="character" w:customStyle="1" w:styleId="39">
    <w:name w:val="displayarti"/>
    <w:autoRedefine/>
    <w:qFormat/>
    <w:uiPriority w:val="0"/>
    <w:rPr>
      <w:color w:val="FFFFFF"/>
      <w:shd w:val="clear" w:color="auto" w:fill="A00000"/>
    </w:rPr>
  </w:style>
  <w:style w:type="character" w:customStyle="1" w:styleId="40">
    <w:name w:val="redfilefwwh"/>
    <w:autoRedefine/>
    <w:qFormat/>
    <w:uiPriority w:val="0"/>
    <w:rPr>
      <w:color w:val="BA2636"/>
      <w:sz w:val="18"/>
      <w:szCs w:val="18"/>
    </w:rPr>
  </w:style>
  <w:style w:type="character" w:customStyle="1" w:styleId="41">
    <w:name w:val="redfilenumber"/>
    <w:autoRedefine/>
    <w:qFormat/>
    <w:uiPriority w:val="0"/>
    <w:rPr>
      <w:color w:val="BA2636"/>
      <w:sz w:val="18"/>
      <w:szCs w:val="18"/>
    </w:rPr>
  </w:style>
  <w:style w:type="character" w:customStyle="1" w:styleId="42">
    <w:name w:val="cfdate"/>
    <w:autoRedefine/>
    <w:qFormat/>
    <w:uiPriority w:val="0"/>
    <w:rPr>
      <w:color w:val="333333"/>
      <w:sz w:val="18"/>
      <w:szCs w:val="18"/>
    </w:rPr>
  </w:style>
  <w:style w:type="character" w:customStyle="1" w:styleId="43">
    <w:name w:val="font01"/>
    <w:autoRedefine/>
    <w:qFormat/>
    <w:uiPriority w:val="0"/>
    <w:rPr>
      <w:rFonts w:hint="eastAsia" w:ascii="宋体" w:hAnsi="宋体" w:eastAsia="宋体" w:cs="宋体"/>
      <w:color w:val="000000"/>
      <w:sz w:val="22"/>
      <w:szCs w:val="22"/>
      <w:u w:val="none"/>
    </w:rPr>
  </w:style>
  <w:style w:type="character" w:customStyle="1" w:styleId="44">
    <w:name w:val="批注文字 Char"/>
    <w:link w:val="10"/>
    <w:autoRedefine/>
    <w:qFormat/>
    <w:uiPriority w:val="99"/>
    <w:rPr>
      <w:rFonts w:ascii="Calibri" w:hAnsi="Calibri" w:cs="黑体"/>
      <w:kern w:val="2"/>
      <w:sz w:val="21"/>
      <w:szCs w:val="22"/>
    </w:rPr>
  </w:style>
  <w:style w:type="character" w:customStyle="1" w:styleId="45">
    <w:name w:val="批注框文本 Char"/>
    <w:link w:val="15"/>
    <w:autoRedefine/>
    <w:semiHidden/>
    <w:qFormat/>
    <w:uiPriority w:val="99"/>
    <w:rPr>
      <w:rFonts w:ascii="宋体" w:hAnsi="Calibri" w:cs="黑体"/>
      <w:kern w:val="2"/>
      <w:sz w:val="18"/>
      <w:szCs w:val="18"/>
    </w:rPr>
  </w:style>
  <w:style w:type="character" w:customStyle="1" w:styleId="46">
    <w:name w:val="批注主题 Char"/>
    <w:link w:val="24"/>
    <w:autoRedefine/>
    <w:semiHidden/>
    <w:qFormat/>
    <w:uiPriority w:val="99"/>
    <w:rPr>
      <w:rFonts w:ascii="Calibri" w:hAnsi="Calibri" w:cs="黑体"/>
      <w:b/>
      <w:bCs/>
      <w:kern w:val="2"/>
      <w:sz w:val="21"/>
      <w:szCs w:val="22"/>
    </w:rPr>
  </w:style>
  <w:style w:type="character" w:customStyle="1" w:styleId="47">
    <w:name w:val="qxdate"/>
    <w:autoRedefine/>
    <w:qFormat/>
    <w:uiPriority w:val="0"/>
    <w:rPr>
      <w:color w:val="333333"/>
      <w:sz w:val="18"/>
      <w:szCs w:val="18"/>
    </w:rPr>
  </w:style>
  <w:style w:type="paragraph" w:customStyle="1" w:styleId="48">
    <w:name w:val="A正文四号"/>
    <w:basedOn w:val="1"/>
    <w:autoRedefine/>
    <w:qFormat/>
    <w:uiPriority w:val="99"/>
    <w:pPr>
      <w:spacing w:line="360" w:lineRule="auto"/>
      <w:ind w:firstLine="200" w:firstLineChars="200"/>
    </w:pPr>
    <w:rPr>
      <w:rFonts w:eastAsia="仿宋_GB2312"/>
      <w:sz w:val="28"/>
    </w:rPr>
  </w:style>
  <w:style w:type="paragraph" w:customStyle="1" w:styleId="49">
    <w:name w:val="列出段落1"/>
    <w:basedOn w:val="1"/>
    <w:autoRedefine/>
    <w:qFormat/>
    <w:uiPriority w:val="99"/>
    <w:pPr>
      <w:ind w:firstLine="420" w:firstLineChars="200"/>
    </w:pPr>
    <w:rPr>
      <w:rFonts w:cs="Times New Roman"/>
    </w:rPr>
  </w:style>
  <w:style w:type="paragraph" w:styleId="50">
    <w:name w:val="List Paragraph"/>
    <w:basedOn w:val="1"/>
    <w:autoRedefine/>
    <w:qFormat/>
    <w:uiPriority w:val="34"/>
    <w:pPr>
      <w:ind w:firstLine="420" w:firstLineChars="200"/>
    </w:pPr>
  </w:style>
  <w:style w:type="paragraph" w:customStyle="1" w:styleId="51">
    <w:name w:val="纯文本1"/>
    <w:basedOn w:val="1"/>
    <w:autoRedefine/>
    <w:qFormat/>
    <w:uiPriority w:val="0"/>
    <w:pPr>
      <w:spacing w:after="160" w:line="259" w:lineRule="auto"/>
    </w:pPr>
    <w:rPr>
      <w:rFonts w:ascii="宋体" w:hAnsi="Courier New"/>
      <w:szCs w:val="20"/>
    </w:rPr>
  </w:style>
  <w:style w:type="paragraph" w:customStyle="1" w:styleId="52">
    <w:name w:val="_Style 1"/>
    <w:basedOn w:val="1"/>
    <w:autoRedefine/>
    <w:qFormat/>
    <w:uiPriority w:val="34"/>
    <w:pPr>
      <w:ind w:firstLine="420" w:firstLineChars="200"/>
      <w:jc w:val="left"/>
    </w:pPr>
    <w:rPr>
      <w:sz w:val="24"/>
    </w:rPr>
  </w:style>
  <w:style w:type="paragraph" w:customStyle="1" w:styleId="53">
    <w:name w:val="正文格式"/>
    <w:basedOn w:val="1"/>
    <w:autoRedefine/>
    <w:qFormat/>
    <w:uiPriority w:val="0"/>
    <w:pPr>
      <w:adjustRightInd w:val="0"/>
      <w:snapToGrid w:val="0"/>
      <w:spacing w:beforeLines="25" w:line="360" w:lineRule="auto"/>
      <w:ind w:left="178" w:right="44" w:rightChars="21" w:hanging="178" w:hangingChars="85"/>
      <w:textAlignment w:val="baseline"/>
    </w:pPr>
    <w:rPr>
      <w:bCs/>
      <w:szCs w:val="21"/>
    </w:rPr>
  </w:style>
  <w:style w:type="paragraph" w:customStyle="1" w:styleId="54">
    <w:name w:val="列出段落3"/>
    <w:basedOn w:val="1"/>
    <w:autoRedefine/>
    <w:qFormat/>
    <w:uiPriority w:val="34"/>
    <w:pPr>
      <w:ind w:firstLine="420" w:firstLineChars="200"/>
    </w:pPr>
    <w:rPr>
      <w:sz w:val="24"/>
    </w:rPr>
  </w:style>
  <w:style w:type="paragraph" w:customStyle="1" w:styleId="55">
    <w:name w:val="title11"/>
    <w:basedOn w:val="1"/>
    <w:autoRedefine/>
    <w:qFormat/>
    <w:uiPriority w:val="0"/>
    <w:pPr>
      <w:spacing w:before="150" w:line="450" w:lineRule="atLeast"/>
      <w:jc w:val="left"/>
    </w:pPr>
    <w:rPr>
      <w:rFonts w:cs="Times New Roman"/>
      <w:b/>
      <w:kern w:val="0"/>
      <w:sz w:val="24"/>
    </w:rPr>
  </w:style>
  <w:style w:type="paragraph" w:customStyle="1" w:styleId="56">
    <w:name w:val="列出段落2"/>
    <w:basedOn w:val="1"/>
    <w:autoRedefine/>
    <w:qFormat/>
    <w:uiPriority w:val="99"/>
    <w:pPr>
      <w:ind w:firstLine="420" w:firstLineChars="200"/>
    </w:pPr>
  </w:style>
  <w:style w:type="paragraph" w:customStyle="1" w:styleId="57">
    <w:name w:val="_Style 52"/>
    <w:basedOn w:val="1"/>
    <w:next w:val="49"/>
    <w:autoRedefine/>
    <w:qFormat/>
    <w:uiPriority w:val="34"/>
    <w:pPr>
      <w:spacing w:line="360" w:lineRule="auto"/>
      <w:ind w:firstLine="420" w:firstLineChars="200"/>
      <w:jc w:val="left"/>
    </w:pPr>
    <w:rPr>
      <w:sz w:val="24"/>
    </w:rPr>
  </w:style>
  <w:style w:type="paragraph" w:customStyle="1" w:styleId="58">
    <w:name w:val="Table Paragraph"/>
    <w:basedOn w:val="1"/>
    <w:autoRedefine/>
    <w:qFormat/>
    <w:uiPriority w:val="1"/>
    <w:rPr>
      <w:rFonts w:hAnsi="宋体" w:cs="宋体"/>
      <w:lang w:val="zh-CN" w:bidi="zh-CN"/>
    </w:rPr>
  </w:style>
  <w:style w:type="paragraph" w:customStyle="1" w:styleId="59">
    <w:name w:val="TOC 标题1"/>
    <w:basedOn w:val="2"/>
    <w:next w:val="1"/>
    <w:autoRedefine/>
    <w:qFormat/>
    <w:uiPriority w:val="99"/>
    <w:pPr>
      <w:spacing w:before="480" w:after="0" w:line="276" w:lineRule="auto"/>
      <w:outlineLvl w:val="9"/>
    </w:pPr>
    <w:rPr>
      <w:rFonts w:ascii="仿宋" w:hAnsi="仿宋" w:eastAsia="仿宋"/>
      <w:color w:val="000000"/>
      <w:kern w:val="0"/>
      <w:szCs w:val="32"/>
    </w:rPr>
  </w:style>
  <w:style w:type="character" w:customStyle="1" w:styleId="60">
    <w:name w:val="font122"/>
    <w:basedOn w:val="28"/>
    <w:autoRedefine/>
    <w:qFormat/>
    <w:uiPriority w:val="0"/>
    <w:rPr>
      <w:rFonts w:hint="eastAsia" w:ascii="宋体" w:hAnsi="宋体" w:eastAsia="宋体" w:cs="宋体"/>
      <w:color w:val="000000"/>
      <w:sz w:val="20"/>
      <w:szCs w:val="20"/>
      <w:u w:val="none"/>
    </w:rPr>
  </w:style>
  <w:style w:type="character" w:customStyle="1" w:styleId="61">
    <w:name w:val="纯文本 Char"/>
    <w:basedOn w:val="28"/>
    <w:link w:val="13"/>
    <w:autoRedefine/>
    <w:qFormat/>
    <w:uiPriority w:val="0"/>
    <w:rPr>
      <w:rFonts w:ascii="Calibri" w:hAnsi="Courier New" w:cs="黑体"/>
      <w:kern w:val="2"/>
      <w:sz w:val="21"/>
      <w:szCs w:val="22"/>
    </w:rPr>
  </w:style>
  <w:style w:type="paragraph" w:customStyle="1" w:styleId="62">
    <w:name w:val="Blockquote"/>
    <w:basedOn w:val="1"/>
    <w:autoRedefine/>
    <w:qFormat/>
    <w:uiPriority w:val="0"/>
    <w:pPr>
      <w:autoSpaceDE w:val="0"/>
      <w:autoSpaceDN w:val="0"/>
      <w:adjustRightInd w:val="0"/>
      <w:spacing w:before="100" w:after="100"/>
      <w:ind w:left="360" w:right="360"/>
      <w:jc w:val="left"/>
    </w:pPr>
    <w:rPr>
      <w:rFonts w:ascii="Times New Roman" w:hAnsi="Times New Roman" w:cs="Times New Roman"/>
      <w:kern w:val="0"/>
      <w:sz w:val="24"/>
      <w:szCs w:val="20"/>
    </w:rPr>
  </w:style>
  <w:style w:type="character" w:customStyle="1" w:styleId="63">
    <w:name w:val="NormalCharacter"/>
    <w:autoRedefine/>
    <w:qFormat/>
    <w:uiPriority w:val="99"/>
  </w:style>
  <w:style w:type="paragraph" w:customStyle="1" w:styleId="64">
    <w:name w:val="title12"/>
    <w:basedOn w:val="1"/>
    <w:autoRedefine/>
    <w:qFormat/>
    <w:uiPriority w:val="0"/>
    <w:pPr>
      <w:spacing w:before="150"/>
      <w:jc w:val="left"/>
    </w:pPr>
    <w:rPr>
      <w:rFonts w:cs="Times New Roman"/>
      <w:b/>
      <w:bCs/>
      <w:kern w:val="0"/>
      <w:sz w:val="22"/>
    </w:rPr>
  </w:style>
  <w:style w:type="character" w:customStyle="1" w:styleId="65">
    <w:name w:val="fontstyle01"/>
    <w:basedOn w:val="28"/>
    <w:autoRedefine/>
    <w:qFormat/>
    <w:uiPriority w:val="0"/>
    <w:rPr>
      <w:rFonts w:hint="eastAsia" w:ascii="微软雅黑" w:hAnsi="微软雅黑" w:eastAsia="微软雅黑"/>
      <w:color w:val="000000"/>
      <w:sz w:val="24"/>
      <w:szCs w:val="24"/>
    </w:rPr>
  </w:style>
  <w:style w:type="table" w:customStyle="1" w:styleId="66">
    <w:name w:val="Table Normal"/>
    <w:autoRedefine/>
    <w:semiHidden/>
    <w:unhideWhenUsed/>
    <w:qFormat/>
    <w:uiPriority w:val="0"/>
    <w:tblPr>
      <w:tblCellMar>
        <w:top w:w="0" w:type="dxa"/>
        <w:left w:w="0" w:type="dxa"/>
        <w:bottom w:w="0" w:type="dxa"/>
        <w:right w:w="0" w:type="dxa"/>
      </w:tblCellMar>
    </w:tblPr>
  </w:style>
  <w:style w:type="character" w:customStyle="1" w:styleId="67">
    <w:name w:val="font31"/>
    <w:basedOn w:val="28"/>
    <w:autoRedefine/>
    <w:qFormat/>
    <w:uiPriority w:val="0"/>
    <w:rPr>
      <w:rFonts w:hint="eastAsia" w:ascii="仿宋" w:hAnsi="仿宋" w:eastAsia="仿宋" w:cs="仿宋"/>
      <w:color w:val="000000"/>
      <w:sz w:val="18"/>
      <w:szCs w:val="18"/>
      <w:u w:val="none"/>
    </w:rPr>
  </w:style>
  <w:style w:type="character" w:customStyle="1" w:styleId="68">
    <w:name w:val="font41"/>
    <w:basedOn w:val="28"/>
    <w:autoRedefine/>
    <w:qFormat/>
    <w:uiPriority w:val="0"/>
    <w:rPr>
      <w:rFonts w:hint="eastAsia" w:ascii="仿宋" w:hAnsi="仿宋" w:eastAsia="仿宋" w:cs="仿宋"/>
      <w:color w:val="FF0000"/>
      <w:sz w:val="18"/>
      <w:szCs w:val="18"/>
      <w:u w:val="none"/>
    </w:rPr>
  </w:style>
  <w:style w:type="character" w:customStyle="1" w:styleId="69">
    <w:name w:val="font21"/>
    <w:basedOn w:val="28"/>
    <w:autoRedefine/>
    <w:qFormat/>
    <w:uiPriority w:val="0"/>
    <w:rPr>
      <w:rFonts w:hint="eastAsia" w:ascii="仿宋" w:hAnsi="仿宋" w:eastAsia="仿宋" w:cs="仿宋"/>
      <w:color w:val="000000"/>
      <w:sz w:val="18"/>
      <w:szCs w:val="18"/>
      <w:u w:val="none"/>
    </w:rPr>
  </w:style>
  <w:style w:type="paragraph" w:customStyle="1" w:styleId="70">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1">
    <w:name w:val="Table Text"/>
    <w:basedOn w:val="1"/>
    <w:autoRedefine/>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4" Type="http://schemas.openxmlformats.org/officeDocument/2006/relationships/image" Target="media/image6.svg"/><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67</Pages>
  <Words>15791</Words>
  <Characters>17575</Characters>
  <Lines>243</Lines>
  <Paragraphs>68</Paragraphs>
  <TotalTime>1</TotalTime>
  <ScaleCrop>false</ScaleCrop>
  <LinksUpToDate>false</LinksUpToDate>
  <CharactersWithSpaces>17716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2024-01-16T12:21:00Z</dcterms:created>
  <dc:creator>Administrator</dc:creator>
  <cp:lastModifiedBy>面包 人</cp:lastModifiedBy>
  <cp:lastPrinted>2024-02-07T05:08:00Z</cp:lastPrinted>
  <dcterms:modified xsi:type="dcterms:W3CDTF">2026-06-01T08:21:27Z</dcterms:modified>
  <dc:title>招标编号：SXGT2015-AK-010</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9A2A81BEFE764882B54AE92E6C2EB7F4_13</vt:lpwstr>
  </property>
  <property fmtid="{D5CDD505-2E9C-101B-9397-08002B2CF9AE}" pid="4" name="KSOTemplateDocerSaveRecord">
    <vt:lpwstr>eyJoZGlkIjoiYjI3OGExMzIzOTFhYzQxYjc2NTM1YTUxZjk4OWU3ZTIiLCJ1c2VySWQiOiI3MTY4MzQ2ODcifQ==</vt:lpwstr>
  </property>
</Properties>
</file>