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版本号：KY2026-3-29920260813001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体育场馆服务采购项目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KY2026-3-299</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体育场馆服务采购项目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体育场馆服务采购项目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宝鸡文理学院体育场馆服务采购项目，简要技术要求：详见磋商文件。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采购包1（体育场馆服务采购项目）：属于专门面向中小企业采购。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8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0917-3566017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采购包1：1,830,400.00元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说明：1.提交履约保证金的时间:成交供应商在合同签订前7日内支付合同金额的5%至甲方; 2.提交形式:成交供应商应当以支票、汇票、本票或履约担保等非现金形式缴纳; 3.收款账户:成交后由采购人提供; 4.履约保证金的退付:项目验收合格后，采购人根据成交供应商的响应程度及项目的实施情况，退还至成交供应商账户。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费率按服务标准费率下浮25%*3年收取。 注：若第二年不续签合同，退还之后两年服务费至成交供应商。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宝鸡文理学院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响应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响应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w:t>
      </w:r>
    </w:p>
    <w:p>
      <w:pPr>
        <w:pStyle w:val="null3"/>
      </w:pPr>
      <w:r>
        <w:rPr>
          <w:rFonts w:ascii="仿宋_GB2312" w:hAnsi="仿宋_GB2312" w:cs="仿宋_GB2312" w:eastAsia="仿宋_GB2312"/>
        </w:rPr>
        <w:t>联系电话：710000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宝鸡文理学院体育场馆服务外包项目，主要承担学校体育馆、游泳跳水馆、体育场（石鼓校区、高新校区）的运行保障工作。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1,830,400.00</w:t>
      </w:r>
    </w:p>
    <w:p>
      <w:pPr>
        <w:pStyle w:val="null3"/>
      </w:pPr>
      <w:r>
        <w:rPr>
          <w:rFonts w:ascii="仿宋_GB2312" w:hAnsi="仿宋_GB2312" w:cs="仿宋_GB2312" w:eastAsia="仿宋_GB2312"/>
        </w:rPr>
        <w:t>采购包最高限价（元）: 1,830,400.00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后勤场馆服务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标的名称：后勤场馆服务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项目概述</w:t>
            </w:r>
          </w:p>
          <w:p>
            <w:pPr>
              <w:pStyle w:val="null3"/>
              <w:ind w:firstLine="420"/>
              <w:jc w:val="left"/>
            </w:pPr>
            <w:r>
              <w:rPr>
                <w:rFonts w:ascii="仿宋_GB2312" w:hAnsi="仿宋_GB2312" w:cs="仿宋_GB2312" w:eastAsia="仿宋_GB2312"/>
                <w:sz w:val="21"/>
                <w:color w:val="000000"/>
              </w:rPr>
              <w:t>宝鸡文理学院体育场馆服务外包项目，主要承担学校体育馆、游泳跳水馆、体育场（石鼓校区、高新校区）的运行保障工作。</w:t>
            </w:r>
          </w:p>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项目目标与绩效</w:t>
            </w:r>
          </w:p>
          <w:p>
            <w:pPr>
              <w:pStyle w:val="null3"/>
              <w:ind w:firstLine="420"/>
              <w:jc w:val="left"/>
            </w:pPr>
            <w:r>
              <w:rPr>
                <w:rFonts w:ascii="仿宋_GB2312" w:hAnsi="仿宋_GB2312" w:cs="仿宋_GB2312" w:eastAsia="仿宋_GB2312"/>
                <w:sz w:val="21"/>
                <w:color w:val="000000"/>
              </w:rPr>
              <w:t>通过购买专业化的场馆服务，保障学校教学、训练、群体活动及场馆开放等各项工作的有序运行。核心目标是提高服务响应速度、提升场馆环境品质、降低运营管理风险，以服务结果和用户满意度作为绩效评价的主要依据。</w:t>
            </w:r>
          </w:p>
          <w:p>
            <w:pPr>
              <w:pStyle w:val="null3"/>
              <w:jc w:val="left"/>
              <w:outlineLvl w:val="1"/>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采购内容与预算</w:t>
            </w:r>
          </w:p>
          <w:p>
            <w:pPr>
              <w:pStyle w:val="null3"/>
              <w:jc w:val="left"/>
              <w:outlineLvl w:val="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服务事项与付费机制</w:t>
            </w:r>
          </w:p>
          <w:p>
            <w:pPr>
              <w:pStyle w:val="null3"/>
              <w:ind w:firstLine="420"/>
              <w:jc w:val="left"/>
            </w:pPr>
            <w:r>
              <w:rPr>
                <w:rFonts w:ascii="仿宋_GB2312" w:hAnsi="仿宋_GB2312" w:cs="仿宋_GB2312" w:eastAsia="仿宋_GB2312"/>
                <w:sz w:val="21"/>
                <w:color w:val="000000"/>
              </w:rPr>
              <w:t>本项目为场馆综合服务采购，按服务事项及考核结果付费。</w:t>
            </w:r>
          </w:p>
          <w:p>
            <w:pPr>
              <w:pStyle w:val="null3"/>
              <w:jc w:val="left"/>
              <w:outlineLvl w:val="2"/>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采购总预算：183.04万元/年。</w:t>
            </w:r>
          </w:p>
          <w:p>
            <w:pPr>
              <w:pStyle w:val="null3"/>
              <w:jc w:val="left"/>
              <w:outlineLvl w:val="2"/>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报价要求：</w:t>
            </w:r>
          </w:p>
          <w:p>
            <w:pPr>
              <w:pStyle w:val="null3"/>
              <w:ind w:firstLine="420"/>
              <w:jc w:val="left"/>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当结合服务事项清单、考核标准以及自身运营成本，自主填报服务管理费总额（含合理利润）。分项报价需清晰列明完成全部服务内容所需的人工成本、物料消耗、管理费及税金等，所有完成本项目所需的费用均须包含在报价内，缺项、漏项一律视为已包含在总价中。此外，</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需在报价中单独列明人工成本（人工成本须包含人员薪酬、社保、公积金、法定节假日加班、工伤保险等全部用工支出）。</w:t>
            </w:r>
          </w:p>
          <w:p>
            <w:pPr>
              <w:pStyle w:val="null3"/>
              <w:jc w:val="left"/>
              <w:outlineLvl w:val="1"/>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服务内容与量化标准</w:t>
            </w:r>
          </w:p>
          <w:p>
            <w:pPr>
              <w:pStyle w:val="null3"/>
              <w:jc w:val="left"/>
              <w:outlineLvl w:val="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服务范围</w:t>
            </w:r>
          </w:p>
          <w:p>
            <w:pPr>
              <w:pStyle w:val="null3"/>
              <w:ind w:firstLine="420"/>
              <w:jc w:val="left"/>
            </w:pPr>
            <w:r>
              <w:rPr>
                <w:rFonts w:ascii="仿宋_GB2312" w:hAnsi="仿宋_GB2312" w:cs="仿宋_GB2312" w:eastAsia="仿宋_GB2312"/>
                <w:sz w:val="21"/>
                <w:color w:val="000000"/>
              </w:rPr>
              <w:t>服务范围涵盖：高新校区体育馆、游泳跳水馆、石鼓校区体育场及高新校区体育场。</w:t>
            </w:r>
          </w:p>
          <w:p>
            <w:pPr>
              <w:pStyle w:val="null3"/>
              <w:jc w:val="left"/>
              <w:outlineLvl w:val="2"/>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服务项目</w:t>
            </w:r>
          </w:p>
          <w:p>
            <w:pPr>
              <w:pStyle w:val="null3"/>
              <w:jc w:val="left"/>
              <w:outlineLvl w:val="3"/>
            </w:pPr>
            <w:r>
              <w:rPr>
                <w:rFonts w:ascii="仿宋_GB2312" w:hAnsi="仿宋_GB2312" w:cs="仿宋_GB2312" w:eastAsia="仿宋_GB2312"/>
                <w:sz w:val="21"/>
                <w:b/>
                <w:color w:val="000000"/>
              </w:rPr>
              <w:t>2.1</w:t>
            </w:r>
            <w:r>
              <w:rPr>
                <w:rFonts w:ascii="仿宋_GB2312" w:hAnsi="仿宋_GB2312" w:cs="仿宋_GB2312" w:eastAsia="仿宋_GB2312"/>
                <w:sz w:val="21"/>
                <w:b/>
                <w:color w:val="000000"/>
              </w:rPr>
              <w:t>场馆综合运营与教学器材管理服务</w:t>
            </w:r>
          </w:p>
          <w:p>
            <w:pPr>
              <w:pStyle w:val="null3"/>
              <w:ind w:firstLine="420"/>
              <w:jc w:val="left"/>
            </w:pPr>
            <w:r>
              <w:rPr>
                <w:rFonts w:ascii="仿宋_GB2312" w:hAnsi="仿宋_GB2312" w:cs="仿宋_GB2312" w:eastAsia="仿宋_GB2312"/>
                <w:sz w:val="21"/>
                <w:color w:val="000000"/>
              </w:rPr>
              <w:t>服务商需提供场馆整体综合运营服务及体育教学器材全流程管理服务，统筹场馆常态化运营、教学保障、活动保障等整体服务工作，制定场馆运营服务、器材管理服务工作计划，健全全套服务管理制度，对接校方体育教学、后勤管理部门，全面配合学校日常体育教学、课余训练、社团活动、赛事举办等工作落地，严格落实校方各项管理要求与工作指令。</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1. 整体运营服务：提供场馆日常开放保障、体育教学场地保障、场地统筹调度、服务质量整体管控服务，科学调配服务资源，确保场馆各项服务有序、规范开展，全面满足学校教学、训练及师生健身需求。</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2. 台账资料服务：统一建立、更新、归档全套场馆运营服务台账，包含场地使用登记、设备巡检记录、安全巡查记录、保洁消杀记录、问题整改记录、器材收发台账、器材盘点台账等，做到资料齐全、记录规范、全程可追溯。</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3. 对接协调服务：常态化对接校方管理部门，定期报送场馆运营、安全隐患、设备运行、器材管理、服务开展等情况，全程配合校方检查、考核、整改、大型活动保障等各项工作。</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4. 制度执行服务：依据校园管理规范，落地场馆运营、安全管理、应急处置、服务规范等各项管理制度，常态化开展服务自查、服务优化、标准化落实工作，保障服务合规统一。</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5. 整改提升服务：主动接受校方各级检查与考核，针对考核问题、师生反馈的服务问题，限时完成整改闭环，持续迭代优化整体服务品质。</w:t>
            </w:r>
          </w:p>
          <w:p>
            <w:pPr>
              <w:pStyle w:val="null3"/>
              <w:ind w:firstLine="420"/>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6. 体育器材全流程管理服务：为学校体育课程、课外训练、体育社团、校园文体活动提供全套器材管理服务，覆盖器材入库登记、分类规范存放、日常防潮防尘保管、课前统一发放、课后全数回收、逐类清点核对、器材日常养护维保、损耗登记、台账动态更新等全链条服务。服务商需根据校方体育课程表、教学计划提前完成器材分拣、筹备、定点布设，课程结束后及时完成全部器材回收、清点、归位，对破损、缺失、老化器材及时登记、上报并协助校方处置，全程保障教学器材充足、完好、可用，杜绝器材乱放、丢失、损坏、短缺问题，保障体育教学工作顺畅开展。</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前台接待与场地配套服务</w:t>
            </w:r>
          </w:p>
          <w:p>
            <w:pPr>
              <w:pStyle w:val="null3"/>
              <w:ind w:firstLine="420"/>
              <w:jc w:val="left"/>
            </w:pP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需提供场馆前台接待、场地管理、咨询答疑、出入管控、秩序引导、物资器材配套等综合性窗口服务，建立标准化服务体系，保障场馆服务高效、规范、贴心。</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1. 咨询接待服务：提供场馆开放规则、场地预约、使用规范、器材借用等业务咨询服务，耐心解答师生及合规来访人员疑问，主动提供引导协助服务。</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2. 出入与场地管控服务：提供场馆出入登记、外来人员核验、场地使用登记、预约核销等管控服务，规范场地使用秩序，杜绝违规占用、无序使用场地等情况。</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3. 现场秩序服务：提供场馆入口、公共区域、运动场地的秩序维护服务，引导师生规范使用场地及设施，劝导不文明运动行为，保障场馆通行顺畅、秩序井然。</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4. 物资器材配套服务：提供场馆便民物资、办公物资、体育教学器材的统一收纳、规范保管、借用登记、归还核验服务，建立标准化器材流转台账，精准记录器材使用信息，确保账物相符、流转规范、物资完好可用。</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5. 意见反馈服务：主动收集师生服务意见与建议，汇总服务问题，联动完成整改优化，持续提升场馆服务体验。</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场馆安全安保服务</w:t>
            </w:r>
          </w:p>
          <w:p>
            <w:pPr>
              <w:pStyle w:val="null3"/>
              <w:ind w:firstLine="420"/>
              <w:jc w:val="left"/>
            </w:pP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需提供场馆全域门禁管控、治安防范、安全巡查、消防保障、现场秩序维稳、突发事件处置等全方位安全安保服务，全面筑牢场馆安全运营防线。</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1. 门禁管控服务：提供场馆出入口常态化值守与进出管控服务，规范人员、车辆进出管理，杜绝无关人员、闲散人员违规进入场馆区域，保障场馆封闭安全管理。</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2. 全域安全巡查服务：提供场馆室内外全域常态化安全巡查服务，重点排查治安隐患、消防隐患、设施破损、违规堆放等安全风险，及时处置、上报各类安全问题。</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3. 活动秩序保障服务：在场馆开放、体育教学、训练、赛事及各类文体活动期间，提供现场人流疏导、秩序维护、行为劝导服务，保障场地使用安全有序。</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4. 消防保障服务：提供场馆消防设施常态化检查、通道清理、隐患排查服务，确保消防器材完好有效、消防通道畅通，具备初期火灾处置与应急保障能力。</w:t>
            </w:r>
          </w:p>
          <w:p>
            <w:pPr>
              <w:pStyle w:val="null3"/>
              <w:ind w:firstLine="420"/>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5. 应急处置服务：针对场馆突发纠纷、安全险情、意外事件等，提供第一时间现场维稳、应急处置、上报对接服务，配合校方完成后续善后工作。</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游泳馆安全救生保障服务</w:t>
            </w:r>
          </w:p>
          <w:p>
            <w:pPr>
              <w:pStyle w:val="null3"/>
              <w:ind w:firstLine="420"/>
              <w:jc w:val="left"/>
            </w:pP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需提供游泳馆全时段安全救生、风险管控、水质监督、应急救护、器材保障、台账记录等专业化救生保障服务，严格落实游泳馆安全运营标准，杜绝各类安全事故发生。</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1. 全时段值守巡查服务：在游泳馆开放时段提供不间断值守、分区巡查服务，实时监控场内人员游泳状态，及时制止危险游泳行为，重点关注未成年人及初学人员安全。</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2. 应急救生救护服务：提供专业溺水救援、现场应急救护、突发身体不适处置等服务，熟练掌握心肺复苏等急救技能，快速处置各类泳池突发安全情况。</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3. 入场安全管控服务：提供游泳馆入场安全核验、安全警示教育、场地设施隐患排查服务，规范场内使用秩序，杜绝违规入场、违规使用等危险行为。</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4. 水质环境监督服务：配合校方开展泳池水质日常监测与监督服务，发现水质异常、设备故障等问题及时上报、协助处置，保障游泳环境安全合规。</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5. 救生物资保障服务：提供救生器材、应急救护物资的日常检查、整理、养护、保管服务，确保各类应急物资齐全完好、随时可用。</w:t>
            </w:r>
          </w:p>
          <w:p>
            <w:pPr>
              <w:pStyle w:val="null3"/>
              <w:ind w:firstLine="420"/>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6. 救生台账记录服务：提供游泳馆值守、巡查、应急处置、设备检查等台账整理与记录服务，确保资料完整、规范可查。</w:t>
            </w:r>
          </w:p>
          <w:p>
            <w:pPr>
              <w:pStyle w:val="null3"/>
              <w:ind w:firstLine="420"/>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设施设备与器材运维保障服务</w:t>
            </w:r>
          </w:p>
          <w:p>
            <w:pPr>
              <w:pStyle w:val="null3"/>
              <w:ind w:firstLine="420"/>
              <w:jc w:val="left"/>
            </w:pP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需提供场馆全部设施设备、体育教学器材的日常巡检、养护维保、故障排查、维修跟进、资产管控等全维度运维保障服务，确保设备、器材长期处于安全完好、可用合规状态。</w:t>
            </w:r>
          </w:p>
          <w:p>
            <w:pPr>
              <w:pStyle w:val="null3"/>
              <w:ind w:firstLine="420"/>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1. 全域巡检服务：提供场馆照明、水电、通风、泳池循环、健身设施、场地设备、门禁监控、消防设施等所有软硬件设备的日常全域巡检服务，及时发现异常问题。</w:t>
            </w:r>
          </w:p>
          <w:p>
            <w:pPr>
              <w:pStyle w:val="null3"/>
              <w:ind w:firstLine="420"/>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2. 常态化养护服务：按照专业运维标准，提供设备清洁、调试、防锈、加固、保养及体育器材除尘、防潮、规整等养护服务，延长设备与器材使用寿命，降低故障概率。</w:t>
            </w:r>
          </w:p>
          <w:p>
            <w:pPr>
              <w:pStyle w:val="null3"/>
              <w:ind w:firstLine="420"/>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3. 故障处置服务：针对设备故障、设施破损、器材损坏等问题，提供即时排查、小型故障现场修复、重大问题登记上报、全程跟进维修闭环的服务，最快恢复设备器材使用功能。</w:t>
            </w:r>
          </w:p>
          <w:p>
            <w:pPr>
              <w:pStyle w:val="null3"/>
              <w:ind w:firstLine="420"/>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4. 资产台账管控服务：配合校方提供场馆设备、体育器材的定期盘点、登记核对、损耗统计、报废上报等服务，动态更新资产器材台账，全程保障国有资产完好可控、账物一致。</w:t>
            </w:r>
          </w:p>
          <w:p>
            <w:pPr>
              <w:pStyle w:val="null3"/>
              <w:ind w:firstLine="420"/>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5. 专项活动保障服务：在教学、赛事、大型文体活动前后，提供设备器材全面检查、调试、复位、维保等专项保障服务，确保活动全程设备器材运行稳定。</w:t>
            </w:r>
          </w:p>
          <w:p>
            <w:pPr>
              <w:pStyle w:val="null3"/>
              <w:ind w:firstLine="420"/>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全域保洁与场地养护服务</w:t>
            </w:r>
          </w:p>
          <w:p>
            <w:pPr>
              <w:pStyle w:val="null3"/>
              <w:ind w:firstLine="420"/>
              <w:jc w:val="left"/>
            </w:pP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需提供场馆全域公共区域、功能区域、运动场地、配套区域的日常保洁、深度清洁、垃圾清运、环境消杀、场地专业养护等一体化环境卫生服务，保障场馆全域干净整洁、无死角、无异味、设施场地完好美观。</w:t>
            </w:r>
          </w:p>
          <w:p>
            <w:pPr>
              <w:pStyle w:val="null3"/>
              <w:ind w:firstLine="420"/>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1. 日常保洁服务：提供场馆大厅、运动场地、看台、通道、走廊、卫生间、楼梯、扶手、门窗玻璃等全域常态化清扫、除尘、擦拭、积水清理服务，实时保持场地整洁。</w:t>
            </w:r>
          </w:p>
          <w:p>
            <w:pPr>
              <w:pStyle w:val="null3"/>
              <w:ind w:firstLine="420"/>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2. 深度清洁服务：定期提供公共设施、运动器材、座椅、台面、墙面地面的深度清洁服务，对卫生间、泳池周边等重点区域加强清洁频次，彻底清除污渍、污垢、残留杂物。</w:t>
            </w:r>
          </w:p>
          <w:p>
            <w:pPr>
              <w:pStyle w:val="null3"/>
              <w:ind w:firstLine="420"/>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3. 垃圾清运服务：提供场馆全域垃圾分类收纳、及时清运、日产日清服务，对垃圾收纳设施定期清洁消杀，杜绝垃圾堆积、异味扩散、蚊虫滋生。</w:t>
            </w:r>
          </w:p>
          <w:p>
            <w:pPr>
              <w:pStyle w:val="null3"/>
              <w:ind w:firstLine="420"/>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4. 全域消杀服务：按照校园防疫及卫生标准，提供场馆公共区域、密闭空间、重点区域常态化消杀服务，完整留存消杀记录，保障场馆卫生安全。</w:t>
            </w:r>
          </w:p>
          <w:p>
            <w:pPr>
              <w:pStyle w:val="null3"/>
              <w:ind w:firstLine="420"/>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5. 场地专业养护服务：提供塑胶场地、球类场地、泳池区域的日常养护、杂物清理、表层防护服务，及时排查场地破损、凸起、隐患问题，保障运动场地平整完好、安全可用。</w:t>
            </w:r>
          </w:p>
          <w:p>
            <w:pPr>
              <w:pStyle w:val="null3"/>
              <w:ind w:firstLine="420"/>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6. 死角专项清理服务：定期开展全域卫生死角排查与专项清理服务，对隐蔽区域、设备底部、高空边角等区域彻底清扫，确保场馆环境卫生无盲区、全达标。</w:t>
            </w:r>
          </w:p>
          <w:p>
            <w:pPr>
              <w:pStyle w:val="null3"/>
              <w:jc w:val="left"/>
              <w:outlineLvl w:val="2"/>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服务事项清单及量化考核标准</w:t>
            </w:r>
          </w:p>
          <w:p>
            <w:pPr>
              <w:pStyle w:val="null3"/>
              <w:ind w:firstLine="420"/>
              <w:jc w:val="left"/>
            </w:pPr>
            <w:r>
              <w:rPr>
                <w:rFonts w:ascii="仿宋_GB2312" w:hAnsi="仿宋_GB2312" w:cs="仿宋_GB2312" w:eastAsia="仿宋_GB2312"/>
                <w:sz w:val="21"/>
                <w:color w:val="000000"/>
              </w:rPr>
              <w:t>本</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月度、年度考核基准总分100分，各服务板块权重分值分配如下，考核得分=各板块实得分总和+加分项得分（加分月度上限15分）。</w:t>
            </w:r>
          </w:p>
          <w:p>
            <w:pPr>
              <w:pStyle w:val="null3"/>
              <w:ind w:firstLine="420"/>
              <w:jc w:val="left"/>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客户接待服务：15分</w:t>
            </w:r>
          </w:p>
          <w:p>
            <w:pPr>
              <w:pStyle w:val="null3"/>
              <w:ind w:firstLine="420"/>
              <w:jc w:val="left"/>
            </w:pPr>
            <w:r>
              <w:rPr>
                <w:rFonts w:ascii="仿宋_GB2312" w:hAnsi="仿宋_GB2312" w:cs="仿宋_GB2312" w:eastAsia="仿宋_GB2312"/>
                <w:sz w:val="21"/>
                <w:color w:val="000000"/>
              </w:rPr>
              <w:t>2. 秩序安全维护服务：20分</w:t>
            </w:r>
          </w:p>
          <w:p>
            <w:pPr>
              <w:pStyle w:val="null3"/>
              <w:ind w:firstLine="420"/>
              <w:jc w:val="left"/>
            </w:pPr>
            <w:r>
              <w:rPr>
                <w:rFonts w:ascii="仿宋_GB2312" w:hAnsi="仿宋_GB2312" w:cs="仿宋_GB2312" w:eastAsia="仿宋_GB2312"/>
                <w:sz w:val="21"/>
                <w:color w:val="000000"/>
              </w:rPr>
              <w:t>3. 设施设备与体育器材运维服务：25分</w:t>
            </w:r>
          </w:p>
          <w:p>
            <w:pPr>
              <w:pStyle w:val="null3"/>
              <w:ind w:firstLine="420"/>
              <w:jc w:val="left"/>
            </w:pPr>
            <w:r>
              <w:rPr>
                <w:rFonts w:ascii="仿宋_GB2312" w:hAnsi="仿宋_GB2312" w:cs="仿宋_GB2312" w:eastAsia="仿宋_GB2312"/>
                <w:sz w:val="21"/>
                <w:color w:val="000000"/>
              </w:rPr>
              <w:t>4. 环境卫生保洁服务：15分</w:t>
            </w:r>
          </w:p>
          <w:p>
            <w:pPr>
              <w:pStyle w:val="null3"/>
              <w:ind w:firstLine="420"/>
              <w:jc w:val="left"/>
            </w:pPr>
            <w:r>
              <w:rPr>
                <w:rFonts w:ascii="仿宋_GB2312" w:hAnsi="仿宋_GB2312" w:cs="仿宋_GB2312" w:eastAsia="仿宋_GB2312"/>
                <w:sz w:val="21"/>
                <w:color w:val="000000"/>
              </w:rPr>
              <w:t>5. 游泳馆救生安全服务：10分</w:t>
            </w:r>
          </w:p>
          <w:p>
            <w:pPr>
              <w:pStyle w:val="null3"/>
              <w:ind w:firstLine="420"/>
              <w:jc w:val="left"/>
            </w:pPr>
            <w:r>
              <w:rPr>
                <w:rFonts w:ascii="仿宋_GB2312" w:hAnsi="仿宋_GB2312" w:cs="仿宋_GB2312" w:eastAsia="仿宋_GB2312"/>
                <w:sz w:val="21"/>
                <w:color w:val="000000"/>
              </w:rPr>
              <w:t>6. 综合运</w:t>
            </w:r>
            <w:r>
              <w:rPr>
                <w:rFonts w:ascii="仿宋_GB2312" w:hAnsi="仿宋_GB2312" w:cs="仿宋_GB2312" w:eastAsia="仿宋_GB2312"/>
                <w:sz w:val="21"/>
                <w:color w:val="000000"/>
              </w:rPr>
              <w:t>营管理服务：15分</w:t>
            </w:r>
          </w:p>
          <w:p>
            <w:pPr>
              <w:pStyle w:val="null3"/>
              <w:ind w:firstLine="420"/>
              <w:jc w:val="left"/>
            </w:pPr>
            <w:r>
              <w:rPr>
                <w:rFonts w:ascii="仿宋_GB2312" w:hAnsi="仿宋_GB2312" w:cs="仿宋_GB2312" w:eastAsia="仿宋_GB2312"/>
                <w:sz w:val="21"/>
                <w:color w:val="000000"/>
              </w:rPr>
              <w:t>基准</w:t>
            </w:r>
            <w:r>
              <w:rPr>
                <w:rFonts w:ascii="仿宋_GB2312" w:hAnsi="仿宋_GB2312" w:cs="仿宋_GB2312" w:eastAsia="仿宋_GB2312"/>
                <w:sz w:val="21"/>
                <w:color w:val="000000"/>
              </w:rPr>
              <w:t>总分：100分</w:t>
            </w:r>
          </w:p>
          <w:p>
            <w:pPr>
              <w:pStyle w:val="null3"/>
              <w:jc w:val="left"/>
              <w:outlineLvl w:val="3"/>
            </w:pPr>
            <w:r>
              <w:rPr>
                <w:rFonts w:ascii="仿宋_GB2312" w:hAnsi="仿宋_GB2312" w:cs="仿宋_GB2312" w:eastAsia="仿宋_GB2312"/>
                <w:sz w:val="21"/>
                <w:b/>
                <w:color w:val="000000"/>
              </w:rPr>
              <w:t>3.1</w:t>
            </w:r>
            <w:r>
              <w:rPr>
                <w:rFonts w:ascii="仿宋_GB2312" w:hAnsi="仿宋_GB2312" w:cs="仿宋_GB2312" w:eastAsia="仿宋_GB2312"/>
                <w:sz w:val="21"/>
                <w:b/>
                <w:color w:val="000000"/>
              </w:rPr>
              <w:t>宝鸡文理学院体育场馆服务外包项目考核权重、扣分及加分汇总表</w:t>
            </w:r>
          </w:p>
          <w:p>
            <w:pPr>
              <w:pStyle w:val="null3"/>
              <w:ind w:firstLine="420"/>
              <w:jc w:val="left"/>
            </w:pPr>
            <w:r>
              <w:rPr>
                <w:rFonts w:ascii="仿宋_GB2312" w:hAnsi="仿宋_GB2312" w:cs="仿宋_GB2312" w:eastAsia="仿宋_GB2312"/>
                <w:sz w:val="21"/>
                <w:color w:val="000000"/>
              </w:rPr>
              <w:t>3.1.1</w:t>
            </w:r>
            <w:r>
              <w:rPr>
                <w:rFonts w:ascii="仿宋_GB2312" w:hAnsi="仿宋_GB2312" w:cs="仿宋_GB2312" w:eastAsia="仿宋_GB2312"/>
                <w:sz w:val="21"/>
                <w:color w:val="000000"/>
              </w:rPr>
              <w:t>服务外包项目考核扣分</w:t>
            </w:r>
            <w:r>
              <w:rPr>
                <w:rFonts w:ascii="仿宋_GB2312" w:hAnsi="仿宋_GB2312" w:cs="仿宋_GB2312" w:eastAsia="仿宋_GB2312"/>
                <w:sz w:val="21"/>
                <w:color w:val="000000"/>
              </w:rPr>
              <w:t>表</w:t>
            </w:r>
          </w:p>
          <w:tbl>
            <w:tblPr>
              <w:tblInd w:type="dxa" w:w="120"/>
              <w:tblBorders>
                <w:top w:val="none" w:color="000000" w:sz="4"/>
                <w:left w:val="none" w:color="000000" w:sz="4"/>
                <w:bottom w:val="none" w:color="000000" w:sz="4"/>
                <w:right w:val="none" w:color="000000" w:sz="4"/>
                <w:insideH w:val="none"/>
                <w:insideV w:val="none"/>
              </w:tblBorders>
            </w:tblPr>
            <w:tblGrid>
              <w:gridCol w:w="176"/>
              <w:gridCol w:w="349"/>
              <w:gridCol w:w="273"/>
              <w:gridCol w:w="1754"/>
            </w:tblGrid>
            <w:tr>
              <w:tc>
                <w:tcPr>
                  <w:tcW w:type="dxa" w:w="176"/>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rFonts w:ascii="仿宋_GB2312" w:hAnsi="仿宋_GB2312" w:cs="仿宋_GB2312" w:eastAsia="仿宋_GB2312"/>
                      <w:sz w:val="21"/>
                      <w:b/>
                      <w:color w:val="000000"/>
                    </w:rPr>
                    <w:t>序号</w:t>
                  </w:r>
                </w:p>
              </w:tc>
              <w:tc>
                <w:tcPr>
                  <w:tcW w:type="dxa" w:w="349"/>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rFonts w:ascii="仿宋_GB2312" w:hAnsi="仿宋_GB2312" w:cs="仿宋_GB2312" w:eastAsia="仿宋_GB2312"/>
                      <w:sz w:val="21"/>
                      <w:b/>
                      <w:color w:val="000000"/>
                    </w:rPr>
                    <w:t>考核服务板块</w:t>
                  </w:r>
                </w:p>
              </w:tc>
              <w:tc>
                <w:tcPr>
                  <w:tcW w:type="dxa" w:w="273"/>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rFonts w:ascii="仿宋_GB2312" w:hAnsi="仿宋_GB2312" w:cs="仿宋_GB2312" w:eastAsia="仿宋_GB2312"/>
                      <w:sz w:val="21"/>
                      <w:b/>
                      <w:color w:val="000000"/>
                    </w:rPr>
                    <w:t>权重分值</w:t>
                  </w:r>
                </w:p>
              </w:tc>
              <w:tc>
                <w:tcPr>
                  <w:tcW w:type="dxa" w:w="1754"/>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rFonts w:ascii="仿宋_GB2312" w:hAnsi="仿宋_GB2312" w:cs="仿宋_GB2312" w:eastAsia="仿宋_GB2312"/>
                      <w:sz w:val="21"/>
                      <w:b/>
                      <w:color w:val="000000"/>
                    </w:rPr>
                    <w:t>核心扣分标准（量化可查）</w:t>
                  </w:r>
                </w:p>
              </w:tc>
            </w:tr>
            <w:tr>
              <w:tc>
                <w:tcPr>
                  <w:tcW w:type="dxa" w:w="17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w:t>
                  </w:r>
                </w:p>
              </w:tc>
              <w:tc>
                <w:tcPr>
                  <w:tcW w:type="dxa" w:w="3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客户接待服务</w:t>
                  </w:r>
                </w:p>
              </w:tc>
              <w:tc>
                <w:tcPr>
                  <w:tcW w:type="dxa" w:w="2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15分</w:t>
                  </w:r>
                </w:p>
              </w:tc>
              <w:tc>
                <w:tcPr>
                  <w:tcW w:type="dxa" w:w="17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有效投诉超标准，2分/次；重大投诉，5分/次；</w:t>
                  </w:r>
                </w:p>
                <w:p>
                  <w:pPr>
                    <w:pStyle w:val="null3"/>
                    <w:jc w:val="left"/>
                  </w:pPr>
                  <w:r>
                    <w:rPr>
                      <w:rFonts w:ascii="仿宋_GB2312" w:hAnsi="仿宋_GB2312" w:cs="仿宋_GB2312" w:eastAsia="仿宋_GB2312"/>
                      <w:sz w:val="21"/>
                      <w:color w:val="000000"/>
                    </w:rPr>
                    <w:t>2. 场地预约核销错漏，1分/次；</w:t>
                  </w:r>
                </w:p>
                <w:p>
                  <w:pPr>
                    <w:pStyle w:val="null3"/>
                    <w:jc w:val="left"/>
                  </w:pPr>
                  <w:r>
                    <w:rPr>
                      <w:rFonts w:ascii="仿宋_GB2312" w:hAnsi="仿宋_GB2312" w:cs="仿宋_GB2312" w:eastAsia="仿宋_GB2312"/>
                      <w:sz w:val="21"/>
                      <w:color w:val="000000"/>
                    </w:rPr>
                    <w:t>3. 服务态度恶劣、推诿扯皮，2分/次；</w:t>
                  </w:r>
                </w:p>
                <w:p>
                  <w:pPr>
                    <w:pStyle w:val="null3"/>
                    <w:jc w:val="left"/>
                  </w:pPr>
                  <w:r>
                    <w:rPr>
                      <w:rFonts w:ascii="仿宋_GB2312" w:hAnsi="仿宋_GB2312" w:cs="仿宋_GB2312" w:eastAsia="仿宋_GB2312"/>
                      <w:sz w:val="21"/>
                      <w:color w:val="000000"/>
                    </w:rPr>
                    <w:t>4. 投诉24小时未响应、未闭环，3分/起；</w:t>
                  </w:r>
                </w:p>
                <w:p>
                  <w:pPr>
                    <w:pStyle w:val="null3"/>
                    <w:jc w:val="left"/>
                  </w:pPr>
                  <w:r>
                    <w:rPr>
                      <w:rFonts w:ascii="仿宋_GB2312" w:hAnsi="仿宋_GB2312" w:cs="仿宋_GB2312" w:eastAsia="仿宋_GB2312"/>
                      <w:sz w:val="21"/>
                      <w:color w:val="000000"/>
                    </w:rPr>
                    <w:t>5. 失物招领台账不规范，1分/次；</w:t>
                  </w:r>
                </w:p>
                <w:p>
                  <w:pPr>
                    <w:pStyle w:val="null3"/>
                    <w:jc w:val="left"/>
                  </w:pPr>
                  <w:r>
                    <w:rPr>
                      <w:rFonts w:ascii="仿宋_GB2312" w:hAnsi="仿宋_GB2312" w:cs="仿宋_GB2312" w:eastAsia="仿宋_GB2312"/>
                      <w:sz w:val="21"/>
                      <w:color w:val="000000"/>
                    </w:rPr>
                    <w:t>6. 月度服务好评率未达标，扣3分。</w:t>
                  </w:r>
                </w:p>
              </w:tc>
            </w:tr>
            <w:tr>
              <w:tc>
                <w:tcPr>
                  <w:tcW w:type="dxa" w:w="17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2</w:t>
                  </w:r>
                </w:p>
              </w:tc>
              <w:tc>
                <w:tcPr>
                  <w:tcW w:type="dxa" w:w="3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秩序安全维护服务</w:t>
                  </w:r>
                </w:p>
              </w:tc>
              <w:tc>
                <w:tcPr>
                  <w:tcW w:type="dxa" w:w="2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20分</w:t>
                  </w:r>
                </w:p>
              </w:tc>
              <w:tc>
                <w:tcPr>
                  <w:tcW w:type="dxa" w:w="17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无关人员、车辆违规闯入，10分/起；</w:t>
                  </w:r>
                </w:p>
                <w:p>
                  <w:pPr>
                    <w:pStyle w:val="null3"/>
                    <w:jc w:val="left"/>
                  </w:pPr>
                  <w:r>
                    <w:rPr>
                      <w:rFonts w:ascii="仿宋_GB2312" w:hAnsi="仿宋_GB2312" w:cs="仿宋_GB2312" w:eastAsia="仿宋_GB2312"/>
                      <w:sz w:val="21"/>
                      <w:color w:val="000000"/>
                    </w:rPr>
                    <w:t>2. 安全隐患24小时未上报、未设警示，4分/起；</w:t>
                  </w:r>
                </w:p>
                <w:p>
                  <w:pPr>
                    <w:pStyle w:val="null3"/>
                    <w:jc w:val="left"/>
                  </w:pPr>
                  <w:r>
                    <w:rPr>
                      <w:rFonts w:ascii="仿宋_GB2312" w:hAnsi="仿宋_GB2312" w:cs="仿宋_GB2312" w:eastAsia="仿宋_GB2312"/>
                      <w:sz w:val="21"/>
                      <w:color w:val="000000"/>
                    </w:rPr>
                    <w:t>3. 闭馆清场不彻底、存在滞留隐患，3分/次；</w:t>
                  </w:r>
                </w:p>
                <w:p>
                  <w:pPr>
                    <w:pStyle w:val="null3"/>
                    <w:jc w:val="left"/>
                  </w:pPr>
                  <w:r>
                    <w:rPr>
                      <w:rFonts w:ascii="仿宋_GB2312" w:hAnsi="仿宋_GB2312" w:cs="仿宋_GB2312" w:eastAsia="仿宋_GB2312"/>
                      <w:sz w:val="21"/>
                      <w:color w:val="000000"/>
                    </w:rPr>
                    <w:t>4. 活动、教学现场秩序混乱，3分/次；</w:t>
                  </w:r>
                </w:p>
                <w:p>
                  <w:pPr>
                    <w:pStyle w:val="null3"/>
                    <w:jc w:val="left"/>
                  </w:pPr>
                  <w:r>
                    <w:rPr>
                      <w:rFonts w:ascii="仿宋_GB2312" w:hAnsi="仿宋_GB2312" w:cs="仿宋_GB2312" w:eastAsia="仿宋_GB2312"/>
                      <w:sz w:val="21"/>
                      <w:color w:val="000000"/>
                    </w:rPr>
                    <w:t>5. 消防通道堵塞、设施存在隐患，5分/起；</w:t>
                  </w:r>
                </w:p>
                <w:p>
                  <w:pPr>
                    <w:pStyle w:val="null3"/>
                    <w:jc w:val="left"/>
                  </w:pPr>
                  <w:r>
                    <w:rPr>
                      <w:rFonts w:ascii="仿宋_GB2312" w:hAnsi="仿宋_GB2312" w:cs="仿宋_GB2312" w:eastAsia="仿宋_GB2312"/>
                      <w:sz w:val="21"/>
                      <w:color w:val="000000"/>
                    </w:rPr>
                    <w:t>6. 安全巡查台账缺失、不规范，2分/次。</w:t>
                  </w:r>
                </w:p>
              </w:tc>
            </w:tr>
            <w:tr>
              <w:tc>
                <w:tcPr>
                  <w:tcW w:type="dxa" w:w="17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3</w:t>
                  </w:r>
                </w:p>
              </w:tc>
              <w:tc>
                <w:tcPr>
                  <w:tcW w:type="dxa" w:w="3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设施设备与体育器材运维服务</w:t>
                  </w:r>
                </w:p>
              </w:tc>
              <w:tc>
                <w:tcPr>
                  <w:tcW w:type="dxa" w:w="2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25分</w:t>
                  </w:r>
                </w:p>
              </w:tc>
              <w:tc>
                <w:tcPr>
                  <w:tcW w:type="dxa" w:w="17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设备故障30分钟未响应，3分/起；一般故障4小时未修复，5分/起；</w:t>
                  </w:r>
                </w:p>
                <w:p>
                  <w:pPr>
                    <w:pStyle w:val="null3"/>
                    <w:jc w:val="left"/>
                  </w:pPr>
                  <w:r>
                    <w:rPr>
                      <w:rFonts w:ascii="仿宋_GB2312" w:hAnsi="仿宋_GB2312" w:cs="仿宋_GB2312" w:eastAsia="仿宋_GB2312"/>
                      <w:sz w:val="21"/>
                      <w:color w:val="000000"/>
                    </w:rPr>
                    <w:t>2. 泳池水质检测不达标，10分/次；</w:t>
                  </w:r>
                </w:p>
                <w:p>
                  <w:pPr>
                    <w:pStyle w:val="null3"/>
                    <w:jc w:val="left"/>
                  </w:pPr>
                  <w:r>
                    <w:rPr>
                      <w:rFonts w:ascii="仿宋_GB2312" w:hAnsi="仿宋_GB2312" w:cs="仿宋_GB2312" w:eastAsia="仿宋_GB2312"/>
                      <w:sz w:val="21"/>
                      <w:color w:val="000000"/>
                    </w:rPr>
                    <w:t>3. 操作运维失误引发安全事故，本项归零；</w:t>
                  </w:r>
                </w:p>
                <w:p>
                  <w:pPr>
                    <w:pStyle w:val="null3"/>
                    <w:jc w:val="left"/>
                  </w:pPr>
                  <w:r>
                    <w:rPr>
                      <w:rFonts w:ascii="仿宋_GB2312" w:hAnsi="仿宋_GB2312" w:cs="仿宋_GB2312" w:eastAsia="仿宋_GB2312"/>
                      <w:sz w:val="21"/>
                      <w:color w:val="000000"/>
                    </w:rPr>
                    <w:t>4. 器材错发、漏发、未回收，4分/起；器材丢失，5分/次+照价赔偿；</w:t>
                  </w:r>
                </w:p>
                <w:p>
                  <w:pPr>
                    <w:pStyle w:val="null3"/>
                    <w:jc w:val="left"/>
                  </w:pPr>
                  <w:r>
                    <w:rPr>
                      <w:rFonts w:ascii="仿宋_GB2312" w:hAnsi="仿宋_GB2312" w:cs="仿宋_GB2312" w:eastAsia="仿宋_GB2312"/>
                      <w:sz w:val="21"/>
                      <w:color w:val="000000"/>
                    </w:rPr>
                    <w:t>5. 设备、器材台账更新不及时、账物不符，3分/次；</w:t>
                  </w:r>
                </w:p>
                <w:p>
                  <w:pPr>
                    <w:pStyle w:val="null3"/>
                    <w:jc w:val="left"/>
                  </w:pPr>
                  <w:r>
                    <w:rPr>
                      <w:rFonts w:ascii="仿宋_GB2312" w:hAnsi="仿宋_GB2312" w:cs="仿宋_GB2312" w:eastAsia="仿宋_GB2312"/>
                      <w:sz w:val="21"/>
                      <w:color w:val="000000"/>
                    </w:rPr>
                    <w:t>6. 器材养护不到位、完好率不达标，3分/次；</w:t>
                  </w:r>
                </w:p>
                <w:p>
                  <w:pPr>
                    <w:pStyle w:val="null3"/>
                    <w:jc w:val="left"/>
                  </w:pPr>
                  <w:r>
                    <w:rPr>
                      <w:rFonts w:ascii="仿宋_GB2312" w:hAnsi="仿宋_GB2312" w:cs="仿宋_GB2312" w:eastAsia="仿宋_GB2312"/>
                      <w:sz w:val="21"/>
                      <w:color w:val="000000"/>
                    </w:rPr>
                    <w:t>7. 大型活动前未开展专项设备器材检查，4分/次。</w:t>
                  </w:r>
                </w:p>
              </w:tc>
            </w:tr>
            <w:tr>
              <w:tc>
                <w:tcPr>
                  <w:tcW w:type="dxa" w:w="17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4</w:t>
                  </w:r>
                </w:p>
              </w:tc>
              <w:tc>
                <w:tcPr>
                  <w:tcW w:type="dxa" w:w="3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环境卫生保洁服务</w:t>
                  </w:r>
                </w:p>
              </w:tc>
              <w:tc>
                <w:tcPr>
                  <w:tcW w:type="dxa" w:w="2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15分</w:t>
                  </w:r>
                </w:p>
              </w:tc>
              <w:tc>
                <w:tcPr>
                  <w:tcW w:type="dxa" w:w="17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卫生抽查不合格、存在死角污渍，2分/次；</w:t>
                  </w:r>
                </w:p>
                <w:p>
                  <w:pPr>
                    <w:pStyle w:val="null3"/>
                    <w:jc w:val="left"/>
                  </w:pPr>
                  <w:r>
                    <w:rPr>
                      <w:rFonts w:ascii="仿宋_GB2312" w:hAnsi="仿宋_GB2312" w:cs="仿宋_GB2312" w:eastAsia="仿宋_GB2312"/>
                      <w:sz w:val="21"/>
                      <w:color w:val="000000"/>
                    </w:rPr>
                    <w:t>2. 大型活动后超时未复原场地，4分/次；</w:t>
                  </w:r>
                </w:p>
                <w:p>
                  <w:pPr>
                    <w:pStyle w:val="null3"/>
                    <w:jc w:val="left"/>
                  </w:pPr>
                  <w:r>
                    <w:rPr>
                      <w:rFonts w:ascii="仿宋_GB2312" w:hAnsi="仿宋_GB2312" w:cs="仿宋_GB2312" w:eastAsia="仿宋_GB2312"/>
                      <w:sz w:val="21"/>
                      <w:color w:val="000000"/>
                    </w:rPr>
                    <w:t>3. 垃圾堆积、未日产日清，2分/次；</w:t>
                  </w:r>
                </w:p>
                <w:p>
                  <w:pPr>
                    <w:pStyle w:val="null3"/>
                    <w:jc w:val="left"/>
                  </w:pPr>
                  <w:r>
                    <w:rPr>
                      <w:rFonts w:ascii="仿宋_GB2312" w:hAnsi="仿宋_GB2312" w:cs="仿宋_GB2312" w:eastAsia="仿宋_GB2312"/>
                      <w:sz w:val="21"/>
                      <w:color w:val="000000"/>
                    </w:rPr>
                    <w:t>4. 消杀未落实、台账缺失，2分/次；</w:t>
                  </w:r>
                </w:p>
                <w:p>
                  <w:pPr>
                    <w:pStyle w:val="null3"/>
                    <w:jc w:val="left"/>
                  </w:pPr>
                  <w:r>
                    <w:rPr>
                      <w:rFonts w:ascii="仿宋_GB2312" w:hAnsi="仿宋_GB2312" w:cs="仿宋_GB2312" w:eastAsia="仿宋_GB2312"/>
                      <w:sz w:val="21"/>
                      <w:color w:val="000000"/>
                    </w:rPr>
                    <w:t>5. 场地养护不到位、存在安全隐患，3分/次。</w:t>
                  </w:r>
                </w:p>
              </w:tc>
            </w:tr>
            <w:tr>
              <w:tc>
                <w:tcPr>
                  <w:tcW w:type="dxa" w:w="17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5</w:t>
                  </w:r>
                </w:p>
              </w:tc>
              <w:tc>
                <w:tcPr>
                  <w:tcW w:type="dxa" w:w="3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游泳馆救生安全服务</w:t>
                  </w:r>
                </w:p>
              </w:tc>
              <w:tc>
                <w:tcPr>
                  <w:tcW w:type="dxa" w:w="2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10分</w:t>
                  </w:r>
                </w:p>
              </w:tc>
              <w:tc>
                <w:tcPr>
                  <w:tcW w:type="dxa" w:w="17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发生责任溺水安全事故，本项归零并追责；</w:t>
                  </w:r>
                </w:p>
                <w:p>
                  <w:pPr>
                    <w:pStyle w:val="null3"/>
                    <w:jc w:val="left"/>
                  </w:pPr>
                  <w:r>
                    <w:rPr>
                      <w:rFonts w:ascii="仿宋_GB2312" w:hAnsi="仿宋_GB2312" w:cs="仿宋_GB2312" w:eastAsia="仿宋_GB2312"/>
                      <w:sz w:val="21"/>
                      <w:color w:val="000000"/>
                    </w:rPr>
                    <w:t>2. 救生人员无证上岗、证件过期，5分/人；</w:t>
                  </w:r>
                </w:p>
                <w:p>
                  <w:pPr>
                    <w:pStyle w:val="null3"/>
                    <w:jc w:val="left"/>
                  </w:pPr>
                  <w:r>
                    <w:rPr>
                      <w:rFonts w:ascii="仿宋_GB2312" w:hAnsi="仿宋_GB2312" w:cs="仿宋_GB2312" w:eastAsia="仿宋_GB2312"/>
                      <w:sz w:val="21"/>
                      <w:color w:val="000000"/>
                    </w:rPr>
                    <w:t>3. 救生岗位脱岗、空岗，4分/次；</w:t>
                  </w:r>
                </w:p>
                <w:p>
                  <w:pPr>
                    <w:pStyle w:val="null3"/>
                    <w:jc w:val="left"/>
                  </w:pPr>
                  <w:r>
                    <w:rPr>
                      <w:rFonts w:ascii="仿宋_GB2312" w:hAnsi="仿宋_GB2312" w:cs="仿宋_GB2312" w:eastAsia="仿宋_GB2312"/>
                      <w:sz w:val="21"/>
                      <w:color w:val="000000"/>
                    </w:rPr>
                    <w:t>4. 救生物资、急救器材破损失效，3分/次；</w:t>
                  </w:r>
                </w:p>
                <w:p>
                  <w:pPr>
                    <w:pStyle w:val="null3"/>
                    <w:jc w:val="left"/>
                  </w:pPr>
                  <w:r>
                    <w:rPr>
                      <w:rFonts w:ascii="仿宋_GB2312" w:hAnsi="仿宋_GB2312" w:cs="仿宋_GB2312" w:eastAsia="仿宋_GB2312"/>
                      <w:sz w:val="21"/>
                      <w:color w:val="000000"/>
                    </w:rPr>
                    <w:t>5. 救生台账记录不完整、不规范，2分/次。</w:t>
                  </w:r>
                </w:p>
                <w:p>
                  <w:pPr>
                    <w:pStyle w:val="null3"/>
                    <w:jc w:val="left"/>
                  </w:pPr>
                  <w:r>
                    <w:rPr>
                      <w:rFonts w:ascii="仿宋_GB2312" w:hAnsi="仿宋_GB2312" w:cs="仿宋_GB2312" w:eastAsia="仿宋_GB2312"/>
                      <w:sz w:val="21"/>
                      <w:color w:val="000000"/>
                    </w:rPr>
                    <w:t>备注：非泳季本项按满分核算。</w:t>
                  </w:r>
                </w:p>
              </w:tc>
            </w:tr>
            <w:tr>
              <w:tc>
                <w:tcPr>
                  <w:tcW w:type="dxa" w:w="17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6</w:t>
                  </w:r>
                </w:p>
              </w:tc>
              <w:tc>
                <w:tcPr>
                  <w:tcW w:type="dxa" w:w="34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综合运营管理服务</w:t>
                  </w:r>
                </w:p>
              </w:tc>
              <w:tc>
                <w:tcPr>
                  <w:tcW w:type="dxa" w:w="27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15分</w:t>
                  </w:r>
                </w:p>
                <w:p>
                  <w:pPr>
                    <w:pStyle w:val="null3"/>
                    <w:jc w:val="left"/>
                  </w:pPr>
                </w:p>
              </w:tc>
              <w:tc>
                <w:tcPr>
                  <w:tcW w:type="dxa" w:w="175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大型活动保障失误、满意度不达标，4分/次；</w:t>
                  </w:r>
                </w:p>
                <w:p>
                  <w:pPr>
                    <w:pStyle w:val="null3"/>
                    <w:jc w:val="left"/>
                  </w:pPr>
                  <w:r>
                    <w:rPr>
                      <w:rFonts w:ascii="仿宋_GB2312" w:hAnsi="仿宋_GB2312" w:cs="仿宋_GB2312" w:eastAsia="仿宋_GB2312"/>
                      <w:sz w:val="21"/>
                      <w:color w:val="000000"/>
                    </w:rPr>
                    <w:t>2. 突发事件响应超时、处置不规范，3分/起；</w:t>
                  </w:r>
                </w:p>
                <w:p>
                  <w:pPr>
                    <w:pStyle w:val="null3"/>
                    <w:jc w:val="left"/>
                  </w:pPr>
                  <w:r>
                    <w:rPr>
                      <w:rFonts w:ascii="仿宋_GB2312" w:hAnsi="仿宋_GB2312" w:cs="仿宋_GB2312" w:eastAsia="仿宋_GB2312"/>
                      <w:sz w:val="21"/>
                      <w:color w:val="000000"/>
                    </w:rPr>
                    <w:t>3. 各类服务档案、台账缺失不全，2分/次；</w:t>
                  </w:r>
                </w:p>
                <w:p>
                  <w:pPr>
                    <w:pStyle w:val="null3"/>
                    <w:jc w:val="left"/>
                  </w:pPr>
                  <w:r>
                    <w:rPr>
                      <w:rFonts w:ascii="仿宋_GB2312" w:hAnsi="仿宋_GB2312" w:cs="仿宋_GB2312" w:eastAsia="仿宋_GB2312"/>
                      <w:sz w:val="21"/>
                      <w:color w:val="000000"/>
                    </w:rPr>
                    <w:t>4. 问题未闭环整改、自查流于形式，3分/次；</w:t>
                  </w:r>
                </w:p>
                <w:p>
                  <w:pPr>
                    <w:pStyle w:val="null3"/>
                    <w:jc w:val="left"/>
                  </w:pPr>
                  <w:r>
                    <w:rPr>
                      <w:rFonts w:ascii="仿宋_GB2312" w:hAnsi="仿宋_GB2312" w:cs="仿宋_GB2312" w:eastAsia="仿宋_GB2312"/>
                      <w:sz w:val="21"/>
                      <w:color w:val="000000"/>
                    </w:rPr>
                    <w:t>5. 拒不配合校方检查及临时任务，5分/次。</w:t>
                  </w:r>
                </w:p>
              </w:tc>
            </w:tr>
          </w:tbl>
          <w:p>
            <w:pPr>
              <w:pStyle w:val="null3"/>
              <w:ind w:firstLine="420"/>
              <w:jc w:val="left"/>
            </w:pPr>
            <w:r>
              <w:rPr>
                <w:rFonts w:ascii="仿宋_GB2312" w:hAnsi="仿宋_GB2312" w:cs="仿宋_GB2312" w:eastAsia="仿宋_GB2312"/>
                <w:sz w:val="21"/>
                <w:color w:val="000000"/>
              </w:rPr>
              <w:t>3.1.2</w:t>
            </w:r>
            <w:r>
              <w:rPr>
                <w:rFonts w:ascii="仿宋_GB2312" w:hAnsi="仿宋_GB2312" w:cs="仿宋_GB2312" w:eastAsia="仿宋_GB2312"/>
                <w:sz w:val="21"/>
                <w:color w:val="000000"/>
              </w:rPr>
              <w:t>服务外包项目加分项汇总表（月度上限15分</w:t>
            </w:r>
            <w:r>
              <w:rPr>
                <w:rFonts w:ascii="仿宋_GB2312" w:hAnsi="仿宋_GB2312" w:cs="仿宋_GB2312" w:eastAsia="仿宋_GB2312"/>
                <w:sz w:val="21"/>
                <w:color w:val="000000"/>
              </w:rPr>
              <w:t>）</w:t>
            </w:r>
          </w:p>
          <w:tbl>
            <w:tblPr>
              <w:tblInd w:type="dxa" w:w="60"/>
              <w:tblBorders>
                <w:top w:val="none" w:color="000000" w:sz="4"/>
                <w:left w:val="none" w:color="000000" w:sz="4"/>
                <w:bottom w:val="none" w:color="000000" w:sz="4"/>
                <w:right w:val="none" w:color="000000" w:sz="4"/>
                <w:insideH w:val="none"/>
                <w:insideV w:val="none"/>
              </w:tblBorders>
            </w:tblPr>
            <w:tblGrid>
              <w:gridCol w:w="262"/>
              <w:gridCol w:w="507"/>
              <w:gridCol w:w="1363"/>
              <w:gridCol w:w="420"/>
            </w:tblGrid>
            <w:tr>
              <w:tc>
                <w:tcPr>
                  <w:tcW w:type="dxa" w:w="262"/>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both"/>
                  </w:pPr>
                  <w:r>
                    <w:rPr>
                      <w:rFonts w:ascii="仿宋_GB2312" w:hAnsi="仿宋_GB2312" w:cs="仿宋_GB2312" w:eastAsia="仿宋_GB2312"/>
                      <w:sz w:val="21"/>
                      <w:b/>
                      <w:color w:val="000000"/>
                    </w:rPr>
                    <w:t>序号</w:t>
                  </w:r>
                </w:p>
              </w:tc>
              <w:tc>
                <w:tcPr>
                  <w:tcW w:type="dxa" w:w="507"/>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rFonts w:ascii="仿宋_GB2312" w:hAnsi="仿宋_GB2312" w:cs="仿宋_GB2312" w:eastAsia="仿宋_GB2312"/>
                      <w:sz w:val="21"/>
                      <w:b/>
                      <w:color w:val="000000"/>
                    </w:rPr>
                    <w:t>加分项目</w:t>
                  </w:r>
                </w:p>
              </w:tc>
              <w:tc>
                <w:tcPr>
                  <w:tcW w:type="dxa" w:w="1363"/>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rFonts w:ascii="仿宋_GB2312" w:hAnsi="仿宋_GB2312" w:cs="仿宋_GB2312" w:eastAsia="仿宋_GB2312"/>
                      <w:sz w:val="21"/>
                      <w:b/>
                      <w:color w:val="000000"/>
                    </w:rPr>
                    <w:t>加分标准</w:t>
                  </w:r>
                </w:p>
              </w:tc>
              <w:tc>
                <w:tcPr>
                  <w:tcW w:type="dxa" w:w="420"/>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rFonts w:ascii="仿宋_GB2312" w:hAnsi="仿宋_GB2312" w:cs="仿宋_GB2312" w:eastAsia="仿宋_GB2312"/>
                      <w:sz w:val="21"/>
                      <w:b/>
                      <w:color w:val="000000"/>
                    </w:rPr>
                    <w:t>单次加分</w:t>
                  </w:r>
                </w:p>
              </w:tc>
            </w:tr>
            <w:tr>
              <w:tc>
                <w:tcPr>
                  <w:tcW w:type="dxa" w:w="26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w:t>
                  </w:r>
                </w:p>
              </w:tc>
              <w:tc>
                <w:tcPr>
                  <w:tcW w:type="dxa" w:w="5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优质服务表彰加分</w:t>
                  </w:r>
                </w:p>
              </w:tc>
              <w:tc>
                <w:tcPr>
                  <w:tcW w:type="dxa" w:w="136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获校方书面表彰、师生实名好评、锦旗、感谢信（校方核实）、媒体正面报道（校方核实）、服务创新举措经校方验收认可并推广应用、驻场人员拾金不昧、见义勇为等好人好事经校方确认等</w:t>
                  </w:r>
                </w:p>
              </w:tc>
              <w:tc>
                <w:tcPr>
                  <w:tcW w:type="dxa" w:w="4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5分/次</w:t>
                  </w:r>
                </w:p>
              </w:tc>
            </w:tr>
            <w:tr>
              <w:tc>
                <w:tcPr>
                  <w:tcW w:type="dxa" w:w="26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2</w:t>
                  </w:r>
                </w:p>
              </w:tc>
              <w:tc>
                <w:tcPr>
                  <w:tcW w:type="dxa" w:w="5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主动优化服务加分</w:t>
                  </w:r>
                </w:p>
              </w:tc>
              <w:tc>
                <w:tcPr>
                  <w:tcW w:type="dxa" w:w="136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主动优化器材管理、场地保障、安全制度等服务并落地见效（校方认可）</w:t>
                  </w:r>
                </w:p>
              </w:tc>
              <w:tc>
                <w:tcPr>
                  <w:tcW w:type="dxa" w:w="4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3分/项</w:t>
                  </w:r>
                </w:p>
              </w:tc>
            </w:tr>
            <w:tr>
              <w:tc>
                <w:tcPr>
                  <w:tcW w:type="dxa" w:w="26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3</w:t>
                  </w:r>
                </w:p>
              </w:tc>
              <w:tc>
                <w:tcPr>
                  <w:tcW w:type="dxa" w:w="5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应急处置优秀加分</w:t>
                  </w:r>
                </w:p>
              </w:tc>
              <w:tc>
                <w:tcPr>
                  <w:tcW w:type="dxa" w:w="136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妥善高效处置各类突发情况，无不良影响（校方认可）</w:t>
                  </w:r>
                </w:p>
              </w:tc>
              <w:tc>
                <w:tcPr>
                  <w:tcW w:type="dxa" w:w="4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4分/次</w:t>
                  </w:r>
                </w:p>
              </w:tc>
            </w:tr>
            <w:tr>
              <w:tc>
                <w:tcPr>
                  <w:tcW w:type="dxa" w:w="26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4</w:t>
                  </w:r>
                </w:p>
              </w:tc>
              <w:tc>
                <w:tcPr>
                  <w:tcW w:type="dxa" w:w="5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重大活动优质保障加分</w:t>
                  </w:r>
                </w:p>
              </w:tc>
              <w:tc>
                <w:tcPr>
                  <w:tcW w:type="dxa" w:w="136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圆满完成校级及以上重大赛事、活动、检查保障，零失误零投诉</w:t>
                  </w:r>
                </w:p>
              </w:tc>
              <w:tc>
                <w:tcPr>
                  <w:tcW w:type="dxa" w:w="4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6分/次</w:t>
                  </w:r>
                </w:p>
              </w:tc>
            </w:tr>
            <w:tr>
              <w:tc>
                <w:tcPr>
                  <w:tcW w:type="dxa" w:w="26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5</w:t>
                  </w:r>
                </w:p>
              </w:tc>
              <w:tc>
                <w:tcPr>
                  <w:tcW w:type="dxa" w:w="5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器材资产管理优异加分</w:t>
                  </w:r>
                </w:p>
              </w:tc>
              <w:tc>
                <w:tcPr>
                  <w:tcW w:type="dxa" w:w="136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月度器材盘点账物相符、完好率100%，无差错无丢失损坏</w:t>
                  </w:r>
                </w:p>
              </w:tc>
              <w:tc>
                <w:tcPr>
                  <w:tcW w:type="dxa" w:w="4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4分/月</w:t>
                  </w:r>
                </w:p>
              </w:tc>
            </w:tr>
            <w:tr>
              <w:tc>
                <w:tcPr>
                  <w:tcW w:type="dxa" w:w="26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6</w:t>
                  </w:r>
                </w:p>
              </w:tc>
              <w:tc>
                <w:tcPr>
                  <w:tcW w:type="dxa" w:w="5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创新服务成果加分</w:t>
                  </w:r>
                </w:p>
              </w:tc>
              <w:tc>
                <w:tcPr>
                  <w:tcW w:type="dxa" w:w="136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创新服务模式、优化服务体验、提升运营效率（校方验收认可）</w:t>
                  </w:r>
                </w:p>
              </w:tc>
              <w:tc>
                <w:tcPr>
                  <w:tcW w:type="dxa" w:w="4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5分/项</w:t>
                  </w:r>
                </w:p>
              </w:tc>
            </w:tr>
            <w:tr>
              <w:tc>
                <w:tcPr>
                  <w:tcW w:type="dxa" w:w="26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7</w:t>
                  </w:r>
                </w:p>
              </w:tc>
              <w:tc>
                <w:tcPr>
                  <w:tcW w:type="dxa" w:w="50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零投诉零隐患达标加分</w:t>
                  </w:r>
                </w:p>
              </w:tc>
              <w:tc>
                <w:tcPr>
                  <w:tcW w:type="dxa" w:w="136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当月零有效投诉、零安全隐患漏报、零设备责任故障、零保障差错</w:t>
                  </w:r>
                </w:p>
              </w:tc>
              <w:tc>
                <w:tcPr>
                  <w:tcW w:type="dxa" w:w="4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3分/月</w:t>
                  </w:r>
                </w:p>
              </w:tc>
            </w:tr>
          </w:tbl>
          <w:p>
            <w:pPr>
              <w:pStyle w:val="null3"/>
              <w:ind w:firstLine="420"/>
              <w:jc w:val="left"/>
            </w:pPr>
            <w:r>
              <w:rPr>
                <w:rFonts w:ascii="仿宋_GB2312" w:hAnsi="仿宋_GB2312" w:cs="仿宋_GB2312" w:eastAsia="仿宋_GB2312"/>
                <w:sz w:val="21"/>
                <w:color w:val="000000"/>
              </w:rPr>
              <w:t>3.1.3</w:t>
            </w:r>
            <w:r>
              <w:rPr>
                <w:rFonts w:ascii="仿宋_GB2312" w:hAnsi="仿宋_GB2312" w:cs="仿宋_GB2312" w:eastAsia="仿宋_GB2312"/>
                <w:sz w:val="21"/>
                <w:color w:val="000000"/>
              </w:rPr>
              <w:t>考核通用规则与一票否决条款</w:t>
            </w:r>
          </w:p>
          <w:tbl>
            <w:tblPr>
              <w:tblInd w:type="dxa" w:w="120"/>
              <w:tblBorders>
                <w:top w:val="none" w:color="000000" w:sz="4"/>
                <w:left w:val="none" w:color="000000" w:sz="4"/>
                <w:bottom w:val="none" w:color="000000" w:sz="4"/>
                <w:right w:val="none" w:color="000000" w:sz="4"/>
                <w:insideH w:val="none"/>
                <w:insideV w:val="none"/>
              </w:tblBorders>
            </w:tblPr>
            <w:tblGrid>
              <w:gridCol w:w="525"/>
              <w:gridCol w:w="2027"/>
            </w:tblGrid>
            <w:tr>
              <w:tc>
                <w:tcPr>
                  <w:tcW w:type="dxa" w:w="52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1"/>
                      <w:b/>
                      <w:color w:val="000000"/>
                    </w:rPr>
                    <w:t>通用扣分规则</w:t>
                  </w:r>
                </w:p>
              </w:tc>
              <w:tc>
                <w:tcPr>
                  <w:tcW w:type="dxa" w:w="202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扣分扣完本项权重分值为止，不跨板块倒扣；</w:t>
                  </w:r>
                </w:p>
                <w:p>
                  <w:pPr>
                    <w:pStyle w:val="null3"/>
                    <w:jc w:val="left"/>
                  </w:pPr>
                  <w:r>
                    <w:rPr>
                      <w:rFonts w:ascii="仿宋_GB2312" w:hAnsi="仿宋_GB2312" w:cs="仿宋_GB2312" w:eastAsia="仿宋_GB2312"/>
                      <w:sz w:val="21"/>
                      <w:color w:val="000000"/>
                    </w:rPr>
                    <w:t>2. 同一问题多次违规，加倍扣分；</w:t>
                  </w:r>
                </w:p>
                <w:p>
                  <w:pPr>
                    <w:pStyle w:val="null3"/>
                    <w:jc w:val="left"/>
                  </w:pPr>
                  <w:r>
                    <w:rPr>
                      <w:rFonts w:ascii="仿宋_GB2312" w:hAnsi="仿宋_GB2312" w:cs="仿宋_GB2312" w:eastAsia="仿宋_GB2312"/>
                      <w:sz w:val="21"/>
                      <w:color w:val="000000"/>
                    </w:rPr>
                    <w:t>3. 逾期整改、虚假整改、台账造假，加倍扣分；</w:t>
                  </w:r>
                </w:p>
                <w:p>
                  <w:pPr>
                    <w:pStyle w:val="null3"/>
                    <w:jc w:val="left"/>
                  </w:pPr>
                  <w:r>
                    <w:rPr>
                      <w:rFonts w:ascii="仿宋_GB2312" w:hAnsi="仿宋_GB2312" w:cs="仿宋_GB2312" w:eastAsia="仿宋_GB2312"/>
                      <w:sz w:val="21"/>
                      <w:color w:val="000000"/>
                    </w:rPr>
                    <w:t>4. 月度得分＜80分为不合格，＜70分启动违约追责。</w:t>
                  </w:r>
                </w:p>
              </w:tc>
            </w:tr>
            <w:tr>
              <w:tc>
                <w:tcPr>
                  <w:tcW w:type="dxa" w:w="52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1"/>
                      <w:b/>
                      <w:color w:val="000000"/>
                    </w:rPr>
                    <w:t>加分约束规则</w:t>
                  </w:r>
                </w:p>
              </w:tc>
              <w:tc>
                <w:tcPr>
                  <w:tcW w:type="dxa" w:w="20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加分需提供佐证材料，经校方审核确认；</w:t>
                  </w:r>
                </w:p>
                <w:p>
                  <w:pPr>
                    <w:pStyle w:val="null3"/>
                    <w:jc w:val="left"/>
                  </w:pPr>
                  <w:r>
                    <w:rPr>
                      <w:rFonts w:ascii="仿宋_GB2312" w:hAnsi="仿宋_GB2312" w:cs="仿宋_GB2312" w:eastAsia="仿宋_GB2312"/>
                      <w:sz w:val="21"/>
                      <w:color w:val="000000"/>
                    </w:rPr>
                    <w:t>2. 同一事项不重复加分，多项优异可叠加；</w:t>
                  </w:r>
                </w:p>
                <w:p>
                  <w:pPr>
                    <w:pStyle w:val="null3"/>
                    <w:jc w:val="left"/>
                  </w:pPr>
                  <w:r>
                    <w:rPr>
                      <w:rFonts w:ascii="仿宋_GB2312" w:hAnsi="仿宋_GB2312" w:cs="仿宋_GB2312" w:eastAsia="仿宋_GB2312"/>
                      <w:sz w:val="21"/>
                      <w:color w:val="000000"/>
                    </w:rPr>
                    <w:t>3. 加分可冲抵常规扣分，不可冲抵一票否决、重大安全及重大违规处罚；</w:t>
                  </w:r>
                </w:p>
                <w:p>
                  <w:pPr>
                    <w:pStyle w:val="null3"/>
                    <w:jc w:val="left"/>
                  </w:pPr>
                  <w:r>
                    <w:rPr>
                      <w:rFonts w:ascii="仿宋_GB2312" w:hAnsi="仿宋_GB2312" w:cs="仿宋_GB2312" w:eastAsia="仿宋_GB2312"/>
                      <w:sz w:val="21"/>
                      <w:color w:val="000000"/>
                    </w:rPr>
                    <w:t>4. 月度加分上限15分，年度加分不限。</w:t>
                  </w:r>
                </w:p>
              </w:tc>
            </w:tr>
            <w:tr>
              <w:tc>
                <w:tcPr>
                  <w:tcW w:type="dxa" w:w="52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1"/>
                      <w:b/>
                      <w:color w:val="000000"/>
                    </w:rPr>
                    <w:t>一票否决（当月月度考核直接不合格）</w:t>
                  </w:r>
                </w:p>
              </w:tc>
              <w:tc>
                <w:tcPr>
                  <w:tcW w:type="dxa" w:w="20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1"/>
                      <w:color w:val="000000"/>
                    </w:rPr>
                    <w:t>1. 发生人员伤亡、重大安全责任事故、重大财产损毁事故；</w:t>
                  </w:r>
                </w:p>
                <w:p>
                  <w:pPr>
                    <w:pStyle w:val="null3"/>
                    <w:jc w:val="left"/>
                  </w:pPr>
                  <w:r>
                    <w:rPr>
                      <w:rFonts w:ascii="仿宋_GB2312" w:hAnsi="仿宋_GB2312" w:cs="仿宋_GB2312" w:eastAsia="仿宋_GB2312"/>
                      <w:sz w:val="21"/>
                      <w:color w:val="000000"/>
                    </w:rPr>
                    <w:t>2. 引发重大校园舆论、群体性投诉，造成恶劣影响；</w:t>
                  </w:r>
                </w:p>
                <w:p>
                  <w:pPr>
                    <w:pStyle w:val="null3"/>
                    <w:jc w:val="left"/>
                  </w:pPr>
                  <w:r>
                    <w:rPr>
                      <w:rFonts w:ascii="仿宋_GB2312" w:hAnsi="仿宋_GB2312" w:cs="仿宋_GB2312" w:eastAsia="仿宋_GB2312"/>
                      <w:sz w:val="21"/>
                      <w:color w:val="000000"/>
                    </w:rPr>
                    <w:t>3. 擅自转包、分包项目服务内容；</w:t>
                  </w:r>
                </w:p>
                <w:p>
                  <w:pPr>
                    <w:pStyle w:val="null3"/>
                    <w:jc w:val="left"/>
                  </w:pPr>
                  <w:r>
                    <w:rPr>
                      <w:rFonts w:ascii="仿宋_GB2312" w:hAnsi="仿宋_GB2312" w:cs="仿宋_GB2312" w:eastAsia="仿宋_GB2312"/>
                      <w:sz w:val="21"/>
                      <w:color w:val="000000"/>
                    </w:rPr>
                    <w:t>4. 拒不执行校方合规指令，服务严重缺位、拒不整改。</w:t>
                  </w:r>
                </w:p>
              </w:tc>
            </w:tr>
          </w:tbl>
          <w:p>
            <w:pPr>
              <w:pStyle w:val="null3"/>
            </w:pPr>
            <w:r>
              <w:rPr>
                <w:rFonts w:ascii="仿宋_GB2312" w:hAnsi="仿宋_GB2312" w:cs="仿宋_GB2312" w:eastAsia="仿宋_GB2312"/>
                <w:sz w:val="21"/>
                <w:color w:val="000000"/>
              </w:rPr>
              <w:t>说明：本表格为项目月度、年度正式考核唯一依据，基准总分100分，可叠加月度加分（上限15分），扣分扣完本项权重分值为止，不跨项倒扣，设有一票否决机制。月度结算总得分=各板块实得分+加分项得分</w:t>
            </w:r>
            <w:r>
              <w:rPr>
                <w:rFonts w:ascii="仿宋_GB2312" w:hAnsi="仿宋_GB2312" w:cs="仿宋_GB2312" w:eastAsia="仿宋_GB2312"/>
                <w:sz w:val="21"/>
                <w:color w:val="000000"/>
              </w:rPr>
              <w:t>（</w:t>
            </w:r>
            <w:r>
              <w:rPr>
                <w:rFonts w:ascii="仿宋_GB2312" w:hAnsi="仿宋_GB2312" w:cs="仿宋_GB2312" w:eastAsia="仿宋_GB2312"/>
                <w:sz w:val="21"/>
                <w:color w:val="000000"/>
              </w:rPr>
              <w:t>加分月度上限15分</w:t>
            </w:r>
            <w:r>
              <w:rPr>
                <w:rFonts w:ascii="仿宋_GB2312" w:hAnsi="仿宋_GB2312" w:cs="仿宋_GB2312" w:eastAsia="仿宋_GB2312"/>
                <w:sz w:val="21"/>
                <w:color w:val="000000"/>
              </w:rPr>
              <w:t>）</w:t>
            </w:r>
            <w:r>
              <w:rPr>
                <w:rFonts w:ascii="仿宋_GB2312" w:hAnsi="仿宋_GB2312" w:cs="仿宋_GB2312" w:eastAsia="仿宋_GB2312"/>
                <w:sz w:val="21"/>
                <w:color w:val="000000"/>
              </w:rPr>
              <w:t>。考核汇总表中“一票否决”仅对应当月月度考核判定不合格；经认定属于</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责任的安全责任事故，采购人有权直接解除合同。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二、采购要求</w:t>
            </w:r>
          </w:p>
          <w:p>
            <w:pPr>
              <w:pStyle w:val="null3"/>
            </w:pPr>
            <w:r>
              <w:rPr>
                <w:rFonts w:ascii="仿宋_GB2312" w:hAnsi="仿宋_GB2312" w:cs="仿宋_GB2312" w:eastAsia="仿宋_GB2312"/>
                <w:sz w:val="21"/>
              </w:rPr>
              <w:t>（一）技术要求</w:t>
            </w:r>
          </w:p>
          <w:p>
            <w:pPr>
              <w:pStyle w:val="null3"/>
              <w:ind w:firstLine="420"/>
            </w:pPr>
            <w:r>
              <w:rPr>
                <w:rFonts w:ascii="仿宋_GB2312" w:hAnsi="仿宋_GB2312" w:cs="仿宋_GB2312" w:eastAsia="仿宋_GB2312"/>
                <w:sz w:val="21"/>
              </w:rPr>
              <w:t>供应商须根据学校管理规定与服务要求，制订切实可行的宝鸡文理学院场馆服务总体方案。</w:t>
            </w:r>
          </w:p>
          <w:p>
            <w:pPr>
              <w:pStyle w:val="null3"/>
              <w:ind w:firstLine="420"/>
            </w:pPr>
            <w:r>
              <w:rPr>
                <w:rFonts w:ascii="仿宋_GB2312" w:hAnsi="仿宋_GB2312" w:cs="仿宋_GB2312" w:eastAsia="仿宋_GB2312"/>
                <w:sz w:val="21"/>
              </w:rPr>
              <w:t>1.学校对服务事项有指挥权和决定权，成交供应商须服从学校关于服务内容、时间、标准的合理调整。</w:t>
            </w:r>
          </w:p>
          <w:p>
            <w:pPr>
              <w:pStyle w:val="null3"/>
              <w:ind w:firstLine="420"/>
            </w:pPr>
            <w:r>
              <w:rPr>
                <w:rFonts w:ascii="仿宋_GB2312" w:hAnsi="仿宋_GB2312" w:cs="仿宋_GB2312" w:eastAsia="仿宋_GB2312"/>
                <w:sz w:val="21"/>
              </w:rPr>
              <w:t>2.学校为服务人员提供必要的工作条件（值班室、工具间等），工作场地正常办公作业产生的水电费由学校承担，服务人员个人生活用水、用电产生的费用由成交供应商承担，学校据实向成交供应商收取。服务人员的食宿、交通、工装、劳保用品及日常办公耗材等费用均由成交供应商在报价中自行考虑，学校不另行支付。</w:t>
            </w:r>
          </w:p>
          <w:p>
            <w:pPr>
              <w:pStyle w:val="null3"/>
              <w:ind w:firstLine="420"/>
            </w:pPr>
            <w:r>
              <w:rPr>
                <w:rFonts w:ascii="仿宋_GB2312" w:hAnsi="仿宋_GB2312" w:cs="仿宋_GB2312" w:eastAsia="仿宋_GB2312"/>
                <w:sz w:val="21"/>
              </w:rPr>
              <w:t>3.成交供应商须建立内部服务质量管控机制，对服务中发现的各类问题及时处置，不断创新服务举措和提升服务水平。</w:t>
            </w:r>
          </w:p>
          <w:p>
            <w:pPr>
              <w:pStyle w:val="null3"/>
            </w:pPr>
            <w:r>
              <w:rPr>
                <w:rFonts w:ascii="仿宋_GB2312" w:hAnsi="仿宋_GB2312" w:cs="仿宋_GB2312" w:eastAsia="仿宋_GB2312"/>
                <w:sz w:val="21"/>
              </w:rPr>
              <w:t>（二）合同价格</w:t>
            </w:r>
          </w:p>
          <w:p>
            <w:pPr>
              <w:pStyle w:val="null3"/>
              <w:ind w:firstLine="420"/>
            </w:pPr>
            <w:r>
              <w:rPr>
                <w:rFonts w:ascii="仿宋_GB2312" w:hAnsi="仿宋_GB2312" w:cs="仿宋_GB2312" w:eastAsia="仿宋_GB2312"/>
                <w:sz w:val="21"/>
              </w:rPr>
              <w:t>本项目合同为固定总价合同，成交价格在合同期内不受市场价格变化影响。合同总价包含合同约定服务范围内的一切费用。若采购人要求增加的服务事项超出本合同明确约定的服务范围，双方另行协商确定服务费用。</w:t>
            </w:r>
          </w:p>
          <w:p>
            <w:pPr>
              <w:pStyle w:val="null3"/>
            </w:pPr>
            <w:r>
              <w:rPr>
                <w:rFonts w:ascii="仿宋_GB2312" w:hAnsi="仿宋_GB2312" w:cs="仿宋_GB2312" w:eastAsia="仿宋_GB2312"/>
                <w:sz w:val="21"/>
              </w:rPr>
              <w:t>（三）验收与考核要求</w:t>
            </w:r>
          </w:p>
          <w:p>
            <w:pPr>
              <w:pStyle w:val="null3"/>
              <w:ind w:firstLine="420"/>
            </w:pPr>
            <w:r>
              <w:rPr>
                <w:rFonts w:ascii="仿宋_GB2312" w:hAnsi="仿宋_GB2312" w:cs="仿宋_GB2312" w:eastAsia="仿宋_GB2312"/>
                <w:sz w:val="21"/>
              </w:rPr>
              <w:t>1.月度考核机制：</w:t>
            </w:r>
          </w:p>
          <w:p>
            <w:pPr>
              <w:pStyle w:val="null3"/>
              <w:ind w:firstLine="420"/>
            </w:pPr>
            <w:r>
              <w:rPr>
                <w:rFonts w:ascii="仿宋_GB2312" w:hAnsi="仿宋_GB2312" w:cs="仿宋_GB2312" w:eastAsia="仿宋_GB2312"/>
                <w:sz w:val="21"/>
              </w:rPr>
              <w:t>采购人制定《场馆服务月度考核评分表》，从服务响应、质量标准、安全责任、师生满意度等维度进行百分制考核，月度考核得分与季度服务费支付系数挂钩：季度平均得分≥90分，支付100%；80分≤季度平均得分&lt;90分，支付95%；季度平均得分&lt;80分，支付90%。</w:t>
            </w:r>
          </w:p>
          <w:p>
            <w:pPr>
              <w:pStyle w:val="null3"/>
              <w:ind w:firstLine="420"/>
            </w:pPr>
            <w:r>
              <w:rPr>
                <w:rFonts w:ascii="仿宋_GB2312" w:hAnsi="仿宋_GB2312" w:cs="仿宋_GB2312" w:eastAsia="仿宋_GB2312"/>
                <w:sz w:val="21"/>
              </w:rPr>
              <w:t>2.结果运用：</w:t>
            </w:r>
          </w:p>
          <w:p>
            <w:pPr>
              <w:pStyle w:val="null3"/>
              <w:ind w:firstLine="420"/>
            </w:pPr>
            <w:r>
              <w:rPr>
                <w:rFonts w:ascii="仿宋_GB2312" w:hAnsi="仿宋_GB2312" w:cs="仿宋_GB2312" w:eastAsia="仿宋_GB2312"/>
                <w:sz w:val="21"/>
              </w:rPr>
              <w:t>2.1月度考核得分低于80分的，成交供应商应在5个工作日内提交整改报告；</w:t>
            </w:r>
          </w:p>
          <w:p>
            <w:pPr>
              <w:pStyle w:val="null3"/>
              <w:ind w:firstLine="420"/>
            </w:pPr>
            <w:r>
              <w:rPr>
                <w:rFonts w:ascii="仿宋_GB2312" w:hAnsi="仿宋_GB2312" w:cs="仿宋_GB2312" w:eastAsia="仿宋_GB2312"/>
                <w:sz w:val="21"/>
              </w:rPr>
              <w:t>2.2连续三个月考核得分低于80分，且经催告整改后仍不达标的，采购人有权单方解除合同；</w:t>
            </w:r>
          </w:p>
          <w:p>
            <w:pPr>
              <w:pStyle w:val="null3"/>
              <w:ind w:firstLine="420"/>
            </w:pPr>
            <w:r>
              <w:rPr>
                <w:rFonts w:ascii="仿宋_GB2312" w:hAnsi="仿宋_GB2312" w:cs="仿宋_GB2312" w:eastAsia="仿宋_GB2312"/>
                <w:sz w:val="21"/>
              </w:rPr>
              <w:t>2.3因成交供应商原因导致考核不合格的，成交供应商应承担相应的违约责任。</w:t>
            </w:r>
          </w:p>
          <w:p>
            <w:pPr>
              <w:pStyle w:val="null3"/>
              <w:ind w:firstLine="420"/>
            </w:pPr>
            <w:r>
              <w:rPr>
                <w:rFonts w:ascii="仿宋_GB2312" w:hAnsi="仿宋_GB2312" w:cs="仿宋_GB2312" w:eastAsia="仿宋_GB2312"/>
                <w:sz w:val="21"/>
              </w:rPr>
              <w:t>3.安全一票否决：</w:t>
            </w:r>
          </w:p>
          <w:p>
            <w:pPr>
              <w:pStyle w:val="null3"/>
              <w:ind w:firstLine="420"/>
            </w:pPr>
            <w:r>
              <w:rPr>
                <w:rFonts w:ascii="仿宋_GB2312" w:hAnsi="仿宋_GB2312" w:cs="仿宋_GB2312" w:eastAsia="仿宋_GB2312"/>
                <w:sz w:val="21"/>
              </w:rPr>
              <w:t>发生重大安全责任事故（如溺水、火灾、设备损毁等），采购人有权立即解除合同，并由成交供应商承担全部法律责任及经济赔偿。</w:t>
            </w:r>
          </w:p>
          <w:p>
            <w:pPr>
              <w:pStyle w:val="null3"/>
              <w:ind w:firstLine="420"/>
            </w:pPr>
            <w:r>
              <w:rPr>
                <w:rFonts w:ascii="仿宋_GB2312" w:hAnsi="仿宋_GB2312" w:cs="仿宋_GB2312" w:eastAsia="仿宋_GB2312"/>
                <w:sz w:val="21"/>
              </w:rPr>
              <w:t>4.劳动关系专项责任：</w:t>
            </w:r>
          </w:p>
          <w:p>
            <w:pPr>
              <w:pStyle w:val="null3"/>
              <w:ind w:firstLine="420"/>
            </w:pPr>
            <w:r>
              <w:rPr>
                <w:rFonts w:ascii="仿宋_GB2312" w:hAnsi="仿宋_GB2312" w:cs="仿宋_GB2312" w:eastAsia="仿宋_GB2312"/>
                <w:sz w:val="21"/>
              </w:rPr>
              <w:t>成交供应商与员工之间的劳动合同签订、薪酬发放、社保缴纳、工伤认定、劳动纠纷等一切事宜，均由成交供应商独立承担法律责任。成交供应商须自行承担因用工不规范引发的全部法律责任，学校因成交供应商用工问题遭受损失的，有权向成交供应商全额追偿。因成交供应商用工不规范导致员工向学校主张权利的，学校有权向成交供应商全额追偿，并从服务费中直接扣除。</w:t>
            </w:r>
          </w:p>
          <w:p>
            <w:pPr>
              <w:pStyle w:val="null3"/>
            </w:pPr>
            <w:r>
              <w:rPr>
                <w:rFonts w:ascii="仿宋_GB2312" w:hAnsi="仿宋_GB2312" w:cs="仿宋_GB2312" w:eastAsia="仿宋_GB2312"/>
                <w:sz w:val="21"/>
              </w:rPr>
              <w:t>（四）其他要求</w:t>
            </w:r>
          </w:p>
          <w:p>
            <w:pPr>
              <w:pStyle w:val="null3"/>
              <w:ind w:firstLine="420"/>
            </w:pPr>
            <w:r>
              <w:rPr>
                <w:rFonts w:ascii="仿宋_GB2312" w:hAnsi="仿宋_GB2312" w:cs="仿宋_GB2312" w:eastAsia="仿宋_GB2312"/>
                <w:sz w:val="21"/>
              </w:rPr>
              <w:t>1.成交供应商须严格遵守《中华人民共和国劳动法》《中华人民共和国劳动合同法》《中华人民共和国社会保险法》《中华人民共和国安全生产法》《中华人民共和国消防法》及相关行业安全规范。</w:t>
            </w:r>
          </w:p>
          <w:p>
            <w:pPr>
              <w:pStyle w:val="null3"/>
              <w:ind w:firstLine="420"/>
            </w:pPr>
            <w:r>
              <w:rPr>
                <w:rFonts w:ascii="仿宋_GB2312" w:hAnsi="仿宋_GB2312" w:cs="仿宋_GB2312" w:eastAsia="仿宋_GB2312"/>
                <w:sz w:val="21"/>
              </w:rPr>
              <w:t>2.成交供应商派驻人员须遵守学校场馆管理的合理规定，学校不直接对成交供应商派驻人员进行劳动人事管理，成交供应商派驻人员与学校之间不存在劳动或劳务关系，学校有权向成交供应商提出更换不适宜从事本项目服务人员的要求，成交供应商应当在规定时限内完成人员更换。</w:t>
            </w:r>
          </w:p>
          <w:p>
            <w:pPr>
              <w:pStyle w:val="null3"/>
              <w:ind w:firstLine="420"/>
            </w:pPr>
            <w:r>
              <w:rPr>
                <w:rFonts w:ascii="仿宋_GB2312" w:hAnsi="仿宋_GB2312" w:cs="仿宋_GB2312" w:eastAsia="仿宋_GB2312"/>
                <w:sz w:val="21"/>
              </w:rPr>
              <w:t>3.学校现有服务人员安置：</w:t>
            </w:r>
          </w:p>
          <w:p>
            <w:pPr>
              <w:pStyle w:val="null3"/>
              <w:ind w:firstLine="420"/>
            </w:pPr>
            <w:r>
              <w:rPr>
                <w:rFonts w:ascii="仿宋_GB2312" w:hAnsi="仿宋_GB2312" w:cs="仿宋_GB2312" w:eastAsia="仿宋_GB2312"/>
                <w:sz w:val="21"/>
              </w:rPr>
              <w:t>3.1本项目涉及现有服务人员的劳动关系处理，由成交供应商依法自主决定。鼓励成交供应商在同等条件下优先聘用符合岗位要求的现有服务人员。</w:t>
            </w:r>
          </w:p>
          <w:p>
            <w:pPr>
              <w:pStyle w:val="null3"/>
              <w:ind w:firstLine="420"/>
            </w:pPr>
            <w:r>
              <w:rPr>
                <w:rFonts w:ascii="仿宋_GB2312" w:hAnsi="仿宋_GB2312" w:cs="仿宋_GB2312" w:eastAsia="仿宋_GB2312"/>
                <w:sz w:val="21"/>
              </w:rPr>
              <w:t>3.2如成交供应商聘用现有服务人员应当依法与被聘用人员签订劳动合同，工资待遇不得低于宝鸡市最低工资标准，并按规定缴纳社会保险。</w:t>
            </w:r>
          </w:p>
          <w:p>
            <w:pPr>
              <w:pStyle w:val="null3"/>
              <w:ind w:firstLine="420"/>
            </w:pPr>
            <w:r>
              <w:rPr>
                <w:rFonts w:ascii="仿宋_GB2312" w:hAnsi="仿宋_GB2312" w:cs="仿宋_GB2312" w:eastAsia="仿宋_GB2312"/>
                <w:sz w:val="21"/>
              </w:rPr>
              <w:t>3.3采购人可协调原服务单位依法妥善解决相关人员的劳动关系问题，但不承担由此产生的任何责任。</w:t>
            </w:r>
          </w:p>
          <w:p>
            <w:pPr>
              <w:pStyle w:val="null3"/>
              <w:ind w:firstLine="420"/>
            </w:pPr>
            <w:r>
              <w:rPr>
                <w:rFonts w:ascii="仿宋_GB2312" w:hAnsi="仿宋_GB2312" w:cs="仿宋_GB2312" w:eastAsia="仿宋_GB2312"/>
                <w:sz w:val="21"/>
              </w:rPr>
              <w:t>4.因成交供应商保管、管理不当造成体育教学器材丢失、损毁，成交供应商应当照价赔偿，采购人有权在当月服务费中直接扣除相应赔偿金额。</w:t>
            </w:r>
          </w:p>
          <w:p>
            <w:pPr>
              <w:pStyle w:val="null3"/>
              <w:ind w:firstLine="420"/>
            </w:pPr>
            <w:r>
              <w:rPr>
                <w:rFonts w:ascii="仿宋_GB2312" w:hAnsi="仿宋_GB2312" w:cs="仿宋_GB2312" w:eastAsia="仿宋_GB2312"/>
                <w:sz w:val="21"/>
              </w:rPr>
              <w:t>5.本项目服务人员分类参考：</w:t>
            </w:r>
          </w:p>
          <w:p>
            <w:pPr>
              <w:pStyle w:val="null3"/>
            </w:pPr>
            <w:r>
              <w:rPr>
                <w:rFonts w:ascii="仿宋_GB2312" w:hAnsi="仿宋_GB2312" w:cs="仿宋_GB2312" w:eastAsia="仿宋_GB2312"/>
                <w:sz w:val="21"/>
              </w:rPr>
              <w:t>范围对应的保障规模参考为32人岗工作量（其中驻场管理经理1岗、前台服务员6岗、门卫2岗、救生员8岗、设备管理员3岗、保洁员12岗）。供应商可结合自身管理效率自主确定实际派驻人数及排班方式，但需确保服务事项全部达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1+1+1，合同一年一签，采购人每年对成交供应商进行年度考核，年度考核不合格者，采购人有权不再续签下一年度合同，且不承担违约责任。</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其他，服务费每季度考核合格后结算一次，考核得分与付款金额挂钩，达到付款条件起30个工作日内，支付合同总金额的25.0%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其他，服务费每季度考核合格后结算一次，考核得分与付款金额挂钩，达到付款条件起30个工作日内，支付合同总金额的25.0%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其他，服务费每季度考核合格后结算一次，考核得分与付款金额挂钩，达到付款条件起30个工作日内，支付合同总金额的25.0%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服务费每季度考核合格后结算一次，考核得分与付款金额挂钩，因国家政策变化、上级要求等客观原因致使合同无法继续履行的，经双方协商确认后可终止合同，互不承担违约责任，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2692780587@qq.com，并以邮件接收时间为退付的基准时间。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分项报价表（服务）.docx 商务应答表 服务内容及服务要求应答表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分项报价表（服务）.docx 商务应答表 服务内容及服务要求应答表 标的清单 报价表 响应函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针对本项目提出适用于本项目的需求响应方案，包括但不限于：①项目理解及需求分析、②项目重难点分析及解决办法。满分2分。每有一项缺项扣1分，每有一处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1、详细评审---项目需求理解及分析.docx</w:t>
            </w:r>
          </w:p>
        </w:tc>
      </w:tr>
      <w:tr>
        <w:tc>
          <w:tcPr>
            <w:tcW w:type="dxa" w:w="831"/>
            <w:vMerge/>
          </w:tcPr>
          <w:p/>
        </w:tc>
        <w:tc>
          <w:tcPr>
            <w:tcW w:type="dxa" w:w="1661"/>
          </w:tcPr>
          <w:p>
            <w:pPr>
              <w:pStyle w:val="null3"/>
            </w:pPr>
            <w:r>
              <w:rPr>
                <w:rFonts w:ascii="仿宋_GB2312" w:hAnsi="仿宋_GB2312" w:cs="仿宋_GB2312" w:eastAsia="仿宋_GB2312"/>
              </w:rPr>
              <w:t>场馆综合运营与教学器材管理服务方案</w:t>
            </w:r>
          </w:p>
        </w:tc>
        <w:tc>
          <w:tcPr>
            <w:tcW w:type="dxa" w:w="2492"/>
          </w:tcPr>
          <w:p>
            <w:pPr>
              <w:pStyle w:val="null3"/>
            </w:pPr>
            <w:r>
              <w:rPr>
                <w:rFonts w:ascii="仿宋_GB2312" w:hAnsi="仿宋_GB2312" w:cs="仿宋_GB2312" w:eastAsia="仿宋_GB2312"/>
              </w:rPr>
              <w:t>供应商针对本项目的场馆综合运营与教学器材管理服务方案，包括：①整体运营服务、②台账资料服务、③对接协调服务、④制度执行服务、⑤整改提升服务、⑥体育器材全流程管理服务； 满分6分。每有一项缺项扣1分；每一处内容有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2、详细评审---场馆综合运营与教学器材管理服务方案.docx</w:t>
            </w:r>
          </w:p>
        </w:tc>
      </w:tr>
      <w:tr>
        <w:tc>
          <w:tcPr>
            <w:tcW w:type="dxa" w:w="831"/>
            <w:vMerge/>
          </w:tcPr>
          <w:p/>
        </w:tc>
        <w:tc>
          <w:tcPr>
            <w:tcW w:type="dxa" w:w="1661"/>
          </w:tcPr>
          <w:p>
            <w:pPr>
              <w:pStyle w:val="null3"/>
            </w:pPr>
            <w:r>
              <w:rPr>
                <w:rFonts w:ascii="仿宋_GB2312" w:hAnsi="仿宋_GB2312" w:cs="仿宋_GB2312" w:eastAsia="仿宋_GB2312"/>
              </w:rPr>
              <w:t>前台接待与场地配套服务方案</w:t>
            </w:r>
          </w:p>
        </w:tc>
        <w:tc>
          <w:tcPr>
            <w:tcW w:type="dxa" w:w="2492"/>
          </w:tcPr>
          <w:p>
            <w:pPr>
              <w:pStyle w:val="null3"/>
            </w:pPr>
            <w:r>
              <w:rPr>
                <w:rFonts w:ascii="仿宋_GB2312" w:hAnsi="仿宋_GB2312" w:cs="仿宋_GB2312" w:eastAsia="仿宋_GB2312"/>
              </w:rPr>
              <w:t>供应商针对本项目的前台接待与场地配套服务方案，包括：①咨询接待服务、②出入与场地管控服务、③现场秩序服务、④物资器材配套服务、⑤意见反馈服务； 满分5分。每有一项缺项扣1分；每一处内容有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3、详细评审---前台接待与场地配套服务方案.docx</w:t>
            </w:r>
          </w:p>
        </w:tc>
      </w:tr>
      <w:tr>
        <w:tc>
          <w:tcPr>
            <w:tcW w:type="dxa" w:w="831"/>
            <w:vMerge/>
          </w:tcPr>
          <w:p/>
        </w:tc>
        <w:tc>
          <w:tcPr>
            <w:tcW w:type="dxa" w:w="1661"/>
          </w:tcPr>
          <w:p>
            <w:pPr>
              <w:pStyle w:val="null3"/>
            </w:pPr>
            <w:r>
              <w:rPr>
                <w:rFonts w:ascii="仿宋_GB2312" w:hAnsi="仿宋_GB2312" w:cs="仿宋_GB2312" w:eastAsia="仿宋_GB2312"/>
              </w:rPr>
              <w:t>场馆安全安保服务方案</w:t>
            </w:r>
          </w:p>
        </w:tc>
        <w:tc>
          <w:tcPr>
            <w:tcW w:type="dxa" w:w="2492"/>
          </w:tcPr>
          <w:p>
            <w:pPr>
              <w:pStyle w:val="null3"/>
            </w:pPr>
            <w:r>
              <w:rPr>
                <w:rFonts w:ascii="仿宋_GB2312" w:hAnsi="仿宋_GB2312" w:cs="仿宋_GB2312" w:eastAsia="仿宋_GB2312"/>
              </w:rPr>
              <w:t>供应商针对本项目的场馆安全安保服务方案，包括：①门禁管控服务、②全域安全巡查服务、③活动秩序保障服务、④消防保障服务、⑤应急处置服务； 满分5分。每有一项缺项扣1分；每一处内容有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4、详细评审---场馆安全安保服务方案.docx</w:t>
            </w:r>
          </w:p>
        </w:tc>
      </w:tr>
      <w:tr>
        <w:tc>
          <w:tcPr>
            <w:tcW w:type="dxa" w:w="831"/>
            <w:vMerge/>
          </w:tcPr>
          <w:p/>
        </w:tc>
        <w:tc>
          <w:tcPr>
            <w:tcW w:type="dxa" w:w="1661"/>
          </w:tcPr>
          <w:p>
            <w:pPr>
              <w:pStyle w:val="null3"/>
            </w:pPr>
            <w:r>
              <w:rPr>
                <w:rFonts w:ascii="仿宋_GB2312" w:hAnsi="仿宋_GB2312" w:cs="仿宋_GB2312" w:eastAsia="仿宋_GB2312"/>
              </w:rPr>
              <w:t>游泳馆安全救生保障服务方案</w:t>
            </w:r>
          </w:p>
        </w:tc>
        <w:tc>
          <w:tcPr>
            <w:tcW w:type="dxa" w:w="2492"/>
          </w:tcPr>
          <w:p>
            <w:pPr>
              <w:pStyle w:val="null3"/>
            </w:pPr>
            <w:r>
              <w:rPr>
                <w:rFonts w:ascii="仿宋_GB2312" w:hAnsi="仿宋_GB2312" w:cs="仿宋_GB2312" w:eastAsia="仿宋_GB2312"/>
              </w:rPr>
              <w:t>供应商针对本项目的游泳馆安全救生保障服务方案，包括：①全时段值守巡查服务、②应急救生救护服务、③入场安全管控服务、④水质环境监督服务、⑤救生物资保障服务、⑥救生台账记录服务； 满分6分。每有一项缺项扣1分；每一处内容有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5、详细评审---游泳馆安全救生保障服务方案.docx</w:t>
            </w:r>
          </w:p>
        </w:tc>
      </w:tr>
      <w:tr>
        <w:tc>
          <w:tcPr>
            <w:tcW w:type="dxa" w:w="831"/>
            <w:vMerge/>
          </w:tcPr>
          <w:p/>
        </w:tc>
        <w:tc>
          <w:tcPr>
            <w:tcW w:type="dxa" w:w="1661"/>
          </w:tcPr>
          <w:p>
            <w:pPr>
              <w:pStyle w:val="null3"/>
            </w:pPr>
            <w:r>
              <w:rPr>
                <w:rFonts w:ascii="仿宋_GB2312" w:hAnsi="仿宋_GB2312" w:cs="仿宋_GB2312" w:eastAsia="仿宋_GB2312"/>
              </w:rPr>
              <w:t>设施设备与器材运维保障服务方案</w:t>
            </w:r>
          </w:p>
        </w:tc>
        <w:tc>
          <w:tcPr>
            <w:tcW w:type="dxa" w:w="2492"/>
          </w:tcPr>
          <w:p>
            <w:pPr>
              <w:pStyle w:val="null3"/>
            </w:pPr>
            <w:r>
              <w:rPr>
                <w:rFonts w:ascii="仿宋_GB2312" w:hAnsi="仿宋_GB2312" w:cs="仿宋_GB2312" w:eastAsia="仿宋_GB2312"/>
              </w:rPr>
              <w:t>供应商针对本项目的设施设备与器材运维保障服务方案，包括：①全域巡检服务、②常态化养护服务、③故障处置服务、④资产台账管控服务、⑤专项活动保障服务； 满分5分。每有一项缺项扣1分；每一处内容有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6、详细评审---设施设备与器材运维保障服务方案.docx</w:t>
            </w:r>
          </w:p>
        </w:tc>
      </w:tr>
      <w:tr>
        <w:tc>
          <w:tcPr>
            <w:tcW w:type="dxa" w:w="831"/>
            <w:vMerge/>
          </w:tcPr>
          <w:p/>
        </w:tc>
        <w:tc>
          <w:tcPr>
            <w:tcW w:type="dxa" w:w="1661"/>
          </w:tcPr>
          <w:p>
            <w:pPr>
              <w:pStyle w:val="null3"/>
            </w:pPr>
            <w:r>
              <w:rPr>
                <w:rFonts w:ascii="仿宋_GB2312" w:hAnsi="仿宋_GB2312" w:cs="仿宋_GB2312" w:eastAsia="仿宋_GB2312"/>
              </w:rPr>
              <w:t>全域保洁与场地养护服务方案</w:t>
            </w:r>
          </w:p>
        </w:tc>
        <w:tc>
          <w:tcPr>
            <w:tcW w:type="dxa" w:w="2492"/>
          </w:tcPr>
          <w:p>
            <w:pPr>
              <w:pStyle w:val="null3"/>
            </w:pPr>
            <w:r>
              <w:rPr>
                <w:rFonts w:ascii="仿宋_GB2312" w:hAnsi="仿宋_GB2312" w:cs="仿宋_GB2312" w:eastAsia="仿宋_GB2312"/>
              </w:rPr>
              <w:t>供应商针对本项目的全域保洁与场地养护服务方案，包括：①日常保洁服务、②深度清洁服务、③垃圾清运服务、④全域消杀服务、⑤场地专业养护服务、⑥死角专项清理服务； 满分6分。每有一项缺项扣1分；每一处内容有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7、详细评审---全域保洁与场地养护服务方案.docx</w:t>
            </w:r>
          </w:p>
        </w:tc>
      </w:tr>
      <w:tr>
        <w:tc>
          <w:tcPr>
            <w:tcW w:type="dxa" w:w="831"/>
            <w:vMerge/>
          </w:tcPr>
          <w:p/>
        </w:tc>
        <w:tc>
          <w:tcPr>
            <w:tcW w:type="dxa" w:w="1661"/>
          </w:tcPr>
          <w:p>
            <w:pPr>
              <w:pStyle w:val="null3"/>
            </w:pPr>
            <w:r>
              <w:rPr>
                <w:rFonts w:ascii="仿宋_GB2312" w:hAnsi="仿宋_GB2312" w:cs="仿宋_GB2312" w:eastAsia="仿宋_GB2312"/>
              </w:rPr>
              <w:t>内部服务质量管控与持续改进机制</w:t>
            </w:r>
          </w:p>
        </w:tc>
        <w:tc>
          <w:tcPr>
            <w:tcW w:type="dxa" w:w="2492"/>
          </w:tcPr>
          <w:p>
            <w:pPr>
              <w:pStyle w:val="null3"/>
            </w:pPr>
            <w:r>
              <w:rPr>
                <w:rFonts w:ascii="仿宋_GB2312" w:hAnsi="仿宋_GB2312" w:cs="仿宋_GB2312" w:eastAsia="仿宋_GB2312"/>
              </w:rPr>
              <w:t>供应商针对本项目的内部服务质量管控与持续改进机制，包括：①内部服务质量巡检与自查制度、②问题发现、整改、验收闭环管理流程、③师生满意度提升与投诉处理机制、④服务质量持续改进与创新举措； 满分4分。每有一项缺项扣1分；每一处内容有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8、详细评审---内部服务质量管控与持续改进机制.docx</w:t>
            </w:r>
          </w:p>
        </w:tc>
      </w:tr>
      <w:tr>
        <w:tc>
          <w:tcPr>
            <w:tcW w:type="dxa" w:w="831"/>
            <w:vMerge/>
          </w:tcPr>
          <w:p/>
        </w:tc>
        <w:tc>
          <w:tcPr>
            <w:tcW w:type="dxa" w:w="1661"/>
          </w:tcPr>
          <w:p>
            <w:pPr>
              <w:pStyle w:val="null3"/>
            </w:pPr>
            <w:r>
              <w:rPr>
                <w:rFonts w:ascii="仿宋_GB2312" w:hAnsi="仿宋_GB2312" w:cs="仿宋_GB2312" w:eastAsia="仿宋_GB2312"/>
              </w:rPr>
              <w:t>服务承诺与违约担责措施</w:t>
            </w:r>
          </w:p>
        </w:tc>
        <w:tc>
          <w:tcPr>
            <w:tcW w:type="dxa" w:w="2492"/>
          </w:tcPr>
          <w:p>
            <w:pPr>
              <w:pStyle w:val="null3"/>
            </w:pPr>
            <w:r>
              <w:rPr>
                <w:rFonts w:ascii="仿宋_GB2312" w:hAnsi="仿宋_GB2312" w:cs="仿宋_GB2312" w:eastAsia="仿宋_GB2312"/>
              </w:rPr>
              <w:t>供应商须针对考核扣分标准中的核心指标作出具体服务承诺及违约担责措施，涵盖以下6项内容： ①有效投诉处理承诺与担责措施； ②安全隐患上报时限承诺与逾期担责措施； ③设备故障响应时限承诺与逾期担责措施； ④器材丢失赔偿承诺与担责措施； ⑤安全责任事故承诺与担责措施； ⑥拟派救生员、电工等工作人员持证上岗承诺及证书保障措施。 评分规则： 每提供1项内容的，得1分，本项最高得6分。 注：投标人须针对上述每项内容列明以下要素： a.响应时限（小时/分钟）及具体处理流程； b.未达标的担责措施（须明确扣款金额或扣款比例）； 未提供或提供不全的不计分。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9、详细评审---服务承诺与违约担责措施.docx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拟派的项目负责人（驻场管理经理）具有3年及以上体育场馆或大型公共设施管理服务经验的，得3分；具有5年及以上体育场馆或大型公共设施管理服务经验的，得5分，本项最高得5分； 注： （1）须提供项目负责人工作履历表（加盖投标人公章），履历须体现具体服务项目名称、服务时间、岗位职责； （2）上述经验须提供①或②任意一种证明材料：①管理服务合同复印件（合同内容须体现场馆或公共设施服务内容，并能体现项目负责人姓名、服务时间及担任职务）； ②原服务项目业主单位出具的工作经验证明文件（须加盖业主单位公章，写明项目负责人姓名、服务时间、担任职务及主要工作内容）； （3）提供投标人为该项目负责人缴纳的近6个月内任意1个月的社会保障资金证明或劳动合同； （4）未提供或提供不全的不计分；项目经理业绩与公司业绩不重复计分。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10、详细评审---拟派项目负责人.docx</w:t>
            </w:r>
          </w:p>
        </w:tc>
      </w:tr>
      <w:tr>
        <w:tc>
          <w:tcPr>
            <w:tcW w:type="dxa" w:w="831"/>
            <w:vMerge/>
          </w:tcPr>
          <w:p/>
        </w:tc>
        <w:tc>
          <w:tcPr>
            <w:tcW w:type="dxa" w:w="1661"/>
          </w:tcPr>
          <w:p>
            <w:pPr>
              <w:pStyle w:val="null3"/>
            </w:pPr>
            <w:r>
              <w:rPr>
                <w:rFonts w:ascii="仿宋_GB2312" w:hAnsi="仿宋_GB2312" w:cs="仿宋_GB2312" w:eastAsia="仿宋_GB2312"/>
              </w:rPr>
              <w:t>拟派的主要服务人员</w:t>
            </w:r>
          </w:p>
        </w:tc>
        <w:tc>
          <w:tcPr>
            <w:tcW w:type="dxa" w:w="2492"/>
          </w:tcPr>
          <w:p>
            <w:pPr>
              <w:pStyle w:val="null3"/>
            </w:pPr>
            <w:r>
              <w:rPr>
                <w:rFonts w:ascii="仿宋_GB2312" w:hAnsi="仿宋_GB2312" w:cs="仿宋_GB2312" w:eastAsia="仿宋_GB2312"/>
              </w:rPr>
              <w:t>供应商针对本项目拟派的主要服务人员中： ①具有有效救生员资格证书的，每提供1人得2分，最高得16分。 ②具有电工、设备维护等相关特种作业操作证的，每提供1人得2分，最高得6分。 注：需提供相关证书复印件以及供应商为以上人员缴纳的近6个月内任意1个月的社会保障资金证明或劳动合同，提供不全对应证书无效。同一人员持有多项证书的，按最高得分项计分一次，不重复计分。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11、详细评审---拟派的主要服务人员.docx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提供提供2023年1月1日至今（以合同签订日期为准)类似项目业绩合同，每提供一份计2分，此项共计8分。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分项报价表（服务）.docx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详见附件：1、详细评审---项目需求理解及分析.docx</w:t>
      </w:r>
    </w:p>
    <w:p>
      <w:pPr>
        <w:pStyle w:val="null3"/>
        <w:ind w:firstLine="960"/>
      </w:pPr>
      <w:r>
        <w:rPr>
          <w:rFonts w:ascii="仿宋_GB2312" w:hAnsi="仿宋_GB2312" w:cs="仿宋_GB2312" w:eastAsia="仿宋_GB2312"/>
        </w:rPr>
        <w:t>详见附件：2、详细评审---场馆综合运营与教学器材管理服务方案.docx</w:t>
      </w:r>
    </w:p>
    <w:p>
      <w:pPr>
        <w:pStyle w:val="null3"/>
        <w:ind w:firstLine="960"/>
      </w:pPr>
      <w:r>
        <w:rPr>
          <w:rFonts w:ascii="仿宋_GB2312" w:hAnsi="仿宋_GB2312" w:cs="仿宋_GB2312" w:eastAsia="仿宋_GB2312"/>
        </w:rPr>
        <w:t>详见附件：3、详细评审---前台接待与场地配套服务方案.docx</w:t>
      </w:r>
    </w:p>
    <w:p>
      <w:pPr>
        <w:pStyle w:val="null3"/>
        <w:ind w:firstLine="960"/>
      </w:pPr>
      <w:r>
        <w:rPr>
          <w:rFonts w:ascii="仿宋_GB2312" w:hAnsi="仿宋_GB2312" w:cs="仿宋_GB2312" w:eastAsia="仿宋_GB2312"/>
        </w:rPr>
        <w:t>详见附件：4、详细评审---场馆安全安保服务方案.docx</w:t>
      </w:r>
    </w:p>
    <w:p>
      <w:pPr>
        <w:pStyle w:val="null3"/>
        <w:ind w:firstLine="960"/>
      </w:pPr>
      <w:r>
        <w:rPr>
          <w:rFonts w:ascii="仿宋_GB2312" w:hAnsi="仿宋_GB2312" w:cs="仿宋_GB2312" w:eastAsia="仿宋_GB2312"/>
        </w:rPr>
        <w:t>详见附件：5、详细评审---游泳馆安全救生保障服务方案.docx</w:t>
      </w:r>
    </w:p>
    <w:p>
      <w:pPr>
        <w:pStyle w:val="null3"/>
        <w:ind w:firstLine="960"/>
      </w:pPr>
      <w:r>
        <w:rPr>
          <w:rFonts w:ascii="仿宋_GB2312" w:hAnsi="仿宋_GB2312" w:cs="仿宋_GB2312" w:eastAsia="仿宋_GB2312"/>
        </w:rPr>
        <w:t>详见附件：6、详细评审---设施设备与器材运维保障服务方案.docx</w:t>
      </w:r>
    </w:p>
    <w:p>
      <w:pPr>
        <w:pStyle w:val="null3"/>
        <w:ind w:firstLine="960"/>
      </w:pPr>
      <w:r>
        <w:rPr>
          <w:rFonts w:ascii="仿宋_GB2312" w:hAnsi="仿宋_GB2312" w:cs="仿宋_GB2312" w:eastAsia="仿宋_GB2312"/>
        </w:rPr>
        <w:t>详见附件：7、详细评审---全域保洁与场地养护服务方案.docx</w:t>
      </w:r>
    </w:p>
    <w:p>
      <w:pPr>
        <w:pStyle w:val="null3"/>
        <w:ind w:firstLine="960"/>
      </w:pPr>
      <w:r>
        <w:rPr>
          <w:rFonts w:ascii="仿宋_GB2312" w:hAnsi="仿宋_GB2312" w:cs="仿宋_GB2312" w:eastAsia="仿宋_GB2312"/>
        </w:rPr>
        <w:t>详见附件：8、详细评审---内部服务质量管控与持续改进机制.docx</w:t>
      </w:r>
    </w:p>
    <w:p>
      <w:pPr>
        <w:pStyle w:val="null3"/>
        <w:ind w:firstLine="960"/>
      </w:pPr>
      <w:r>
        <w:rPr>
          <w:rFonts w:ascii="仿宋_GB2312" w:hAnsi="仿宋_GB2312" w:cs="仿宋_GB2312" w:eastAsia="仿宋_GB2312"/>
        </w:rPr>
        <w:t>详见附件：9、详细评审---服务承诺与违约担责措施.docx</w:t>
      </w:r>
    </w:p>
    <w:p>
      <w:pPr>
        <w:pStyle w:val="null3"/>
        <w:ind w:firstLine="960"/>
      </w:pPr>
      <w:r>
        <w:rPr>
          <w:rFonts w:ascii="仿宋_GB2312" w:hAnsi="仿宋_GB2312" w:cs="仿宋_GB2312" w:eastAsia="仿宋_GB2312"/>
        </w:rPr>
        <w:t>详见附件：10、详细评审---拟派项目负责人.docx</w:t>
      </w:r>
    </w:p>
    <w:p>
      <w:pPr>
        <w:pStyle w:val="null3"/>
        <w:ind w:firstLine="960"/>
      </w:pPr>
      <w:r>
        <w:rPr>
          <w:rFonts w:ascii="仿宋_GB2312" w:hAnsi="仿宋_GB2312" w:cs="仿宋_GB2312" w:eastAsia="仿宋_GB2312"/>
        </w:rPr>
        <w:t>详见附件：11、详细评审---拟派的主要服务人员.docx</w:t>
      </w:r>
    </w:p>
    <w:p>
      <w:pPr>
        <w:pStyle w:val="null3"/>
        <w:ind w:firstLine="960"/>
      </w:pPr>
      <w:r>
        <w:rPr>
          <w:rFonts w:ascii="仿宋_GB2312" w:hAnsi="仿宋_GB2312" w:cs="仿宋_GB2312" w:eastAsia="仿宋_GB2312"/>
        </w:rPr>
        <w:t>详见附件：12、详细评审---业绩.docx</w:t>
      </w:r>
    </w:p>
    <w:p>
      <w:pPr>
        <w:pStyle w:val="null3"/>
        <w:ind w:firstLine="960"/>
      </w:pPr>
      <w:r>
        <w:rPr>
          <w:rFonts w:ascii="仿宋_GB2312" w:hAnsi="仿宋_GB2312" w:cs="仿宋_GB2312" w:eastAsia="仿宋_GB2312"/>
        </w:rPr>
        <w:t>详见附件：分项报价表（服务）.docx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