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版本号：FZBD-ZC-2026-006.1B120260825001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留坝县秦岭药食同源直播港项目(二次)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FZBD-ZC-2026-006.1B1</w:t>
      </w:r>
      <w:r>
        <w:br/>
      </w:r>
      <w:r>
        <w:br/>
      </w:r>
      <w:r>
        <w:br/>
      </w:r>
    </w:p>
    <w:p>
      <w:pPr>
        <w:pStyle w:val="null3"/>
        <w:jc w:val="center"/>
        <w:outlineLvl w:val="2"/>
      </w:pPr>
      <w:r>
        <w:rPr>
          <w:rFonts w:ascii="仿宋_GB2312" w:hAnsi="仿宋_GB2312" w:cs="仿宋_GB2312" w:eastAsia="仿宋_GB2312"/>
          <w:sz w:val="28"/>
          <w:b/>
        </w:rPr>
        <w:t>留坝县发展和改革局</w:t>
      </w:r>
    </w:p>
    <w:p>
      <w:pPr>
        <w:pStyle w:val="null3"/>
        <w:jc w:val="center"/>
        <w:outlineLvl w:val="2"/>
      </w:pPr>
      <w:r>
        <w:rPr>
          <w:rFonts w:ascii="仿宋_GB2312" w:hAnsi="仿宋_GB2312" w:cs="仿宋_GB2312" w:eastAsia="仿宋_GB2312"/>
          <w:sz w:val="28"/>
          <w:b/>
        </w:rPr>
        <w:t>陕西方舟博德项目管理有限公司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陕西方舟博德项目管理有限公司</w:t>
      </w:r>
      <w:r>
        <w:rPr>
          <w:rFonts w:ascii="仿宋_GB2312" w:hAnsi="仿宋_GB2312" w:cs="仿宋_GB2312" w:eastAsia="仿宋_GB2312"/>
        </w:rPr>
        <w:t>（以下简称“代理机构”）受</w:t>
      </w:r>
      <w:r>
        <w:rPr>
          <w:rFonts w:ascii="仿宋_GB2312" w:hAnsi="仿宋_GB2312" w:cs="仿宋_GB2312" w:eastAsia="仿宋_GB2312"/>
        </w:rPr>
        <w:t>留坝县发展和改革局</w:t>
      </w:r>
      <w:r>
        <w:rPr>
          <w:rFonts w:ascii="仿宋_GB2312" w:hAnsi="仿宋_GB2312" w:cs="仿宋_GB2312" w:eastAsia="仿宋_GB2312"/>
        </w:rPr>
        <w:t>委托，拟对</w:t>
      </w:r>
      <w:r>
        <w:rPr>
          <w:rFonts w:ascii="仿宋_GB2312" w:hAnsi="仿宋_GB2312" w:cs="仿宋_GB2312" w:eastAsia="仿宋_GB2312"/>
        </w:rPr>
        <w:t>留坝县秦岭药食同源直播港项目(二次)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FZBD-ZC-2026-006.1B1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留坝县秦岭药食同源直播港项目(二次)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秦岭药食同源直播港建设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采购包1（留坝县秦岭药食同源直播港项目）：属于专门面向中小企业采购。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有效的营业执照：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法定代表人或被授权委托代理人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中小企业声明函：本项目为专门面向中小企业项目，响应人为中型、小型、微型企业的，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5、本项目不接受联合体投标：本项目不接受联合体磋商（提供非联合体声明）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留坝县发展和改革局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留坝县司法路1号县政府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郗晓茜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0916-3921496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陕西方舟博德项目管理有限公司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汉中市汉台区中山街街道办事处南团结街原二化厂院内二楼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0916-8810098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开户名称：陕西方舟博德项目管理有限公司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银行账号：102102346543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留坝县发展和改革局</w:t>
      </w:r>
      <w:r>
        <w:rPr>
          <w:rFonts w:ascii="仿宋_GB2312" w:hAnsi="仿宋_GB2312" w:cs="仿宋_GB2312" w:eastAsia="仿宋_GB2312"/>
        </w:rPr>
        <w:t>和</w:t>
      </w:r>
      <w:r>
        <w:rPr>
          <w:rFonts w:ascii="仿宋_GB2312" w:hAnsi="仿宋_GB2312" w:cs="仿宋_GB2312" w:eastAsia="仿宋_GB2312"/>
        </w:rPr>
        <w:t>陕西方舟博德项目管理有限公司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留坝县发展和改革局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陕西方舟博德项目管理有限公司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留坝县发展和改革局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陕西方舟博德项目管理有限公司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供应商针对本项目服务内容，达到国家及行业现行技术规范标准，符合国家及行业验收合格标准。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联系人：吴女士</w:t>
      </w:r>
    </w:p>
    <w:p>
      <w:pPr>
        <w:pStyle w:val="null3"/>
      </w:pPr>
      <w:r>
        <w:rPr>
          <w:rFonts w:ascii="仿宋_GB2312" w:hAnsi="仿宋_GB2312" w:cs="仿宋_GB2312" w:eastAsia="仿宋_GB2312"/>
        </w:rPr>
        <w:t>联系电话：0916-8810098</w:t>
      </w:r>
    </w:p>
    <w:p>
      <w:pPr>
        <w:pStyle w:val="null3"/>
      </w:pPr>
      <w:r>
        <w:rPr>
          <w:rFonts w:ascii="仿宋_GB2312" w:hAnsi="仿宋_GB2312" w:cs="仿宋_GB2312" w:eastAsia="仿宋_GB2312"/>
        </w:rPr>
        <w:t>地址：汉中市汉台区中山街街道办事处南团结街原二化厂院内二楼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秦岭食药同源直播港建设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1000000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0"/>
            </w:pPr>
            <w:r>
              <w:rPr>
                <w:rFonts w:ascii="仿宋_GB2312" w:hAnsi="仿宋_GB2312" w:cs="仿宋_GB2312" w:eastAsia="仿宋_GB2312"/>
                <w:sz w:val="21"/>
                <w:b/>
              </w:rPr>
              <w:t>一、服务内容</w:t>
            </w:r>
          </w:p>
          <w:p>
            <w:pPr>
              <w:pStyle w:val="null3"/>
              <w:jc w:val="left"/>
              <w:outlineLvl w:val="0"/>
            </w:pPr>
            <w:r>
              <w:rPr>
                <w:rFonts w:ascii="仿宋_GB2312" w:hAnsi="仿宋_GB2312" w:cs="仿宋_GB2312" w:eastAsia="仿宋_GB2312"/>
                <w:sz w:val="21"/>
                <w:b/>
              </w:rPr>
              <w:t>（一）</w:t>
            </w:r>
            <w:r>
              <w:rPr>
                <w:rFonts w:ascii="仿宋_GB2312" w:hAnsi="仿宋_GB2312" w:cs="仿宋_GB2312" w:eastAsia="仿宋_GB2312"/>
                <w:sz w:val="21"/>
                <w:b/>
              </w:rPr>
              <w:t xml:space="preserve"> </w:t>
            </w:r>
            <w:r>
              <w:rPr>
                <w:rFonts w:ascii="仿宋_GB2312" w:hAnsi="仿宋_GB2312" w:cs="仿宋_GB2312" w:eastAsia="仿宋_GB2312"/>
                <w:sz w:val="21"/>
                <w:b/>
              </w:rPr>
              <w:t>电商直播分销服务</w:t>
            </w:r>
          </w:p>
          <w:p>
            <w:pPr>
              <w:pStyle w:val="null3"/>
              <w:ind w:firstLine="628"/>
              <w:jc w:val="left"/>
            </w:pPr>
            <w:r>
              <w:rPr>
                <w:rFonts w:ascii="仿宋_GB2312" w:hAnsi="仿宋_GB2312" w:cs="仿宋_GB2312" w:eastAsia="仿宋_GB2312"/>
                <w:sz w:val="21"/>
              </w:rPr>
              <w:t>深度对接省内外专业电商运营服务商，建立长期达人置换、渠道供货、直播分销合作机制；统筹县域农业、中药材、文旅、供销资源，签约集聚不少于</w:t>
            </w:r>
            <w:r>
              <w:rPr>
                <w:rFonts w:ascii="仿宋_GB2312" w:hAnsi="仿宋_GB2312" w:cs="仿宋_GB2312" w:eastAsia="仿宋_GB2312"/>
                <w:sz w:val="21"/>
              </w:rPr>
              <w:t>10 名深耕秦岭中药材、本地农特产</w:t>
            </w:r>
            <w:r>
              <w:rPr>
                <w:rFonts w:ascii="仿宋_GB2312" w:hAnsi="仿宋_GB2312" w:cs="仿宋_GB2312" w:eastAsia="仿宋_GB2312"/>
                <w:sz w:val="21"/>
              </w:rPr>
              <w:t>、</w:t>
            </w:r>
            <w:r>
              <w:rPr>
                <w:rFonts w:ascii="仿宋_GB2312" w:hAnsi="仿宋_GB2312" w:cs="仿宋_GB2312" w:eastAsia="仿宋_GB2312"/>
                <w:sz w:val="21"/>
              </w:rPr>
              <w:t>文旅宣传等</w:t>
            </w:r>
            <w:r>
              <w:rPr>
                <w:rFonts w:ascii="仿宋_GB2312" w:hAnsi="仿宋_GB2312" w:cs="仿宋_GB2312" w:eastAsia="仿宋_GB2312"/>
                <w:sz w:val="21"/>
              </w:rPr>
              <w:t>垂直赛道中腰部带货达人，为达人定制专属直播脚本、图文宣传、短视频营销素材；打造乡镇、乡村、田间产地实景沉浸式直播场景，搭建标准化线上分销运营体系，完善订单对接、渠道管理、消费者售后协同机制。服务周期内，通过直播港全渠道带动留坝县中药材、秦岭地理标志农特产品</w:t>
            </w:r>
            <w:r>
              <w:rPr>
                <w:rFonts w:ascii="仿宋_GB2312" w:hAnsi="仿宋_GB2312" w:cs="仿宋_GB2312" w:eastAsia="仿宋_GB2312"/>
                <w:sz w:val="21"/>
              </w:rPr>
              <w:t>、</w:t>
            </w:r>
            <w:r>
              <w:rPr>
                <w:rFonts w:ascii="仿宋_GB2312" w:hAnsi="仿宋_GB2312" w:cs="仿宋_GB2312" w:eastAsia="仿宋_GB2312"/>
                <w:sz w:val="21"/>
              </w:rPr>
              <w:t>本地民宿及文旅乐园门票</w:t>
            </w:r>
            <w:r>
              <w:rPr>
                <w:rFonts w:ascii="仿宋_GB2312" w:hAnsi="仿宋_GB2312" w:cs="仿宋_GB2312" w:eastAsia="仿宋_GB2312"/>
                <w:sz w:val="21"/>
              </w:rPr>
              <w:t>线上总销售额不低于</w:t>
            </w:r>
            <w:r>
              <w:rPr>
                <w:rFonts w:ascii="仿宋_GB2312" w:hAnsi="仿宋_GB2312" w:cs="仿宋_GB2312" w:eastAsia="仿宋_GB2312"/>
                <w:sz w:val="21"/>
              </w:rPr>
              <w:t>300 万元，核算依据为电商平台后台成交数据、分销台账、</w:t>
            </w:r>
            <w:r>
              <w:rPr>
                <w:rFonts w:ascii="仿宋_GB2312" w:hAnsi="仿宋_GB2312" w:cs="仿宋_GB2312" w:eastAsia="仿宋_GB2312"/>
                <w:sz w:val="21"/>
              </w:rPr>
              <w:t>详细</w:t>
            </w:r>
            <w:r>
              <w:rPr>
                <w:rFonts w:ascii="仿宋_GB2312" w:hAnsi="仿宋_GB2312" w:cs="仿宋_GB2312" w:eastAsia="仿宋_GB2312"/>
                <w:sz w:val="21"/>
              </w:rPr>
              <w:t>订单。</w:t>
            </w:r>
          </w:p>
          <w:p>
            <w:pPr>
              <w:pStyle w:val="null3"/>
              <w:jc w:val="left"/>
              <w:outlineLvl w:val="0"/>
            </w:pPr>
            <w:r>
              <w:rPr>
                <w:rFonts w:ascii="仿宋_GB2312" w:hAnsi="仿宋_GB2312" w:cs="仿宋_GB2312" w:eastAsia="仿宋_GB2312"/>
                <w:sz w:val="21"/>
                <w:b/>
              </w:rPr>
              <w:t>（二）</w:t>
            </w:r>
            <w:r>
              <w:rPr>
                <w:rFonts w:ascii="仿宋_GB2312" w:hAnsi="仿宋_GB2312" w:cs="仿宋_GB2312" w:eastAsia="仿宋_GB2312"/>
                <w:sz w:val="21"/>
                <w:b/>
              </w:rPr>
              <w:t xml:space="preserve"> </w:t>
            </w:r>
            <w:r>
              <w:rPr>
                <w:rFonts w:ascii="仿宋_GB2312" w:hAnsi="仿宋_GB2312" w:cs="仿宋_GB2312" w:eastAsia="仿宋_GB2312"/>
                <w:sz w:val="21"/>
                <w:b/>
              </w:rPr>
              <w:t>官方新媒体矩阵运营服务</w:t>
            </w:r>
          </w:p>
          <w:p>
            <w:pPr>
              <w:pStyle w:val="null3"/>
              <w:ind w:firstLine="628"/>
              <w:jc w:val="left"/>
            </w:pPr>
            <w:r>
              <w:rPr>
                <w:rFonts w:ascii="仿宋_GB2312" w:hAnsi="仿宋_GB2312" w:cs="仿宋_GB2312" w:eastAsia="仿宋_GB2312"/>
                <w:sz w:val="21"/>
              </w:rPr>
              <w:t>配置专职运营、直播固定在岗人员；运用</w:t>
            </w:r>
            <w:r>
              <w:rPr>
                <w:rFonts w:ascii="仿宋_GB2312" w:hAnsi="仿宋_GB2312" w:cs="仿宋_GB2312" w:eastAsia="仿宋_GB2312"/>
                <w:sz w:val="21"/>
              </w:rPr>
              <w:t>AI 剪辑、航拍、数字建模等新媒体技术，围绕县域地理标志农产品、产品溯源、中药材科普、留坝文旅、种养加工全流程等主题，全年原创摄制完整短视频不少于 150 条，每条同步交付成片、原始素材、配音文案、字幕、工程源文件，全部知识产权移交甲方；搭建抖音、视频号、快手、小红书全域官方账号矩阵，分圈层、分时段精准流量投放运营。服务期内全网品牌累计曝光总量不低于 5000 万次，乙方每月向甲方报送各平台流量后台截图、粉丝互动报表、内容发布台账作为佐证。</w:t>
            </w:r>
          </w:p>
          <w:p>
            <w:pPr>
              <w:pStyle w:val="null3"/>
              <w:jc w:val="left"/>
              <w:outlineLvl w:val="0"/>
            </w:pPr>
            <w:r>
              <w:rPr>
                <w:rFonts w:ascii="仿宋_GB2312" w:hAnsi="仿宋_GB2312" w:cs="仿宋_GB2312" w:eastAsia="仿宋_GB2312"/>
                <w:sz w:val="21"/>
                <w:b/>
              </w:rPr>
              <w:t>（三）</w:t>
            </w:r>
            <w:r>
              <w:rPr>
                <w:rFonts w:ascii="仿宋_GB2312" w:hAnsi="仿宋_GB2312" w:cs="仿宋_GB2312" w:eastAsia="仿宋_GB2312"/>
                <w:sz w:val="21"/>
                <w:b/>
              </w:rPr>
              <w:t xml:space="preserve"> </w:t>
            </w:r>
            <w:r>
              <w:rPr>
                <w:rFonts w:ascii="仿宋_GB2312" w:hAnsi="仿宋_GB2312" w:cs="仿宋_GB2312" w:eastAsia="仿宋_GB2312"/>
                <w:sz w:val="21"/>
                <w:b/>
              </w:rPr>
              <w:t>线上线下融合品牌推广服务</w:t>
            </w:r>
          </w:p>
          <w:p>
            <w:pPr>
              <w:pStyle w:val="null3"/>
              <w:ind w:firstLine="628"/>
              <w:jc w:val="left"/>
            </w:pPr>
            <w:r>
              <w:rPr>
                <w:rFonts w:ascii="仿宋_GB2312" w:hAnsi="仿宋_GB2312" w:cs="仿宋_GB2312" w:eastAsia="仿宋_GB2312"/>
                <w:sz w:val="21"/>
              </w:rPr>
              <w:t>建立全年常态化品牌运营机制，独立策划、落地线上线下融合推广活动不少于</w:t>
            </w:r>
            <w:r>
              <w:rPr>
                <w:rFonts w:ascii="仿宋_GB2312" w:hAnsi="仿宋_GB2312" w:cs="仿宋_GB2312" w:eastAsia="仿宋_GB2312"/>
                <w:sz w:val="21"/>
              </w:rPr>
              <w:t>10 场。线上活动包含中药材产地专场直播、农特产带货主题节、线上团购、消费券联动直播；线下组织县域涉农企业、中药材合作社、经营主体参加省市农产品博览会、县域节庆市集、景区展销、机关集采推介会</w:t>
            </w:r>
            <w:r>
              <w:rPr>
                <w:rFonts w:ascii="仿宋_GB2312" w:hAnsi="仿宋_GB2312" w:cs="仿宋_GB2312" w:eastAsia="仿宋_GB2312"/>
                <w:sz w:val="21"/>
              </w:rPr>
              <w:t>、</w:t>
            </w:r>
            <w:r>
              <w:rPr>
                <w:rFonts w:ascii="仿宋_GB2312" w:hAnsi="仿宋_GB2312" w:cs="仿宋_GB2312" w:eastAsia="仿宋_GB2312"/>
                <w:sz w:val="21"/>
              </w:rPr>
              <w:t>民宿展销推荐会、平台官方大型互动（如抖音心动好物节、天猫双十一好物节等）</w:t>
            </w:r>
            <w:r>
              <w:rPr>
                <w:rFonts w:ascii="仿宋_GB2312" w:hAnsi="仿宋_GB2312" w:cs="仿宋_GB2312" w:eastAsia="仿宋_GB2312"/>
                <w:sz w:val="21"/>
              </w:rPr>
              <w:t>。每场活动提前报送完整策划方案，活动结束</w:t>
            </w:r>
            <w:r>
              <w:rPr>
                <w:rFonts w:ascii="仿宋_GB2312" w:hAnsi="仿宋_GB2312" w:cs="仿宋_GB2312" w:eastAsia="仿宋_GB2312"/>
                <w:sz w:val="21"/>
              </w:rPr>
              <w:t>10</w:t>
            </w:r>
            <w:r>
              <w:rPr>
                <w:rFonts w:ascii="仿宋_GB2312" w:hAnsi="仿宋_GB2312" w:cs="仿宋_GB2312" w:eastAsia="仿宋_GB2312"/>
                <w:sz w:val="21"/>
              </w:rPr>
              <w:t>个工作日内交付影像资料、数据报表、总结报告，全程负责区域公共品牌形象塑造、形象维护、市场拓宣。</w:t>
            </w:r>
          </w:p>
          <w:p>
            <w:pPr>
              <w:pStyle w:val="null3"/>
              <w:jc w:val="left"/>
              <w:outlineLvl w:val="0"/>
            </w:pPr>
            <w:r>
              <w:rPr>
                <w:rFonts w:ascii="仿宋_GB2312" w:hAnsi="仿宋_GB2312" w:cs="仿宋_GB2312" w:eastAsia="仿宋_GB2312"/>
                <w:sz w:val="21"/>
                <w:b/>
              </w:rPr>
              <w:t>（四）</w:t>
            </w:r>
            <w:r>
              <w:rPr>
                <w:rFonts w:ascii="仿宋_GB2312" w:hAnsi="仿宋_GB2312" w:cs="仿宋_GB2312" w:eastAsia="仿宋_GB2312"/>
                <w:sz w:val="21"/>
                <w:b/>
              </w:rPr>
              <w:t xml:space="preserve"> </w:t>
            </w:r>
            <w:r>
              <w:rPr>
                <w:rFonts w:ascii="仿宋_GB2312" w:hAnsi="仿宋_GB2312" w:cs="仿宋_GB2312" w:eastAsia="仿宋_GB2312"/>
                <w:sz w:val="21"/>
                <w:b/>
              </w:rPr>
              <w:t>本土直播驻点培育服务</w:t>
            </w:r>
          </w:p>
          <w:p>
            <w:pPr>
              <w:pStyle w:val="null3"/>
              <w:ind w:firstLine="628"/>
              <w:jc w:val="left"/>
            </w:pPr>
            <w:r>
              <w:rPr>
                <w:rFonts w:ascii="仿宋_GB2312" w:hAnsi="仿宋_GB2312" w:cs="仿宋_GB2312" w:eastAsia="仿宋_GB2312"/>
                <w:sz w:val="21"/>
              </w:rPr>
              <w:t>引进</w:t>
            </w:r>
            <w:r>
              <w:rPr>
                <w:rFonts w:ascii="仿宋_GB2312" w:hAnsi="仿宋_GB2312" w:cs="仿宋_GB2312" w:eastAsia="仿宋_GB2312"/>
                <w:sz w:val="21"/>
              </w:rPr>
              <w:t>1 家具备全域新媒体运营能力机构长期驻留留坝县办公，驻场人员保证正常在岗履职，为涉农企业、中药材经营主体、镇村合作社提供一对一常态化线下服务；帮扶零基础经营主体完成线上店铺搭建、直播账号开通，输出标准化脚本、拍摄、直播、售后全流程运营体系；全年打造规范化、可复制村播、企播电商账号不少于 10 个；常态化开展主播实操、短视频制作、流量投放、电商售后培训，指导本土经营主体实现自主稳定直播带货。</w:t>
            </w:r>
          </w:p>
          <w:p>
            <w:pPr>
              <w:pStyle w:val="null3"/>
              <w:jc w:val="left"/>
              <w:outlineLvl w:val="0"/>
            </w:pPr>
            <w:r>
              <w:rPr>
                <w:rFonts w:ascii="仿宋_GB2312" w:hAnsi="仿宋_GB2312" w:cs="仿宋_GB2312" w:eastAsia="仿宋_GB2312"/>
                <w:sz w:val="21"/>
                <w:b/>
              </w:rPr>
              <w:t>（五）</w:t>
            </w:r>
            <w:r>
              <w:rPr>
                <w:rFonts w:ascii="仿宋_GB2312" w:hAnsi="仿宋_GB2312" w:cs="仿宋_GB2312" w:eastAsia="仿宋_GB2312"/>
                <w:sz w:val="21"/>
                <w:b/>
              </w:rPr>
              <w:t xml:space="preserve"> </w:t>
            </w:r>
            <w:r>
              <w:rPr>
                <w:rFonts w:ascii="仿宋_GB2312" w:hAnsi="仿宋_GB2312" w:cs="仿宋_GB2312" w:eastAsia="仿宋_GB2312"/>
                <w:sz w:val="21"/>
                <w:b/>
              </w:rPr>
              <w:t>标准化选品中心建设及对外展销对接服务</w:t>
            </w:r>
          </w:p>
          <w:p>
            <w:pPr>
              <w:pStyle w:val="null3"/>
              <w:ind w:firstLine="628"/>
              <w:jc w:val="left"/>
            </w:pPr>
            <w:r>
              <w:rPr>
                <w:rFonts w:ascii="仿宋_GB2312" w:hAnsi="仿宋_GB2312" w:cs="仿宋_GB2312" w:eastAsia="仿宋_GB2312"/>
                <w:sz w:val="21"/>
              </w:rPr>
              <w:t>配合甲方完成直播港标准化选品展示中心规划、样品陈列布置，建成集产品筛选、样品陈列、直播实景、线下展销一体功能空间；常态化对接县电商公共服务中心、各镇办合作社、中药材加工企业，优先收录留坝本地中药材、秦岭地理标志农林产品，可少量引入秦巴山区周边合规优质农产入库；统一完成入库产品资质核验、溯源信息录入、卖点梳理、标准化陈列；主动对接西安、杭州、南通等地电商企业，常态化开展样品展销、渠道商务对接，为达人、官方矩阵、驻点机构持续供给合规、差异化带货货源，打通农特产品田间至直播间销售链路。</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月度交付资料清单</w:t>
            </w:r>
          </w:p>
          <w:p>
            <w:pPr>
              <w:pStyle w:val="null3"/>
              <w:ind w:firstLine="628"/>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月度直播带货统计表，含达人直播场次、线上销售额、订单明细；</w:t>
            </w:r>
          </w:p>
          <w:p>
            <w:pPr>
              <w:pStyle w:val="null3"/>
              <w:ind w:firstLine="536"/>
              <w:jc w:val="left"/>
            </w:pPr>
            <w:r>
              <w:rPr>
                <w:rFonts w:ascii="仿宋_GB2312" w:hAnsi="仿宋_GB2312" w:cs="仿宋_GB2312" w:eastAsia="仿宋_GB2312"/>
                <w:sz w:val="21"/>
              </w:rPr>
              <w:t>2、</w:t>
            </w:r>
            <w:r>
              <w:rPr>
                <w:rFonts w:ascii="仿宋_GB2312" w:hAnsi="仿宋_GB2312" w:cs="仿宋_GB2312" w:eastAsia="仿宋_GB2312"/>
                <w:sz w:val="21"/>
              </w:rPr>
              <w:t>当月短视频成品交付清单及全部原始拍摄、剪辑工程文件；</w:t>
            </w:r>
          </w:p>
          <w:p>
            <w:pPr>
              <w:pStyle w:val="null3"/>
              <w:ind w:firstLine="628"/>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抖音、视频号、快手、小红书全平台账号曝光、粉丝、互动流量汇总报表；</w:t>
            </w:r>
          </w:p>
          <w:p>
            <w:pPr>
              <w:pStyle w:val="null3"/>
              <w:ind w:firstLine="536"/>
              <w:jc w:val="left"/>
            </w:pPr>
            <w:r>
              <w:rPr>
                <w:rFonts w:ascii="仿宋_GB2312" w:hAnsi="仿宋_GB2312" w:cs="仿宋_GB2312" w:eastAsia="仿宋_GB2312"/>
                <w:sz w:val="21"/>
              </w:rPr>
              <w:t>4、</w:t>
            </w:r>
            <w:r>
              <w:rPr>
                <w:rFonts w:ascii="仿宋_GB2312" w:hAnsi="仿宋_GB2312" w:cs="仿宋_GB2312" w:eastAsia="仿宋_GB2312"/>
                <w:sz w:val="21"/>
              </w:rPr>
              <w:t>当月品牌推广活动全套执行档案，含策划方案、现场影像、成效总结；</w:t>
            </w:r>
          </w:p>
          <w:p>
            <w:pPr>
              <w:pStyle w:val="null3"/>
              <w:ind w:firstLine="536"/>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本土电商账号培育、主播培训工作记录、课件及签到资料；</w:t>
            </w:r>
          </w:p>
          <w:p>
            <w:pPr>
              <w:pStyle w:val="null3"/>
              <w:ind w:firstLine="536"/>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选品中心产品入库、线下展销、外地电商渠道对接完整台账；</w:t>
            </w:r>
          </w:p>
          <w:p>
            <w:pPr>
              <w:pStyle w:val="null3"/>
              <w:ind w:firstLine="536"/>
              <w:jc w:val="left"/>
            </w:pPr>
            <w:r>
              <w:rPr>
                <w:rFonts w:ascii="仿宋_GB2312" w:hAnsi="仿宋_GB2312" w:cs="仿宋_GB2312" w:eastAsia="仿宋_GB2312"/>
                <w:sz w:val="21"/>
              </w:rPr>
              <w:t>7、</w:t>
            </w:r>
            <w:r>
              <w:rPr>
                <w:rFonts w:ascii="仿宋_GB2312" w:hAnsi="仿宋_GB2312" w:cs="仿宋_GB2312" w:eastAsia="仿宋_GB2312"/>
                <w:sz w:val="21"/>
              </w:rPr>
              <w:t>下月服务工作计划、达人及宣传资源筹备说明。</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服务周期内全部月度运营报告</w:t>
            </w:r>
          </w:p>
          <w:p>
            <w:pPr>
              <w:pStyle w:val="null3"/>
              <w:ind w:firstLine="628"/>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不少于</w:t>
            </w:r>
            <w:r>
              <w:rPr>
                <w:rFonts w:ascii="仿宋_GB2312" w:hAnsi="仿宋_GB2312" w:cs="仿宋_GB2312" w:eastAsia="仿宋_GB2312"/>
                <w:sz w:val="21"/>
              </w:rPr>
              <w:t>150 条短视频完整成片、原始素材、工程源文件；</w:t>
            </w:r>
          </w:p>
          <w:p>
            <w:pPr>
              <w:pStyle w:val="null3"/>
              <w:ind w:firstLine="536"/>
              <w:jc w:val="left"/>
            </w:pPr>
            <w:r>
              <w:rPr>
                <w:rFonts w:ascii="仿宋_GB2312" w:hAnsi="仿宋_GB2312" w:cs="仿宋_GB2312" w:eastAsia="仿宋_GB2312"/>
                <w:sz w:val="21"/>
              </w:rPr>
              <w:t>2、</w:t>
            </w:r>
            <w:r>
              <w:rPr>
                <w:rFonts w:ascii="仿宋_GB2312" w:hAnsi="仿宋_GB2312" w:cs="仿宋_GB2312" w:eastAsia="仿宋_GB2312"/>
                <w:sz w:val="21"/>
              </w:rPr>
              <w:t>全平台全年流量曝光汇总台账、后台导出数据报表；</w:t>
            </w:r>
          </w:p>
          <w:p>
            <w:pPr>
              <w:pStyle w:val="null3"/>
              <w:ind w:firstLine="536"/>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全年</w:t>
            </w:r>
            <w:r>
              <w:rPr>
                <w:rFonts w:ascii="仿宋_GB2312" w:hAnsi="仿宋_GB2312" w:cs="仿宋_GB2312" w:eastAsia="仿宋_GB2312"/>
                <w:sz w:val="21"/>
              </w:rPr>
              <w:t>10 场品牌推广活动全套方案、影像素材、成效总结；</w:t>
            </w:r>
          </w:p>
          <w:p>
            <w:pPr>
              <w:pStyle w:val="null3"/>
              <w:ind w:firstLine="536"/>
              <w:jc w:val="left"/>
            </w:pPr>
            <w:r>
              <w:rPr>
                <w:rFonts w:ascii="仿宋_GB2312" w:hAnsi="仿宋_GB2312" w:cs="仿宋_GB2312" w:eastAsia="仿宋_GB2312"/>
                <w:sz w:val="21"/>
              </w:rPr>
              <w:t>4、</w:t>
            </w:r>
            <w:r>
              <w:rPr>
                <w:rFonts w:ascii="仿宋_GB2312" w:hAnsi="仿宋_GB2312" w:cs="仿宋_GB2312" w:eastAsia="仿宋_GB2312"/>
                <w:sz w:val="21"/>
              </w:rPr>
              <w:t>驻点新媒体机构在岗考勤记录；</w:t>
            </w:r>
          </w:p>
          <w:p>
            <w:pPr>
              <w:pStyle w:val="null3"/>
              <w:ind w:firstLine="536"/>
              <w:jc w:val="left"/>
            </w:pPr>
            <w:r>
              <w:rPr>
                <w:rFonts w:ascii="仿宋_GB2312" w:hAnsi="仿宋_GB2312" w:cs="仿宋_GB2312" w:eastAsia="仿宋_GB2312"/>
                <w:sz w:val="21"/>
              </w:rPr>
              <w:t>5、</w:t>
            </w:r>
            <w:r>
              <w:rPr>
                <w:rFonts w:ascii="仿宋_GB2312" w:hAnsi="仿宋_GB2312" w:cs="仿宋_GB2312" w:eastAsia="仿宋_GB2312"/>
                <w:sz w:val="21"/>
              </w:rPr>
              <w:t>不少于</w:t>
            </w:r>
            <w:r>
              <w:rPr>
                <w:rFonts w:ascii="仿宋_GB2312" w:hAnsi="仿宋_GB2312" w:cs="仿宋_GB2312" w:eastAsia="仿宋_GB2312"/>
                <w:sz w:val="21"/>
              </w:rPr>
              <w:t>10 个标准化本土电商账号完整后台数据；</w:t>
            </w:r>
          </w:p>
          <w:p>
            <w:pPr>
              <w:pStyle w:val="null3"/>
              <w:ind w:firstLine="536"/>
              <w:jc w:val="left"/>
            </w:pPr>
            <w:r>
              <w:rPr>
                <w:rFonts w:ascii="仿宋_GB2312" w:hAnsi="仿宋_GB2312" w:cs="仿宋_GB2312" w:eastAsia="仿宋_GB2312"/>
                <w:sz w:val="21"/>
              </w:rPr>
              <w:t>6、</w:t>
            </w:r>
            <w:r>
              <w:rPr>
                <w:rFonts w:ascii="仿宋_GB2312" w:hAnsi="仿宋_GB2312" w:cs="仿宋_GB2312" w:eastAsia="仿宋_GB2312"/>
                <w:sz w:val="21"/>
              </w:rPr>
              <w:t>选品中心全年产品入库台账、资质档案、渠道对接记录；</w:t>
            </w:r>
          </w:p>
          <w:p>
            <w:pPr>
              <w:pStyle w:val="null3"/>
              <w:ind w:firstLine="536"/>
              <w:jc w:val="left"/>
            </w:pPr>
            <w:r>
              <w:rPr>
                <w:rFonts w:ascii="仿宋_GB2312" w:hAnsi="仿宋_GB2312" w:cs="仿宋_GB2312" w:eastAsia="仿宋_GB2312"/>
                <w:sz w:val="21"/>
              </w:rPr>
              <w:t>7、</w:t>
            </w:r>
            <w:r>
              <w:rPr>
                <w:rFonts w:ascii="仿宋_GB2312" w:hAnsi="仿宋_GB2312" w:cs="仿宋_GB2312" w:eastAsia="仿宋_GB2312"/>
                <w:sz w:val="21"/>
              </w:rPr>
              <w:t>全渠道农特产线上销售订单</w:t>
            </w:r>
            <w:r>
              <w:rPr>
                <w:rFonts w:ascii="仿宋_GB2312" w:hAnsi="仿宋_GB2312" w:cs="仿宋_GB2312" w:eastAsia="仿宋_GB2312"/>
                <w:sz w:val="21"/>
              </w:rPr>
              <w:t>明细</w:t>
            </w:r>
            <w:r>
              <w:rPr>
                <w:rFonts w:ascii="仿宋_GB2312" w:hAnsi="仿宋_GB2312" w:cs="仿宋_GB2312" w:eastAsia="仿宋_GB2312"/>
                <w:sz w:val="21"/>
              </w:rPr>
              <w:t>；</w:t>
            </w:r>
          </w:p>
          <w:p>
            <w:pPr>
              <w:pStyle w:val="null3"/>
              <w:ind w:firstLine="536"/>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全年主播培训课件、签到表、实操教学记录；</w:t>
            </w:r>
          </w:p>
          <w:p>
            <w:pPr>
              <w:pStyle w:val="null3"/>
              <w:ind w:firstLine="536"/>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全部达人合作签约协议、分销渠道合作文件；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第三方审计机构要求补充的其他佐证材料。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合同签订生效之日起12 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满足采购服务内容要求，遵照国家有关规定和最终合同约定执行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预付款，项目中标后，乙方提供合规发票后，达到付款条件起15个工作日内，支付合同总金额的30.0%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进度款，12个月服务期全部届满，乙方完成全部履约指标，提交全套竣工归档资料，甲方验收合格后，达到付款条件起15个工作日内，支付合同总金额的70.0%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采购人及供应商双方必须遵守采购合同并执行合同中的各项规定，保证采购合同的正常履行。任何一方违约给对方造成的直接损失均负有赔偿责任，对方均有权视情况要求对方继续履行合同或提出解除合同。②如因供应商在履行过程中的疏忽、失职、过错等故意或者过失原因给采购人造成损失或侵害，包括但不限于采购人本身的财产损失、由此而导致的采购人对任何第三方的法律责任等，供应商对此均应承担全部的赔偿责任。③如供应商提交的成果达不到相关质量要求或未按采购人时间进度安排完成成果或最终为通过验收，采购人有权扣除合同支付金额和提出解除合同。 （2）争议解决办法 ①采购人及供应商双方就采购合同所产生的任何争议都应该进行友好协商，协商解决不成的，任何一方均可向项目所在地法院申请诉讼。 ②诉讼费应由败诉方承担。 ③在诉讼期间，除正在进行诉讼的部分外，合同其他部分继续执行。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电子版u盘一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推⾏政府采购供应商基本资格条件承诺制的通知》（汉财办采管【2024】20号）⽂件要求，供应商⽆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具有有效的营业执照</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法定代表人或被授权委托代理人身份证明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响应人为中型、小型、微型企业的，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供应商应提交的相关资格证明材料(1).docx 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投标文件是否按招标文件要求签署并逐页盖章。</w:t>
            </w:r>
          </w:p>
        </w:tc>
        <w:tc>
          <w:tcPr>
            <w:tcW w:type="dxa" w:w="1661"/>
          </w:tcPr>
          <w:p>
            <w:pPr>
              <w:pStyle w:val="null3"/>
            </w:pPr>
            <w:r>
              <w:rPr>
                <w:rFonts w:ascii="仿宋_GB2312" w:hAnsi="仿宋_GB2312" w:cs="仿宋_GB2312" w:eastAsia="仿宋_GB2312"/>
              </w:rPr>
              <w:t>中小企业声明函 供应商应提交的相关资格证明材料(1).docx 商务应答表 服务内容及服务要求应答表 保证金格式.docx 报价表 项目服务实施方案.docx 响应文件封面 残疾人福利性单位声明函 标的清单 业绩相关证明材料.docx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符合磋商⽂件要求，内容⻬全、⽆遗漏。</w:t>
            </w:r>
          </w:p>
        </w:tc>
        <w:tc>
          <w:tcPr>
            <w:tcW w:type="dxa" w:w="1661"/>
          </w:tcPr>
          <w:p>
            <w:pPr>
              <w:pStyle w:val="null3"/>
            </w:pPr>
            <w:r>
              <w:rPr>
                <w:rFonts w:ascii="仿宋_GB2312" w:hAnsi="仿宋_GB2312" w:cs="仿宋_GB2312" w:eastAsia="仿宋_GB2312"/>
              </w:rPr>
              <w:t>中小企业声明函 供应商应提交的相关资格证明材料(1).docx 商务应答表 服务内容及服务要求应答表 保证金格式.docx 报价表 项目服务实施方案.docx 响应文件封面 残疾人福利性单位声明函 标的清单 业绩相关证明材料.docx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不得提交选择性报价，报价符合招标文件要求。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投标保证金提交的金额、形式符合招标文件要求。</w:t>
            </w:r>
          </w:p>
        </w:tc>
        <w:tc>
          <w:tcPr>
            <w:tcW w:type="dxa" w:w="1661"/>
          </w:tcPr>
          <w:p>
            <w:pPr>
              <w:pStyle w:val="null3"/>
            </w:pPr>
            <w:r>
              <w:rPr>
                <w:rFonts w:ascii="仿宋_GB2312" w:hAnsi="仿宋_GB2312" w:cs="仿宋_GB2312" w:eastAsia="仿宋_GB2312"/>
              </w:rPr>
              <w:t>保证金格式.docx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供应商根据采购需求提供具体可行的服务方案，包括但不限于以下内容：①对项目整体理解；②服务质量目标；③组织实施计划；④ 服务质量管理措施；⑤风险管理方案与应对措施等内容。 上述 5 项内容，每项方案内容全面详细、阐述条理清晰详尽、符合本项目采购需求，能有效保障项目实施的得2分，最高10 分，每有 一项内容缺失扣2分，每项内容有一处存在缺陷或不足扣0.5分，扣完为止（缺陷是指：内容不详细具体、条理不清晰、描述过于简单、与项目采购内容不匹配、凭空编造、出现常识性错误、不可能实现的夸 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直播整体方案</w:t>
            </w:r>
          </w:p>
        </w:tc>
        <w:tc>
          <w:tcPr>
            <w:tcW w:type="dxa" w:w="2492"/>
          </w:tcPr>
          <w:p>
            <w:pPr>
              <w:pStyle w:val="null3"/>
            </w:pPr>
            <w:r>
              <w:rPr>
                <w:rFonts w:ascii="仿宋_GB2312" w:hAnsi="仿宋_GB2312" w:cs="仿宋_GB2312" w:eastAsia="仿宋_GB2312"/>
              </w:rPr>
              <w:t>供应商针对本项目特点提供直播整体方案进行综合评审：①直播全流程执行方案；②直播内容脚本与内容创新设计。 上述 2 项内容，每项方案内容全面详细、阐述条理清晰详尽、符合本项目采购需求，能有效保障项目实施的得5分，最高10分，每有一项内容缺失扣5分，每项内容有一处存在缺陷或不足扣 0.5分，扣完为止（缺陷是指：内容不详细具体、条理不清晰、描述过于简单、与项目采购内容不匹配、凭空编造、出现常识性错误、不可能实现的夸大情形、存在不适用项目实际情况的情形等）。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进度计划与安排</w:t>
            </w:r>
          </w:p>
        </w:tc>
        <w:tc>
          <w:tcPr>
            <w:tcW w:type="dxa" w:w="2492"/>
          </w:tcPr>
          <w:p>
            <w:pPr>
              <w:pStyle w:val="null3"/>
            </w:pPr>
            <w:r>
              <w:rPr>
                <w:rFonts w:ascii="仿宋_GB2312" w:hAnsi="仿宋_GB2312" w:cs="仿宋_GB2312" w:eastAsia="仿宋_GB2312"/>
              </w:rPr>
              <w:t>根据供应商针对本项目特点提供进度计划与安排进行评审，内容 包含：①项目全周期工作进度计划（包括方案策划、彩排联排、正式 活动、全程直播、素材剪辑、资料交付、收尾归档等全流程节点安排）；②确保工作时效性的保障安排（包括拍摄制作周期、直播实时 保障、进度管控、现场协调管理等内容）。 上述 2 项内容，每项内容全面详细、阐述条理清晰详尽、符合本项目采购需求，能有效保障项目实施的得4分，最高8分，每有一 项内容缺失扣4分，每项内容有一处存在缺陷或不足扣 0.5 分，扣完为止（缺陷是指：内容不详细具体、条理不清晰、描述过于简单、与项目特点不匹配、凭空编造、出现常识性错误、不可能实现的夸大情形、存在不适用项目实际情况的情形等）。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资源保障</w:t>
            </w:r>
          </w:p>
        </w:tc>
        <w:tc>
          <w:tcPr>
            <w:tcW w:type="dxa" w:w="2492"/>
          </w:tcPr>
          <w:p>
            <w:pPr>
              <w:pStyle w:val="null3"/>
            </w:pPr>
            <w:r>
              <w:rPr>
                <w:rFonts w:ascii="仿宋_GB2312" w:hAnsi="仿宋_GB2312" w:cs="仿宋_GB2312" w:eastAsia="仿宋_GB2312"/>
              </w:rPr>
              <w:t>根据供应商针对本项目提供的资源保障进行综合评审，内容包括①场地资源保障②人力配置保障③物料物资保障。 上述3项内容，每项方案全面详细、阐述条理清晰、对评审内容中的各项要求有详细描述及说明得2分，最高6分，每有一项内容缺失扣2分，每项内容存在一处缺陷或不足扣0.5分，扣完为止。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根据供应商针对本项目提供的应急预案进行综合评审，内容包括①应急组织框架② 应急沟通机制及风险应对措施③应急响应与善后复盘。 上述3项内容，每项方案内容全面详细、阐述条理清晰、对评审内容中的各项要求有详细描述及说明得2分，最高6分，每有一项内容缺失扣2分，每项内容存在一处缺陷或不足扣0.5分，扣完为止。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团队能力</w:t>
            </w:r>
          </w:p>
        </w:tc>
        <w:tc>
          <w:tcPr>
            <w:tcW w:type="dxa" w:w="2492"/>
          </w:tcPr>
          <w:p>
            <w:pPr>
              <w:pStyle w:val="null3"/>
            </w:pPr>
            <w:r>
              <w:rPr>
                <w:rFonts w:ascii="仿宋_GB2312" w:hAnsi="仿宋_GB2312" w:cs="仿宋_GB2312" w:eastAsia="仿宋_GB2312"/>
              </w:rPr>
              <w:t>1、拟派项目负责人具有相关专业证书，负责现场技术指导，提供1名得5分，此项最高得5分，未提供不得分；（需提供人员证书、身份证、本单位社保证明及驻场承诺书。） 2、项目团队成员具有相关专业证书，提供1名得5分，此项最高得10分，未提供不得分；（需提供人员证书、身份证、本单位社保证明及驻场承诺书。）</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拟投入设备配置</w:t>
            </w:r>
          </w:p>
        </w:tc>
        <w:tc>
          <w:tcPr>
            <w:tcW w:type="dxa" w:w="2492"/>
          </w:tcPr>
          <w:p>
            <w:pPr>
              <w:pStyle w:val="null3"/>
            </w:pPr>
            <w:r>
              <w:rPr>
                <w:rFonts w:ascii="仿宋_GB2312" w:hAnsi="仿宋_GB2312" w:cs="仿宋_GB2312" w:eastAsia="仿宋_GB2312"/>
              </w:rPr>
              <w:t>根据供应商针对本项目特点提供拟投入设备配置进行评审，提供设备配置清单（包括但不限于高清拍摄器材、备用电源、固定机位、游机、音控设备、航拍、导播台、推流台、现场辅助设施等） 1、清单内具备7-10类设备，得10分； 2、清单内具备3-6设备，得6分； 3、清单具备1-2类设备，得2分；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供应商提供2023年1月1日至今（以合同签订日期为准）类似项目的业绩合同，每份计2.5分，满分5分。 注：须提供项目中标通知书或合同协议书。</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达人资源储备及合作保障承诺</w:t>
            </w:r>
          </w:p>
        </w:tc>
        <w:tc>
          <w:tcPr>
            <w:tcW w:type="dxa" w:w="2492"/>
          </w:tcPr>
          <w:p>
            <w:pPr>
              <w:pStyle w:val="null3"/>
            </w:pPr>
            <w:r>
              <w:rPr>
                <w:rFonts w:ascii="仿宋_GB2312" w:hAnsi="仿宋_GB2312" w:cs="仿宋_GB2312" w:eastAsia="仿宋_GB2312"/>
              </w:rPr>
              <w:t>投标人书面承诺服务期内集聚不少于10名深耕秦岭中药材、本地农特产、文旅宣传垂直赛道中腰部带货达人，并提供达人储备清单及合作保障说明。 提供承诺书得5分，未提供不得分。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短视频内容交付保障承诺</w:t>
            </w:r>
          </w:p>
        </w:tc>
        <w:tc>
          <w:tcPr>
            <w:tcW w:type="dxa" w:w="2492"/>
          </w:tcPr>
          <w:p>
            <w:pPr>
              <w:pStyle w:val="null3"/>
            </w:pPr>
            <w:r>
              <w:rPr>
                <w:rFonts w:ascii="仿宋_GB2312" w:hAnsi="仿宋_GB2312" w:cs="仿宋_GB2312" w:eastAsia="仿宋_GB2312"/>
              </w:rPr>
              <w:t>投标人书面承诺服务期内完成全年原创短视频不少于150条，且每条完整交付成片、原始素材、配音文案、字幕、工程源文件，全部知识产权无偿移交采购人。 提供承诺书得5分，未提供不得分。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品牌推广活动保障承诺</w:t>
            </w:r>
          </w:p>
        </w:tc>
        <w:tc>
          <w:tcPr>
            <w:tcW w:type="dxa" w:w="2492"/>
          </w:tcPr>
          <w:p>
            <w:pPr>
              <w:pStyle w:val="null3"/>
            </w:pPr>
            <w:r>
              <w:rPr>
                <w:rFonts w:ascii="仿宋_GB2312" w:hAnsi="仿宋_GB2312" w:cs="仿宋_GB2312" w:eastAsia="仿宋_GB2312"/>
              </w:rPr>
              <w:t>投标人书面承诺服务期内独立策划、落地线上线下融合品牌推广活动不少于10场，并承诺每场活动完整交付方案、影像、台账、总结资料。 提供承诺书得5分，未提供不得分。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月度、年度全套台账资料交付承诺</w:t>
            </w:r>
          </w:p>
        </w:tc>
        <w:tc>
          <w:tcPr>
            <w:tcW w:type="dxa" w:w="2492"/>
          </w:tcPr>
          <w:p>
            <w:pPr>
              <w:pStyle w:val="null3"/>
            </w:pPr>
            <w:r>
              <w:rPr>
                <w:rFonts w:ascii="仿宋_GB2312" w:hAnsi="仿宋_GB2312" w:cs="仿宋_GB2312" w:eastAsia="仿宋_GB2312"/>
              </w:rPr>
              <w:t>投标人书面承诺完整落实招标文件要求的月度7项交付资料、年度10项全套运营档案，包含直播台账、短视频素材、流量报表、活动档案、培训资料、选品台账、渠道对接记录、销售订单明细等全部资料闭环交付。 提供承诺书得5分，未提供不得分。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详见附件：供应商应提交的相关资格证明材料(1).docx</w:t>
      </w:r>
    </w:p>
    <w:p>
      <w:pPr>
        <w:pStyle w:val="null3"/>
        <w:ind w:firstLine="960"/>
      </w:pPr>
      <w:r>
        <w:rPr>
          <w:rFonts w:ascii="仿宋_GB2312" w:hAnsi="仿宋_GB2312" w:cs="仿宋_GB2312" w:eastAsia="仿宋_GB2312"/>
        </w:rPr>
        <w:t>详见附件：项目服务实施方案.docx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详见附件：保证金格式.docx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