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版本号：YDFZ-2026-01320260612003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洋县戚氏街道魏家庙村人居环境整治提升项目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YDFZ-2026-013</w:t>
      </w:r>
      <w:r>
        <w:br/>
      </w:r>
      <w:r>
        <w:br/>
      </w:r>
      <w:r>
        <w:br/>
      </w:r>
    </w:p>
    <w:p>
      <w:pPr>
        <w:pStyle w:val="null3"/>
        <w:jc w:val="center"/>
        <w:outlineLvl w:val="2"/>
      </w:pPr>
      <w:r>
        <w:rPr>
          <w:rFonts w:ascii="仿宋_GB2312" w:hAnsi="仿宋_GB2312" w:cs="仿宋_GB2312" w:eastAsia="仿宋_GB2312"/>
          <w:sz w:val="28"/>
          <w:b/>
        </w:rPr>
        <w:t>洋县戚氏街道办事处</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洋县戚氏街道办事处</w:t>
      </w:r>
      <w:r>
        <w:rPr>
          <w:rFonts w:ascii="仿宋_GB2312" w:hAnsi="仿宋_GB2312" w:cs="仿宋_GB2312" w:eastAsia="仿宋_GB2312"/>
        </w:rPr>
        <w:t>委托，拟对</w:t>
      </w:r>
      <w:r>
        <w:rPr>
          <w:rFonts w:ascii="仿宋_GB2312" w:hAnsi="仿宋_GB2312" w:cs="仿宋_GB2312" w:eastAsia="仿宋_GB2312"/>
        </w:rPr>
        <w:t>洋县戚氏街道魏家庙村人居环境整治提升项目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YDFZ-2026-013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洋县戚氏街道魏家庙村人居环境整治提升项目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对村内破损主干道铺设宽4.0米沥青混凝土路面1050米，对主干道周边绿化工程进行修复提升及相关基础设施配套，沿路边村民外墙面粉刷、花池护栏提升改造，详见工程量清单。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采购包1（洋县戚氏街道魏家庙村人居环境整治提升项目）：属于专门面向中小企业采购。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应具备建设行政主管部门颁发的市政公用工程施工总承包三级（含三级）及其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负责人须具有相应工程专业二级（含二级）及以上注册建造师资格及其本人有效的安全生产考核合格证，且无在建项目(提供承诺书)；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6、控股、管理关系：单位负责人为同一人或者存在控股、管理关系的不同单位，不得同时参加本采购项目磋商。违反规定的，其响应均无效；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7、非联合体投标声明：本项目不接受联合体投标，供应商需提供非联合体书面声明。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洋县戚氏街道办事处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竹园村一组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洋县戚氏街道办事处经办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13892616839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17792969681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开户名称：陕西昱达⽅洲⼯程咨询有限公司</w:t>
            </w:r>
          </w:p>
          <w:p>
            <w:pPr>
              <w:pStyle w:val="null3"/>
            </w:pPr>
            <w:r>
              <w:rPr>
                <w:rFonts w:ascii="仿宋_GB2312" w:hAnsi="仿宋_GB2312" w:cs="仿宋_GB2312" w:eastAsia="仿宋_GB2312"/>
              </w:rPr>
              <w:t>开户银行：中国农业银⾏股份有限公司洋县⽀⾏</w:t>
            </w:r>
          </w:p>
          <w:p>
            <w:pPr>
              <w:pStyle w:val="null3"/>
            </w:pPr>
            <w:r>
              <w:rPr>
                <w:rFonts w:ascii="仿宋_GB2312" w:hAnsi="仿宋_GB2312" w:cs="仿宋_GB2312" w:eastAsia="仿宋_GB2312"/>
              </w:rPr>
              <w:t>银行账号：26626101040020356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洋县戚氏街道办事处</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洋县戚氏街道办事处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洋县戚氏街道办事处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符合国家现行行业验收合格标准及采购人工作需求。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联系电话：17792969681</w:t>
      </w:r>
    </w:p>
    <w:p>
      <w:pPr>
        <w:pStyle w:val="null3"/>
      </w:pPr>
      <w:r>
        <w:rPr>
          <w:rFonts w:ascii="仿宋_GB2312" w:hAnsi="仿宋_GB2312" w:cs="仿宋_GB2312" w:eastAsia="仿宋_GB2312"/>
        </w:rPr>
        <w:t>地址：陕西省汉中市洋县纸坊街道纸坊街村四组8 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洋县戚氏街道魏家庙村人居环境整治提升项目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标的名称：洋县戚氏街道魏家庙村人居环境整治提升项目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1.主要建设内容为：对村内破损主干道铺设宽4.0米沥青混凝土路面1050米，对主干道周边绿化工程进行修复提升及相关基础设施配套，沿路边村民外墙面粉刷、花池护栏提升改造。完成工程量清单所有内容。</w:t>
            </w:r>
          </w:p>
          <w:p>
            <w:pPr>
              <w:pStyle w:val="null3"/>
            </w:pPr>
            <w:r>
              <w:rPr>
                <w:rFonts w:ascii="仿宋_GB2312" w:hAnsi="仿宋_GB2312" w:cs="仿宋_GB2312" w:eastAsia="仿宋_GB2312"/>
                <w:sz w:val="24"/>
                <w:color w:val="000000"/>
              </w:rPr>
              <w:t>2.合同履约地点：洋县戚氏街道魏家庙村。</w:t>
            </w:r>
          </w:p>
          <w:p>
            <w:pPr>
              <w:pStyle w:val="null3"/>
            </w:pPr>
            <w:r>
              <w:rPr>
                <w:rFonts w:ascii="仿宋_GB2312" w:hAnsi="仿宋_GB2312" w:cs="仿宋_GB2312" w:eastAsia="仿宋_GB2312"/>
                <w:sz w:val="24"/>
                <w:color w:val="000000"/>
              </w:rPr>
              <w:t>3.工期：60日历天。</w:t>
            </w:r>
          </w:p>
          <w:p>
            <w:pPr>
              <w:pStyle w:val="null3"/>
            </w:pPr>
            <w:r>
              <w:rPr>
                <w:rFonts w:ascii="仿宋_GB2312" w:hAnsi="仿宋_GB2312" w:cs="仿宋_GB2312" w:eastAsia="仿宋_GB2312"/>
                <w:sz w:val="24"/>
                <w:color w:val="000000"/>
              </w:rPr>
              <w:t>4.质量标准：达到验收合格标准。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便采购人备案留存⼯作，成交供应商需向采购代理机构提交签章⻬全的纸质版（⼀正⼀副）及电⼦版（电⼦版包含word版响应文件，签章后的pdf响应文件以及投标报价软件版），成交供应商应保持响应⽂件纸质版内容、电⼦版内容与系统上传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供应商应具备建设行政主管部门颁发的市政公用工程施工总承包三级（含三级）及其以上资质，具有有效的安全生产许可证，供应商需在项目电子化交易系统中按要求上传相应证明文件并进行电子签章；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相应工程专业二级（含二级）及以上注册建造师资格及其本人有效的安全生产考核合格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项目负责人.docx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控股管理关系.docx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只能有⼀个有效报价，不得提交选择性报价，且报价不超过最⾼限价⾦额。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应满⾜磋商⽂件的要求，60⽇历天</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已标价工程量清单 供应商资质.docx 有效的主体资格证明.docx 中小企业声明函 供应商应提交的相关资格证明材料 控股管理关系.docx 汉中市政府采购供应商资格承诺函.docx 法定代表人证明或法定代表人授权书.docx 施工组织设计.docx 响应文件封面 项目负责人.docx 项目管理机构组成表 残疾人福利性单位声明函 报价函 标的清单 供应商类似项目业绩一览表 响应函 主要人员简历表 监狱企业的证明文件 供应商非联合体声明.docx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根据供应商制定的项目施工方案及措施进行综合评审。内容包含但不限于：①具体施工内容；② 施工方法（工艺）；③施工部署；④施工重难点分析；⑤应急方案保障措施等；1.施工组织设计完整覆盖本项目全部内容，针对性强，施工部署、进度计划、重难点分析、保障措施科学合理，完全匹配项目实际情况得12-15分；2.施工组织设计基本完整覆盖项目内容，施工部署、进度计划合理，重难点分析及保障措施基本可行，整体符合项目需求得8-12分；3.施工组织设计存在少量缺项，施工部署或进度计划存在轻微不合理之处，保障措施针对性不足，基本满足项目实施要求得4-8分；4.施工组织设计存在明显缺陷，未覆盖部分核心工程内容，或施工方案、进度计划不合理，影响项目实施得0-4分；5.施工组织设计严重缺项，未覆盖关键工程内容，或方案存在重大缺陷，无法保障项目正常实施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内容包含但不限于：①质量⽬标管理体系；②施工质量的检验制度；③确保质量的技术组织措施等。1.质量管理体系健全、措施科学合理、可操作性强，能有效保障工程质量得8-10分；2.质量管理体系基本健全、措施基本完善，关键环节质量保障措施基本可行，无明显漏洞得5-8分；3.质量管理体系不完善、措施针对性不足，关键环节管控缺失得2-5分；4.无明确质量管理措施，或措施严重不符合项目需求，无法保障工程质量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施工安全保证措施进行综合评审。内容包含但不限于：①安全生产管理制度；②安全施工措施；③安全应急预案；④安全生产教育等。1.安全管理体系健全，措施全面可行，完全满足项目安全管控要求得8-10分；2.安全管理体系基本健全、措施基本完善，存在少量细节待优化得5-8分；3.安全管理体系不完善、措施针对性不足，关键风险点管控缺失得2-5分；4.无明确安全管理措施，或措施严重不符合项目需求，无法保障工程安全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根据供应商制定的施工进度计划及工期保证措施进行综合评审。内容包含但不限于：①施工进度计划横道图；②进度计划保证措施 ；③工期保证措施等。1.进度计划科学合理，关键节点清晰，工期保证措施具体可行，完全满足项目工期要求得7-9分；2.进度计划基本合理，关键节点基本明确，工期保证措施基本到位得4-7分；3.进度计划不合理，或工期措施与项目脱节可能影响项目工期得2-4分；4.无明确工期计划，或工期目标无法满足采购文件实质性要求得0-2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及环境保护措施进行综合评审。内容包含但不限于：①文明施工管理目标及技术措施；②文明施工现场管理：材料管理、防扰民措施；③扬尘治理、固废处置、污水排放类环保措施等。1.措施科学合理、可操作性强，贴合本项目现场实际，方案细致可落地，完全满足项目文明施工及环保要求得5-8分；2.措施基本完善，内容较完整，基本满足项目文明施工及环保要求得3-5分；3.仅有基础措施，内容简单笼统，针对性不强，部分管控环节缺失得0-3分。4.措施严重缺失、内容空洞，不满足项目文明及环保施工基本要求或存在重大缺陷、不响应采购实质性条件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根据供应商编制的⼯程保修⽅案和后期服务承诺进行综合评审。1.售后服务方案完善，工程质量保修期承诺高于国家及行业标准，维修响应时间、故障处理流程明确，违约责任承诺清晰，能有效保障采购人权益得4-5分；2.售后服务方案基本完善，质量保修期承诺符合国家及行业标准，维修响应时间、故障处理流程基本明确，履约保障措施基本到位得2-4分；3.售后服务方案不够完善，质量保修期承诺符合最低标准，履约保障措施针对性不足得0-2分；4.无售后服务方案，或方案严重不符合采购文件要求，无履约保障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根据供应商提供的项目组织管理机构配备进行综合评审。1、项目部拟派人员组织机构设置合理完善，人员配备齐全，有详细的人员配置清单，核心人员（项目经理、技术负责人、安全员、质量员、施工员、材料员、资料员）资质齐全、针对性强，技术经验丰富，人员专业性强，完全满足项目需求得5-8分；2、组织机构组成基本合理，人员配备基本齐全，具备从业经验，基本满足项目需求得3-5分；3、组织机构设置不完整、人员配置短缺，核心人员资质不全或无对应资质，仅部分满足项目需求得0-3分；4、未提供人员配置或核心人员无资质，无法满足项目需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供应商提供2023年1月1日起至今类似项目业绩，每提供一份得2.5分，此项最高得5分；评审依据：业绩以合同或（中标）成交通知书加盖公章的复印件为依据，未提供不得分。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详见附件：法定代表人证明或法定代表人授权书.docx</w:t>
      </w:r>
    </w:p>
    <w:p>
      <w:pPr>
        <w:pStyle w:val="null3"/>
        <w:ind w:firstLine="960"/>
      </w:pPr>
      <w:r>
        <w:rPr>
          <w:rFonts w:ascii="仿宋_GB2312" w:hAnsi="仿宋_GB2312" w:cs="仿宋_GB2312" w:eastAsia="仿宋_GB2312"/>
        </w:rPr>
        <w:t>详见附件：供应商非联合体声明.docx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详见附件：项目负责人.docx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