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版本号：SXZX-2026-00820260801002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陕西省渭北旱塬生态保护与修复水资源保障方案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SXZX-2026-008</w:t>
      </w:r>
      <w:r>
        <w:br/>
      </w:r>
      <w:r>
        <w:br/>
      </w:r>
      <w:r>
        <w:br/>
      </w:r>
    </w:p>
    <w:p>
      <w:pPr>
        <w:pStyle w:val="null3"/>
        <w:jc w:val="center"/>
        <w:outlineLvl w:val="2"/>
      </w:pPr>
      <w:r>
        <w:rPr>
          <w:rFonts w:ascii="仿宋_GB2312" w:hAnsi="仿宋_GB2312" w:cs="仿宋_GB2312" w:eastAsia="仿宋_GB2312"/>
          <w:sz w:val="28"/>
          <w:b/>
        </w:rPr>
        <w:t>陕西省水利发展调查与引汉济渭工程协调中心</w:t>
      </w:r>
    </w:p>
    <w:p>
      <w:pPr>
        <w:pStyle w:val="null3"/>
        <w:jc w:val="center"/>
        <w:outlineLvl w:val="2"/>
      </w:pPr>
      <w:r>
        <w:rPr>
          <w:rFonts w:ascii="仿宋_GB2312" w:hAnsi="仿宋_GB2312" w:cs="仿宋_GB2312" w:eastAsia="仿宋_GB2312"/>
          <w:sz w:val="28"/>
          <w:b/>
        </w:rPr>
        <w:t>陕西湛信工程管理有限公司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陕西湛信工程管理有限公司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陕西省水利发展调查与引汉济渭工程协调中心</w:t>
      </w:r>
      <w:r>
        <w:rPr>
          <w:rFonts w:ascii="仿宋_GB2312" w:hAnsi="仿宋_GB2312" w:cs="仿宋_GB2312" w:eastAsia="仿宋_GB2312"/>
        </w:rPr>
        <w:t>委托，拟对</w:t>
      </w:r>
      <w:r>
        <w:rPr>
          <w:rFonts w:ascii="仿宋_GB2312" w:hAnsi="仿宋_GB2312" w:cs="仿宋_GB2312" w:eastAsia="仿宋_GB2312"/>
        </w:rPr>
        <w:t>陕西省渭北旱塬生态保护与修复水资源保障方案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SXZX-2026-008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陕西省渭北旱塬生态保护与修复水资源保障方案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陕西省渭北旱塬生态脆弱本底、河道水生态功能退化、地下水超采等水生态突出问题，围绕区域水网建设和生态建设的有利条件，确定新阶段区域水生态保护与修复水资源保障目标，围绕目标提出与区域水网格局相适应的、幸福河湖建设相匹配的、区域生态环境建设相协调的系统性水资源保障方案，系统保障区域河道内生态水量、河道外生态用水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供应商需在项目电子化交易系统中上传提供2025年度经审计的财务报告（包括审计报告、资产负债表、利润表、现金流量表、所有者权益变动表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5、供应商提供具有履行合同所必需的设备和专业技术能力的承诺：供应商提供具有履行合同所必需的设备和专业技术能力的承诺，供 应商需在项目电子化交易系统中按要求上传相应证明文件并进行电子签章。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陕西省水利发展调查与引汉济渭工程协调中心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西安市新城区西七路198号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029-61835346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陕西湛信工程管理有限公司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陕西省西安市未央区凤城⼋路与⺠经⼀路⼗字湖北⼤厦2号楼1501室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18334790172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 定收取代理服务费，由成交供应商在领取成交通知书前，向采购代理机构⼀次性⽀付招标代理 服务费。户名：陕西湛信⼯程管理有限公司 开户行：中信银行西安高新路⽀⾏ 账号：811170 1013100609658。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陕西省水利发展调查与引汉济渭工程协调中心</w:t>
      </w:r>
      <w:r>
        <w:rPr>
          <w:rFonts w:ascii="仿宋_GB2312" w:hAnsi="仿宋_GB2312" w:cs="仿宋_GB2312" w:eastAsia="仿宋_GB2312"/>
        </w:rPr>
        <w:t>和</w:t>
      </w:r>
      <w:r>
        <w:rPr>
          <w:rFonts w:ascii="仿宋_GB2312" w:hAnsi="仿宋_GB2312" w:cs="仿宋_GB2312" w:eastAsia="仿宋_GB2312"/>
        </w:rPr>
        <w:t>陕西湛信工程管理有限公司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陕西省水利发展调查与引汉济渭工程协调中心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陕西湛信工程管理有限公司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陕西省水利发展调查与引汉济渭工程协调中心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陕西湛信工程管理有限公司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 标权或其它知识产权⽽引起的法律和经济纠纷，如存在前述情形，由供应商承担所有相关责任。采购⼈享有本项⽬实施过程中 产⽣的知识成果及知识产权。 ⼆、供应商将在采购项⽬实施过程中采⽤⾃有或者第三⽅知识成果的，使⽤该知识成果后，供 应商需提供开发接⼝和开发⼿册等技术资料，并承诺提供⽆限期⽀持，采购⼈享有使⽤权（含采购⼈委托第三⽅在该项⽬后续 开发的使⽤权）。 三、如采⽤供应商所不拥有的知识产权，则在报价中必须包括合法使⽤该知识产权的相关费⽤。 四、构成 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联系人：杨萌</w:t>
      </w:r>
    </w:p>
    <w:p>
      <w:pPr>
        <w:pStyle w:val="null3"/>
      </w:pPr>
      <w:r>
        <w:rPr>
          <w:rFonts w:ascii="仿宋_GB2312" w:hAnsi="仿宋_GB2312" w:cs="仿宋_GB2312" w:eastAsia="仿宋_GB2312"/>
        </w:rPr>
        <w:t>联系电话：18334790172</w:t>
      </w:r>
    </w:p>
    <w:p>
      <w:pPr>
        <w:pStyle w:val="null3"/>
      </w:pPr>
      <w:r>
        <w:rPr>
          <w:rFonts w:ascii="仿宋_GB2312" w:hAnsi="仿宋_GB2312" w:cs="仿宋_GB2312" w:eastAsia="仿宋_GB2312"/>
        </w:rPr>
        <w:t>地址：陕西省西安市未央区凤城⼋路与⺠经⼀路⼗字湖北⼤厦2号楼1501室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陕西省渭北旱塬生态脆弱本底、河道水生态功能退化、地下水超采等水生态突出问题，围绕区域水网建设和生态建设的有利条件，确定新阶段区域水生态保护与修复水资源保障目标，围绕目标提出与区域水网格局相适应的、幸福河湖建设相匹配的、区域生态环境建设相协调的系统性水资源保障方案，系统保障区域河道内生态水量、河道外生态用水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陕西省渭北旱塬生态保护与修复水资源保障方案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标的名称：陕西省渭北旱塬生态保护与修复水资源保障方案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8"/>
              <w:gridCol w:w="485"/>
              <w:gridCol w:w="1704"/>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1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1"/>
                    </w:rPr>
                    <w:t>一、项目概况与采购目标</w:t>
                  </w:r>
                </w:p>
                <w:p>
                  <w:pPr>
                    <w:pStyle w:val="null3"/>
                    <w:ind w:firstLine="560"/>
                    <w:jc w:val="both"/>
                  </w:pPr>
                  <w:r>
                    <w:rPr>
                      <w:rFonts w:ascii="仿宋_GB2312" w:hAnsi="仿宋_GB2312" w:cs="仿宋_GB2312" w:eastAsia="仿宋_GB2312"/>
                      <w:sz w:val="21"/>
                    </w:rPr>
                    <w:t>为系统推进陕西省渭北旱塬水生态保护与修复，落实黄河流域生态保护和高质量发展等国家战略，针对区域</w:t>
                  </w:r>
                  <w:r>
                    <w:rPr>
                      <w:rFonts w:ascii="仿宋_GB2312" w:hAnsi="仿宋_GB2312" w:cs="仿宋_GB2312" w:eastAsia="仿宋_GB2312"/>
                      <w:sz w:val="19"/>
                    </w:rPr>
                    <w:t>生态脆弱本底、河道水生态功能退化、地下水超采等水生态突出问题</w:t>
                  </w:r>
                  <w:r>
                    <w:rPr>
                      <w:rFonts w:ascii="仿宋_GB2312" w:hAnsi="仿宋_GB2312" w:cs="仿宋_GB2312" w:eastAsia="仿宋_GB2312"/>
                      <w:sz w:val="21"/>
                    </w:rPr>
                    <w:t>，</w:t>
                  </w:r>
                  <w:r>
                    <w:rPr>
                      <w:rFonts w:ascii="仿宋_GB2312" w:hAnsi="仿宋_GB2312" w:cs="仿宋_GB2312" w:eastAsia="仿宋_GB2312"/>
                      <w:sz w:val="21"/>
                    </w:rPr>
                    <w:t>采购人拟委托具备相应专业能力的第三方咨询机构开展</w:t>
                  </w:r>
                  <w:r>
                    <w:rPr>
                      <w:rFonts w:ascii="仿宋_GB2312" w:hAnsi="仿宋_GB2312" w:cs="仿宋_GB2312" w:eastAsia="仿宋_GB2312"/>
                      <w:sz w:val="21"/>
                    </w:rPr>
                    <w:t>区域水生态保护与修复水资源保障方案编制工作</w:t>
                  </w:r>
                  <w:r>
                    <w:rPr>
                      <w:rFonts w:ascii="仿宋_GB2312" w:hAnsi="仿宋_GB2312" w:cs="仿宋_GB2312" w:eastAsia="仿宋_GB2312"/>
                      <w:sz w:val="21"/>
                    </w:rPr>
                    <w:t>。</w:t>
                  </w:r>
                  <w:r>
                    <w:rPr>
                      <w:rFonts w:ascii="仿宋_GB2312" w:hAnsi="仿宋_GB2312" w:cs="仿宋_GB2312" w:eastAsia="仿宋_GB2312"/>
                      <w:sz w:val="21"/>
                    </w:rPr>
                    <w:t>本项目围绕区域水网建设和生态建设的有利条件，确定新阶段区域水生态保护与修复水资源保障目标，围绕目标提出与区域水网格局相适应的、幸福河湖建设相匹配的、区域生态环境建设相协调的系统性水资源保障方案。</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1"/>
                    </w:rPr>
                    <w:t>二、具体工作内容</w:t>
                  </w:r>
                </w:p>
                <w:p>
                  <w:pPr>
                    <w:pStyle w:val="null3"/>
                    <w:ind w:firstLine="560"/>
                    <w:jc w:val="both"/>
                  </w:pPr>
                  <w:r>
                    <w:rPr>
                      <w:rFonts w:ascii="仿宋_GB2312" w:hAnsi="仿宋_GB2312" w:cs="仿宋_GB2312" w:eastAsia="仿宋_GB2312"/>
                      <w:sz w:val="21"/>
                    </w:rPr>
                    <w:t>供应商须严格按照国家及陕西省关于</w:t>
                  </w:r>
                  <w:r>
                    <w:rPr>
                      <w:rFonts w:ascii="仿宋_GB2312" w:hAnsi="仿宋_GB2312" w:cs="仿宋_GB2312" w:eastAsia="仿宋_GB2312"/>
                      <w:sz w:val="21"/>
                    </w:rPr>
                    <w:t>区域水资源保障</w:t>
                  </w:r>
                  <w:r>
                    <w:rPr>
                      <w:rFonts w:ascii="仿宋_GB2312" w:hAnsi="仿宋_GB2312" w:cs="仿宋_GB2312" w:eastAsia="仿宋_GB2312"/>
                      <w:sz w:val="21"/>
                    </w:rPr>
                    <w:t>的相关技术</w:t>
                  </w:r>
                  <w:r>
                    <w:rPr>
                      <w:rFonts w:ascii="仿宋_GB2312" w:hAnsi="仿宋_GB2312" w:cs="仿宋_GB2312" w:eastAsia="仿宋_GB2312"/>
                      <w:sz w:val="21"/>
                    </w:rPr>
                    <w:t>要求</w:t>
                  </w:r>
                  <w:r>
                    <w:rPr>
                      <w:rFonts w:ascii="仿宋_GB2312" w:hAnsi="仿宋_GB2312" w:cs="仿宋_GB2312" w:eastAsia="仿宋_GB2312"/>
                      <w:sz w:val="21"/>
                    </w:rPr>
                    <w:t>，完成以下</w:t>
                  </w:r>
                  <w:r>
                    <w:rPr>
                      <w:rFonts w:ascii="仿宋_GB2312" w:hAnsi="仿宋_GB2312" w:cs="仿宋_GB2312" w:eastAsia="仿宋_GB2312"/>
                      <w:sz w:val="21"/>
                    </w:rPr>
                    <w:t>主要</w:t>
                  </w:r>
                  <w:r>
                    <w:rPr>
                      <w:rFonts w:ascii="仿宋_GB2312" w:hAnsi="仿宋_GB2312" w:cs="仿宋_GB2312" w:eastAsia="仿宋_GB2312"/>
                      <w:sz w:val="21"/>
                    </w:rPr>
                    <w:t>工作：</w:t>
                  </w:r>
                </w:p>
                <w:p>
                  <w:pPr>
                    <w:pStyle w:val="null3"/>
                    <w:ind w:firstLine="600"/>
                    <w:jc w:val="both"/>
                  </w:pPr>
                  <w:r>
                    <w:rPr>
                      <w:rFonts w:ascii="仿宋_GB2312" w:hAnsi="仿宋_GB2312" w:cs="仿宋_GB2312" w:eastAsia="仿宋_GB2312"/>
                      <w:sz w:val="21"/>
                    </w:rPr>
                    <w:t>1、</w:t>
                  </w:r>
                  <w:r>
                    <w:rPr>
                      <w:rFonts w:ascii="仿宋_GB2312" w:hAnsi="仿宋_GB2312" w:cs="仿宋_GB2312" w:eastAsia="仿宋_GB2312"/>
                      <w:sz w:val="21"/>
                    </w:rPr>
                    <w:t>编制前期策划文件。研究确定工作思路、制定工作计划、编制工作大纲等前期策划文件。</w:t>
                  </w:r>
                </w:p>
                <w:p>
                  <w:pPr>
                    <w:pStyle w:val="null3"/>
                    <w:ind w:firstLine="600"/>
                    <w:jc w:val="both"/>
                  </w:pPr>
                  <w:r>
                    <w:rPr>
                      <w:rFonts w:ascii="仿宋_GB2312" w:hAnsi="仿宋_GB2312" w:cs="仿宋_GB2312" w:eastAsia="仿宋_GB2312"/>
                      <w:sz w:val="21"/>
                    </w:rPr>
                    <w:t>2、调研与基础资料收集。开展现场调研、踏勘，了解区域水生态环境现状存在的主要问题，并收集相关资料。</w:t>
                  </w:r>
                </w:p>
                <w:p>
                  <w:pPr>
                    <w:pStyle w:val="null3"/>
                    <w:ind w:firstLine="600"/>
                    <w:jc w:val="both"/>
                  </w:pPr>
                  <w:r>
                    <w:rPr>
                      <w:rFonts w:ascii="仿宋_GB2312" w:hAnsi="仿宋_GB2312" w:cs="仿宋_GB2312" w:eastAsia="仿宋_GB2312"/>
                      <w:sz w:val="21"/>
                    </w:rPr>
                    <w:t>3、区域概况。分析区域自然环境本底状况，明确该区域在国土空间生态保护与修复规划、陕西省水网建设规划等重大战略布局中的定位，分析区域水生态环境保护与修复面临的情势。</w:t>
                  </w:r>
                </w:p>
                <w:p>
                  <w:pPr>
                    <w:pStyle w:val="null3"/>
                    <w:ind w:firstLine="600"/>
                    <w:jc w:val="both"/>
                  </w:pPr>
                  <w:r>
                    <w:rPr>
                      <w:rFonts w:ascii="仿宋_GB2312" w:hAnsi="仿宋_GB2312" w:cs="仿宋_GB2312" w:eastAsia="仿宋_GB2312"/>
                      <w:sz w:val="21"/>
                    </w:rPr>
                    <w:t>4、</w:t>
                  </w:r>
                  <w:r>
                    <w:rPr>
                      <w:rFonts w:ascii="仿宋_GB2312" w:hAnsi="仿宋_GB2312" w:cs="仿宋_GB2312" w:eastAsia="仿宋_GB2312"/>
                      <w:sz w:val="21"/>
                    </w:rPr>
                    <w:t>确定区域水生态保护与修复目标</w:t>
                  </w:r>
                </w:p>
                <w:p>
                  <w:pPr>
                    <w:pStyle w:val="null3"/>
                    <w:ind w:firstLine="600"/>
                    <w:jc w:val="both"/>
                  </w:pPr>
                  <w:r>
                    <w:rPr>
                      <w:rFonts w:ascii="仿宋_GB2312" w:hAnsi="仿宋_GB2312" w:cs="仿宋_GB2312" w:eastAsia="仿宋_GB2312"/>
                      <w:sz w:val="21"/>
                    </w:rPr>
                    <w:t>针对区域生态脆弱本底、河道水生态功能退化、河道外生态用水需求、地下水超采等水生态突出问题，围绕区域水网建设和生态建设的有利条件，确定新阶段区域水生态保护与修复目标。</w:t>
                  </w:r>
                </w:p>
                <w:p>
                  <w:pPr>
                    <w:pStyle w:val="null3"/>
                    <w:ind w:firstLine="600"/>
                    <w:jc w:val="both"/>
                  </w:pPr>
                  <w:r>
                    <w:rPr>
                      <w:rFonts w:ascii="仿宋_GB2312" w:hAnsi="仿宋_GB2312" w:cs="仿宋_GB2312" w:eastAsia="仿宋_GB2312"/>
                      <w:sz w:val="21"/>
                    </w:rPr>
                    <w:t>5、制定水资源保障方案</w:t>
                  </w:r>
                </w:p>
                <w:p>
                  <w:pPr>
                    <w:pStyle w:val="null3"/>
                    <w:ind w:firstLine="600"/>
                    <w:jc w:val="both"/>
                  </w:pPr>
                  <w:r>
                    <w:rPr>
                      <w:rFonts w:ascii="仿宋_GB2312" w:hAnsi="仿宋_GB2312" w:cs="仿宋_GB2312" w:eastAsia="仿宋_GB2312"/>
                      <w:sz w:val="21"/>
                    </w:rPr>
                    <w:t>制定区域水生态保护与修复水资源保障方案。</w:t>
                  </w:r>
                </w:p>
                <w:p>
                  <w:pPr>
                    <w:pStyle w:val="null3"/>
                    <w:ind w:firstLine="600"/>
                    <w:jc w:val="both"/>
                  </w:pPr>
                  <w:r>
                    <w:rPr>
                      <w:rFonts w:ascii="仿宋_GB2312" w:hAnsi="仿宋_GB2312" w:cs="仿宋_GB2312" w:eastAsia="仿宋_GB2312"/>
                      <w:sz w:val="21"/>
                    </w:rPr>
                    <w:t>6、</w:t>
                  </w:r>
                  <w:r>
                    <w:rPr>
                      <w:rFonts w:ascii="仿宋_GB2312" w:hAnsi="仿宋_GB2312" w:cs="仿宋_GB2312" w:eastAsia="仿宋_GB2312"/>
                      <w:sz w:val="21"/>
                    </w:rPr>
                    <w:t>其他</w:t>
                  </w:r>
                </w:p>
                <w:p>
                  <w:pPr>
                    <w:pStyle w:val="null3"/>
                    <w:ind w:firstLine="600"/>
                    <w:jc w:val="both"/>
                  </w:pPr>
                  <w:r>
                    <w:rPr>
                      <w:rFonts w:ascii="仿宋_GB2312" w:hAnsi="仿宋_GB2312" w:cs="仿宋_GB2312" w:eastAsia="仿宋_GB2312"/>
                      <w:sz w:val="21"/>
                    </w:rPr>
                    <w:t>结合方案编制和汇报展示需要，绘制相关图件。</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1"/>
                    </w:rPr>
                    <w:t>三、成果形式与交付要求</w:t>
                  </w:r>
                </w:p>
                <w:p>
                  <w:pPr>
                    <w:pStyle w:val="null3"/>
                    <w:ind w:firstLine="560"/>
                    <w:jc w:val="both"/>
                  </w:pPr>
                  <w:r>
                    <w:rPr>
                      <w:rFonts w:ascii="仿宋_GB2312" w:hAnsi="仿宋_GB2312" w:cs="仿宋_GB2312" w:eastAsia="仿宋_GB2312"/>
                      <w:sz w:val="21"/>
                    </w:rPr>
                    <w:t>1、交付成果：供应商须提交《陕西省渭北旱塬生态保护与修复水资源保障方案》（含正式纸质版及电子版）。</w:t>
                  </w:r>
                </w:p>
                <w:p>
                  <w:pPr>
                    <w:pStyle w:val="null3"/>
                    <w:ind w:firstLine="560"/>
                    <w:jc w:val="both"/>
                  </w:pPr>
                  <w:r>
                    <w:rPr>
                      <w:rFonts w:ascii="仿宋_GB2312" w:hAnsi="仿宋_GB2312" w:cs="仿宋_GB2312" w:eastAsia="仿宋_GB2312"/>
                      <w:sz w:val="21"/>
                    </w:rPr>
                    <w:t>2、交付标准：提交的成果须通过采购人组织的验收。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整个项目的验收包括是否实现了采购人在响应文件中所要求的服务内容，是否与成交单位提出的解决方案完全一致。2、本项目的最终验收由采购人、成交单位共同进行。3、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进度款，签订本合同，达到付款条件起10个工作日内，支付合同总金额的40.0%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进度款，提交成果并通过验收后，达到付款条件起10个工作日内，支付合同总金额的60.0%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 (市财函[2021]431号)规定:供应商登记免费领取磋商文件的，如不参与项目磋商，应在提交磋商响应文件截止时间前一日以书面形式告知采购代理机构。否则，采购代理机构可以向财政部门反映情况并提供相应的佐证。供应商一年内累计出现三次该情形，将被监管部门记录为失信行为。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3、支付进度以第八章拟签订采购合同文本 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提供2025年度经审计的财务报告（包括审计报告、资产负债表、利润表、现金流量表、所有者权益变动表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供应商资格证明.docx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供应商资格证明.docx 陕西省政府采购供应商拒绝政府采购领域商业贿赂承诺书.docx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磋商响应文件的签字盖章符合采购文件要求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服务内容及服务要求应答表.docx 商务应答表.docx 响应函 服务方案.docx 陕西省政府采购供应商拒绝政府采购领域商业贿赂承诺书.docx 供应商资格证明.docx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一、评审内容： 对本项目的理解及认识方案，内容包含：①项目背景分析；②区域现状分析；③工作目的；④工作任务与提交成果。 二、评审标准： 1、完整性：对评审内容中的四项内容均有完整阐述，无缺项； 2、可实施性：整体思路、工作安排流程清晰、分工合理，具备落地执行条件； 三、赋分标准: ①项目背景分析（满分2分）：每完全满足一个评审标准得1分，基本满足（准确但分析较简略）得0.5分，不满足（错误或未分析）得0分；②区域现状分析（满分2分）：每完全满足一个评审标准得1分，基本满足（准确但分析较简略）得0.5分，不满足（错误或未分析）得0分；③工作目的（满分2分）：每完全满足一个评审标准得1分，基本满足（准确但分析较简略）得0.5分，不满足（错误或未分析）得0分；④工作任务与提交成果（满分2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对本项目工作方案及内容，内容包含： ①工作依据；②工作原则；③工作范围；④规划目标；⑤主要工作内容；⑥方案编制提纲。 二、评审标准： 1、完整性：对评审内容中的六项内容均有完整阐述，无缺项； 2、可实施性：实施方案步骤清晰、逻辑通顺，贴合本项目基本情况，具备落地执行条件，编制合理的方案； 3、针对性：方案能够紧扣本项目采购专属特点，紧扣项目实际情况，内容科学合理。 三、赋分标准: ①工作依据（满分3分）：每完全满足一个评审标准得1分，基本满足（准确但分析较简略）得0.5分，不满足（错误或未分析）得0分；②工作原则（满分3分）：每完全满足一个评审标准得1分，基本满足（准确但分析较简略）得0.5分，不满足（错误或未分析）得0分；③工作范围（满分3分）：每完全满足一个评审标准得1分，基本满足（准确但分析较简略）得0.5分，不满足（错误或未分析）得0分；④规划目标（满分3分）：每完全满足一个评审标准得1分，基本满足（准确但分析较简略）得0.5分，不满足（错误或未分析）得0分；⑤主要工作内容（满分3分）：每完全满足一个评审标准得1分，基本满足（准确但分析较简略）得0.5分，不满足（错误或未分析）得0分；⑥方案编制提纲（满分3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提供针对本项目的质量保障措施方案，内容包括但不限于：①质量管理体系；②质量保障措施等。 二、评审标准： 1、完整性：方案必须全面，对评审内容中的各项要求有详细描述； 2、可实施性：切合本项目实际情况，承诺内容务实、保障措施可行、实施计划步骤清晰合理； 三、赋分标准: ①质量管理体系（满分2分）：每完全满足一个评审标准得1分，基本满足（内容较全面但不够详尽）得0.5分，不满足（内容简单、描述粗略）得0分； ②质量保障措施（满分2分）：每完全满足一个评审标准得1分，基本满足（措施有框架但细节不足）得0.5分，不满足（无实施保障计划）得0分。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一、评审内容： 针对本项目提供进度方案，方案内容包括但不限于：①工作进度计划安排；②进度保证措施；③工作节点规划； 二、评审标准： 1、完整性：方案必须全面，对评审内容中的各项要求有详细描述； 2、可实施性：切合本项目实际情况，进度计划安排合理、保障进度措施可行、工作节点清晰，步骤明确可落地； 三、赋分标准: ①工作进度计划安排（满分2分）：每完全满足一个评审标准得1分，基本满足（进度安排基本合理但与实际贴合度一般）得0.5分，不满足（进度安排不合理）得0分； ②进度保证措施（满分2分）：每完全满足一个评审标准得1分，基本满足（有措施但不明确需协调）得0.5分，不满足（措施简单或未制定）得0分； ③工作节点规划（满分2分）：每完全满足一个评审标准得1分，基本满足（节点有规划但不够清晰）得0.5分，不满足（无节点规划）得0分。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针对本项目编制保密措施方案，有相应的保障细则，内容包含：①保密范围；②保密措施。 二、评审标准： 1、完整性：方案必须全面，对评审内容中的各项要求有详细描述； 2、可实施性：切合本项目实际情况，承诺内容务实、保密措施可行、保密措施计划步骤清晰合理； 三、赋分标准: ①保密范围（满分2分）：每完全满足一个评审标准得1分，基本满足（内容较全面但不够详尽）得0.5分，不满足（内容简单、描述粗略）得0分； ②保密措施（满分2分）：每完全满足一个评审标准得1分，基本满足（措施有框架但细节不足）得0.5分，不满足（无实施计划）得0分。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供应商拟投入项目负责人具备与本项目相关专业高级职称的得3分，中级职称得2分，其余不得分； 2、项目负责人硕士及以上学历4分；大学本科学历3分；大学专科学历2分。其他0分。 注：（1）响应文件中须提供项目负责人身份证、学历证、职称证、在职证明（证明人员与供应商具有劳动关系的证明材料，例如：包括但不限于劳动合同或社保缴纳证明复印件等。（2）相关专业涵盖水利类（水利水电、水文、水利信息工程）</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服务团队履约能力</w:t>
            </w:r>
          </w:p>
        </w:tc>
        <w:tc>
          <w:tcPr>
            <w:tcW w:type="dxa" w:w="2492"/>
          </w:tcPr>
          <w:p>
            <w:pPr>
              <w:pStyle w:val="null3"/>
            </w:pPr>
            <w:r>
              <w:rPr>
                <w:rFonts w:ascii="仿宋_GB2312" w:hAnsi="仿宋_GB2312" w:cs="仿宋_GB2312" w:eastAsia="仿宋_GB2312"/>
              </w:rPr>
              <w:t>团队人员配备（18分）（不含项目负责人），每配备一名相关专业中级职称人员得2分，高级职称得3分，本项累计最高18分。 注：1.须提供团队人员身份证、职称证、社保缴纳凭证复印件；2.相关专业为水利水电、水文、水利信息工程等水利类相关专业；</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提供2023年1月1日至响应文件递交截止之日供应商完成的类似项目，每提供一份得3分，满分15分。【注：以合同协议书首页、关键页、签字盖章页或中标通知书证明为准】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2.满足磋商文件要求且投标报价最低的为评标基准价，其价格分为满分。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详见附件：供应商认为需要提供的其它材料.docx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 术 服 务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