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版本号：SXZHZB2026-ZC057-GK20260821001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西安市2026年城市地价动态监测项目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SXZHZB2026-ZC057-GK</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西安市2026年城市地价动态监测项目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SXZHZB2026-ZC057-GK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西安市2026年城市地价动态监测项目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为全面落实自然资源部及省自然资源厅关于土地资源管理的部署要求，聚焦我市地价管理的关键环节，持续维护西安市地价监测体系，开展西安市2026年城市地价动态监测工作。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采购包1（西安市2026年城市地价动态监测项目）：属于专门面向中小企业采购。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1、法定代表人授权书/法定代表人身份证明：法定代表人授权书（附法定代表人、被授权人有效期内的身份证正反面复印件）（法定代表人直接参加投标，须提供法定代表人身份证明）；</w:t>
      </w:r>
    </w:p>
    <w:p>
      <w:pPr>
        <w:pStyle w:val="null3"/>
      </w:pPr>
      <w:r>
        <w:rPr>
          <w:rFonts w:ascii="仿宋_GB2312" w:hAnsi="仿宋_GB2312" w:cs="仿宋_GB2312" w:eastAsia="仿宋_GB2312"/>
        </w:rPr>
        <w:t>2、资质证书：供应商须提供行政主管部门出具的土地估价机构备案函；</w:t>
      </w:r>
    </w:p>
    <w:p>
      <w:pPr>
        <w:pStyle w:val="null3"/>
      </w:pPr>
      <w:r>
        <w:rPr>
          <w:rFonts w:ascii="仿宋_GB2312" w:hAnsi="仿宋_GB2312" w:cs="仿宋_GB2312" w:eastAsia="仿宋_GB2312"/>
        </w:rPr>
        <w:t>3、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采购包1：2,355,700.00元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项目完成后，供应商向采购人申请验收，采购人组织相关人员和专家组成验收小组对项目进行最终验收。验收依据为合同文本、招标文件、响应文件和国内相应的标准、规范。验收合格后，采购人填写终验验收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为全面落实自然资源部及省自然资源厅关于土地资源管理的部署要求，聚焦我市地价管理的关键环节，持续维护西安市地价监测体系，开展西安市2026年城市地价动态监测工作。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2,355,700.00</w:t>
      </w:r>
    </w:p>
    <w:p>
      <w:pPr>
        <w:pStyle w:val="null3"/>
      </w:pPr>
      <w:r>
        <w:rPr>
          <w:rFonts w:ascii="仿宋_GB2312" w:hAnsi="仿宋_GB2312" w:cs="仿宋_GB2312" w:eastAsia="仿宋_GB2312"/>
        </w:rPr>
        <w:t>采购包最高限价（元）: 2,355,700.00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西安市2026年城市地价动态监测项目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2,355,700.00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标的名称：西安市2026年城市地价动态监测项目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pPr>
            <w:r>
              <w:rPr>
                <w:rFonts w:ascii="仿宋_GB2312" w:hAnsi="仿宋_GB2312" w:cs="仿宋_GB2312" w:eastAsia="仿宋_GB2312"/>
              </w:rPr>
              <w:t>一、项目概况</w:t>
            </w:r>
          </w:p>
          <w:p>
            <w:pPr>
              <w:pStyle w:val="null3"/>
            </w:pPr>
            <w:r>
              <w:rPr>
                <w:rFonts w:ascii="仿宋_GB2312" w:hAnsi="仿宋_GB2312" w:cs="仿宋_GB2312" w:eastAsia="仿宋_GB2312"/>
              </w:rPr>
              <w:t>为全面落实自然资源部及省自然资源厅关于土地资源管理的部署要求，聚焦我市地价管理的关键环节，持续维护西安市地价监测体系，开展西安市2026年城市地价动态监测工作。</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根据地价监测工作要求，对全市商服、住宅和工业监测范围内全部监测点进行定期监测，汇总、统计、分析各类监测数据，测算地价波幅、地价指数，编写分析报告，形成季、年度监测成果，按季、年度向中国国土勘测规划院上报监测成果；开展年度商品房成本调查，形成西安市商品房成本构成调查表、报告，按年度向中国国土勘测规划院上报成果。</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按照自然资源部办公厅《关于调整完善城市地价动态监测工作有关事项的通知》（自然资办发〔2023〕35号）、《城市地价动态监测技术规范》（TD/T1009-2007）、《城镇土地估价规程》（GB/T18508-2014）技术要求开展工作。</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（一）熟悉国家自然资源领域相关政策和西安市地产市场。</w:t>
            </w:r>
          </w:p>
          <w:p>
            <w:pPr>
              <w:pStyle w:val="null3"/>
            </w:pPr>
            <w:r>
              <w:rPr>
                <w:rFonts w:ascii="仿宋_GB2312" w:hAnsi="仿宋_GB2312" w:cs="仿宋_GB2312" w:eastAsia="仿宋_GB2312"/>
              </w:rPr>
              <w:t>（二）熟悉国家地价监测技术规范和土地估价规程，具备土地估价能力。</w:t>
            </w:r>
          </w:p>
          <w:p>
            <w:pPr>
              <w:pStyle w:val="null3"/>
            </w:pPr>
            <w:r>
              <w:rPr>
                <w:rFonts w:ascii="仿宋_GB2312" w:hAnsi="仿宋_GB2312" w:cs="仿宋_GB2312" w:eastAsia="仿宋_GB2312"/>
              </w:rPr>
              <w:t>（三）保证技术服务成果科学、合理、准确，项目成果符合审查审批要求。</w:t>
            </w:r>
          </w:p>
          <w:p>
            <w:pPr>
              <w:pStyle w:val="null3"/>
            </w:pPr>
            <w:r>
              <w:rPr>
                <w:rFonts w:ascii="仿宋_GB2312" w:hAnsi="仿宋_GB2312" w:cs="仿宋_GB2312" w:eastAsia="仿宋_GB2312"/>
              </w:rPr>
              <w:t>（四）中标供应商在合同执行期间，提供相关培训，确保工作成果正确使用。</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（一）成果交付要求</w:t>
            </w:r>
          </w:p>
          <w:p>
            <w:pPr>
              <w:pStyle w:val="null3"/>
            </w:pPr>
            <w:r>
              <w:rPr>
                <w:rFonts w:ascii="仿宋_GB2312" w:hAnsi="仿宋_GB2312" w:cs="仿宋_GB2312" w:eastAsia="仿宋_GB2312"/>
              </w:rPr>
              <w:t>成果根据工作要求定期上报电子及纸质成果，并通过甲方审核。成果包括季度成果、年度成果、商品房成本构成调查成果三部分。</w:t>
            </w:r>
          </w:p>
          <w:p>
            <w:pPr>
              <w:pStyle w:val="null3"/>
            </w:pPr>
            <w:r>
              <w:rPr>
                <w:rFonts w:ascii="仿宋_GB2312" w:hAnsi="仿宋_GB2312" w:cs="仿宋_GB2312" w:eastAsia="仿宋_GB2312"/>
              </w:rPr>
              <w:t>（二）质量验收标准或规范</w:t>
            </w:r>
          </w:p>
          <w:p>
            <w:pPr>
              <w:pStyle w:val="null3"/>
            </w:pPr>
            <w:r>
              <w:rPr>
                <w:rFonts w:ascii="仿宋_GB2312" w:hAnsi="仿宋_GB2312" w:cs="仿宋_GB2312" w:eastAsia="仿宋_GB2312"/>
              </w:rPr>
              <w:t>1.自然资源部办公厅《关于调整完善城市地价动态监测工作有关事项的通知》（自然资办发〔2023〕35号）</w:t>
            </w:r>
          </w:p>
          <w:p>
            <w:pPr>
              <w:pStyle w:val="null3"/>
            </w:pPr>
            <w:r>
              <w:rPr>
                <w:rFonts w:ascii="仿宋_GB2312" w:hAnsi="仿宋_GB2312" w:cs="仿宋_GB2312" w:eastAsia="仿宋_GB2312"/>
              </w:rPr>
              <w:t>2.《城市地价动态监测技术规范》（TD/T1009-2007）</w:t>
            </w:r>
          </w:p>
          <w:p>
            <w:pPr>
              <w:pStyle w:val="null3"/>
            </w:pPr>
            <w:r>
              <w:rPr>
                <w:rFonts w:ascii="仿宋_GB2312" w:hAnsi="仿宋_GB2312" w:cs="仿宋_GB2312" w:eastAsia="仿宋_GB2312"/>
              </w:rPr>
              <w:t>3.《城镇土地估价规程》（GB/T18508-2014）</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项目服务期为一年，自2026年12月至2027年11月，具体以合同为准。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项目完成后，供应商向采购人申请验收，采购人组织相关人员和专家组成验收小组对项目进行最终验收。验收依据为合同文本、招标文件、响应文件和国内相应的标准、规范。验收合格后，采购人填写终验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项目服务周期过半时，达到付款条件起10个工作日内，支付合同总金额的40.0%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进度款，项目成果通过验收，达到付款条件起10个工作日内，支付合同总金额的20.0%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若乙方未能在双方约定的时间内出具相关成果，应在逾期后5个自然日内完成，同时承担因此而造成的违约金，违约金为：每逾期一天承担合同总价款的千分之二。逾期超过10天的，甲方有权单方解除合同，甲方据此解除本合同的，乙方应退还已支付的所有款项，支付合同总价款20%的违约金，并赔偿给甲方造成的所有损失。 （二）乙方对涉及密级业务的技术资料、数据、保密信息等进行严格保密，一旦泄密，需承担相应法律责任。 （三）乙方未按合同要求履行义务，且经甲方要求仍拒不改正的，应按合同总价款的20%向甲方支付违约金，甲方有权单方面解除合同。甲方据此解除本合同的，乙方应承担本合同总金额20％的违约金，给甲方造成的损失，乙方应及时、足额的赔偿。 （四）乙方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并要求乙方承担违约责任。同时，政府采购监管部门有权依据《政府采购法》及相关法律法规对乙方的违法行为进行相应的处罚。 （五）乙方未经甲方书面同意擅自对服务项目进行转包、分包的,甲方有权单方解除合同，甲方解除合同的，乙方应向甲方支付本合同总金额20%的违约金，还应赔偿由此给甲方造成的所有损失。 （六）本合同项下，若乙方违约，给甲方造成的损失，范围包括给甲方造成的实际损失、可预期利益、因委托第三方而支付的费用，以及甲方因维权所产生的诉讼费、律师费、公证费、保全费、差旅费等全部相关费用。</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1.合同总价一次性包死，不受市场价格变化和税率变化等因素的影响。 2.供应商应在报价表中标明完成本次投标所要求内容且验收合格的所有费用，包括但不限于人工费、成果费以及验收费，税金、采购代理费等其他一切相关费用，是完成本项目所有服务内容的价格体现，任何有选择的报价将不予接受，否则按无效投标处理。 2.项目属性：服务 3.本项目所属行业为：其他未列明行业。从业人员300人以下的为中小微型企业。其中，从业人员100人及以上的为中型企业；从业人员10人及以上的为小型企业；从业人员10人以下的为微型企业。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招标文件的，如不参与项目，应在递交投标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2、提供投标截止时间前6个月内任意时段的依法缴纳税收的相关凭据（时间以税款所属日期为准），依法免税或无须缴纳税收的供应商应提供相关证明材料； 3、提供投标截止时间前6个月内任意时段的社会保障资金的相关材料，依法不需要缴纳社会保障金的供应商，需具有社保部门出具的证明文件；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法定代表人授权书（附法定代表人、被授权人有效期内的身份证正反面复印件）（法定代表人直接参加投标，须提供法定代表人身份证明）；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供应商须提供行政主管部门出具的土地估价机构备案函；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分项报价表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应满足招标文件中要求的服务地点</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总体思路及保障措施</w:t>
            </w:r>
          </w:p>
        </w:tc>
        <w:tc>
          <w:tcPr>
            <w:tcW w:type="dxa" w:w="2492"/>
          </w:tcPr>
          <w:p>
            <w:pPr>
              <w:pStyle w:val="null3"/>
            </w:pPr>
            <w:r>
              <w:rPr>
                <w:rFonts w:ascii="仿宋_GB2312" w:hAnsi="仿宋_GB2312" w:cs="仿宋_GB2312" w:eastAsia="仿宋_GB2312"/>
              </w:rPr>
              <w:t>一、评审内容 提出针对本项目的总体思路及保障措施，内容包括： 1、明确本次项目编制的任务要求、目的作用、核心内容； 2、对重点、难点进行分析总结； 3、有针对性的提出对策和解决思路。 4、总体思路； 5、技术路线； 6、预期成果； 7、质量保障措施； 8、技术服务保障措施。 二、评审标准 1、完整性：内容全面，对评审内容中的各项要求有详细描述及说明； 2、可实施性：符合本项目实际情况，面向实施，分析思路清晰，切实可行； 3、针对性：能够紧扣项目特征，内容科学合理。 三、赋分标准（满分 24 分） ①明确本次项目监测的任务要求、目的作用、核心内容：每完全满足一项评审标准1.0分，有瑕疵得0.5分，满分3.0分； ②对重点、难点进行分析总结：每完全满足一项评审标准1.0分，有瑕疵得0.5分，满分3.0分； ③有针对性的提出对策和解决思路：每完全满足一项评审标准1.0分，有瑕疵得0.5分，满分3.0分。 ④总体思路：每完全满足一项评审标准1.0分，有瑕疵得0.5分，满分3.0分； ⑤技术路线：每完全满足一项评审标准1.0分，有瑕疵得0.5分，满分3.0分； ⑥预期成果：每完全满足一项评审标准1.0分，有瑕疵得0.5分，满分3.0分； ⑦质量保障措施：每完全满足一项评审标准1.0分，有瑕疵得0.5分，满分3.0分； ⑧技术服务保障措施：每完全满足一项评审标准1.0分，有瑕疵得0.5分，满分3.0分。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提出针对本项目的总体方案，内容包括： 1、工作内容； 2、工作方法； 3、工作组织； 4、质量检查； 5、进度计划。 二、评审标准 1、完整性：内容全面，对评审内容中的各项要求有详细描述及说明； 2、可实施性：符合本项目实际情况，面向实施，分析思路清晰，切实可行； 3、针对性：能够紧扣项目特征，内容科学合理。 三、赋分标准（满分 15 分） ①工作内容：每完全满足一项评审标准1.0分，有瑕疵得0.5分，满分3.0分； ②工作方法：每完全满足一项评审标准1.0分，有瑕疵得0.5分，满分3.0分； ③工作组织：每完全满足一项评审标准1.0分，有瑕疵得0.5分，满分3.0分； ④质量检查：每完全满足一项评审标准1.0分，有瑕疵得0.5分，满分3.0分； ⑤进度计划：每完全满足一项评审标准1.0分，有瑕疵得0.5分，满分3.0分。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能够完成本项目工作的服务承诺，包括①对本项目进度、时限、成果文件质量等做出承诺；②对服务时限内团队稳定性、人员到位情况等相关内容做出承诺；③数据准确性承诺。④设施设备配备符合项目需求且项目实施期间设备全程投入本项目使用，不得外借、挪用。每提供一项承诺得3分，最高得12分。 评审标准：以承诺函加盖公章为准。未提供不得分。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1.项目负责人具备高级职称的得3分，具备相关专业中级职称的得1分，其他不得分。 2.项目负责人具备10年以上工作经验的得2分；5年以上工作经验的得1分。其他不得分。 评审标准：①提供负责人职称证等复印件加盖公章，及截止投标前近3个月内任意一个月本单位社保缴纳证明，依法不需要缴纳社会保障资金的，应当提供相应证明文件，否则不得分；②提供负责人从业经验佐证材料（劳动合同/项目任职证明/过往服务合同），材料能印证岗位工作经验方可得分，缺项、材料无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拟投入项目团队人员能力</w:t>
            </w:r>
          </w:p>
        </w:tc>
        <w:tc>
          <w:tcPr>
            <w:tcW w:type="dxa" w:w="2492"/>
          </w:tcPr>
          <w:p>
            <w:pPr>
              <w:pStyle w:val="null3"/>
            </w:pPr>
            <w:r>
              <w:rPr>
                <w:rFonts w:ascii="仿宋_GB2312" w:hAnsi="仿宋_GB2312" w:cs="仿宋_GB2312" w:eastAsia="仿宋_GB2312"/>
              </w:rPr>
              <w:t>1.项目组成员(除项目负责人外)，具备高级职称的，每人得2分；最高得4分； 2.具备中级及以上职称的，每提供一人得1分，最高得2分； 3.项目组成员具有土地估价师证书的，每提供一个计0.5分，最高得10分。 评审标准：所有人员分值累加，职称类证书同一人不得重复计分。提供人员有效的土地估价师证书或职称证等复印件加盖公章,及项目人员截止投标前近3个月内任意一个月本单位社保缴纳证明，依法不需要缴纳社会保障资金的，应当提供相应证明文件，否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供应商提供2023年1月1日至今类似项目业绩合同（以合同签订时间为准）；一个业绩得3分，最高得18分。 评审依据：提供合同复印件并加盖公章。未提供不得分。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