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版本号：ZY2025-ZB-DY114220260603001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市级机关凤城九路办公区2号楼办公（业务）用房租赁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ZY2025-ZB-DY1142</w:t>
      </w:r>
      <w:r>
        <w:br/>
      </w:r>
      <w:r>
        <w:br/>
      </w:r>
      <w:r>
        <w:br/>
      </w:r>
    </w:p>
    <w:p>
      <w:pPr>
        <w:pStyle w:val="null3"/>
        <w:jc w:val="center"/>
        <w:outlineLvl w:val="5"/>
      </w:pPr>
      <w:r>
        <w:rPr>
          <w:rFonts w:ascii="仿宋_GB2312" w:hAnsi="仿宋_GB2312" w:cs="仿宋_GB2312" w:eastAsia="仿宋_GB2312"/>
          <w:sz w:val="15"/>
          <w:b/>
        </w:rPr>
        <w:t>西安市集中办公区综合管理中心</w:t>
      </w:r>
    </w:p>
    <w:p>
      <w:pPr>
        <w:pStyle w:val="null3"/>
        <w:jc w:val="center"/>
        <w:outlineLvl w:val="5"/>
      </w:pPr>
      <w:r>
        <w:rPr>
          <w:rFonts w:ascii="仿宋_GB2312" w:hAnsi="仿宋_GB2312" w:cs="仿宋_GB2312" w:eastAsia="仿宋_GB2312"/>
          <w:sz w:val="15"/>
          <w:b/>
        </w:rPr>
        <w:t>陕西正翼项目管理咨询有限公司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西安市集中办公区综合管理中心</w:t>
      </w:r>
      <w:r>
        <w:rPr>
          <w:rFonts w:ascii="仿宋_GB2312" w:hAnsi="仿宋_GB2312" w:cs="仿宋_GB2312" w:eastAsia="仿宋_GB2312"/>
        </w:rPr>
        <w:t>委托，拟对</w:t>
      </w:r>
      <w:r>
        <w:rPr>
          <w:rFonts w:ascii="仿宋_GB2312" w:hAnsi="仿宋_GB2312" w:cs="仿宋_GB2312" w:eastAsia="仿宋_GB2312"/>
        </w:rPr>
        <w:t>市级机关凤城九路办公区2号楼办公（业务）用房租赁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ZY2025-ZB-DY1142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市级机关凤城九路办公区2号楼办公（业务）用房租赁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市级机关凤城九路办公区2号楼办公（业务）用房租赁</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采购包1（市级机关凤城九路办公区2号楼办公（业务）用房租赁）：属于专门面向中小企业采购。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2、财务状况报告：提供2024年度或2025年度经审计的完整财务报告或协商日期前三个月内其基本存款账户开户银行出具的资信证明。（如提供资信证明，须同时提供基本存款账户开户许可证或基本账户信息表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3、税收缴纳证明：提供响应文件提交截止时间前一年内已缴纳的至少一个月的税收缴纳证明（时间以税款所属日期为准），依法免税的单位应提供相关证明材料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响应文件提交截止时间前一年内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5、具备履行合同所必须的设备和专业技术能力：具备履行合同所必须的设备和专业技术能力的书面声明</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8、授权委托书：法定代表人授权委托书、被授权人身份证（法定代表人参加协商时,只需提供法定代表人身份证）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西安市集中办公区综合管理中心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西安市集中办公区综合管理中心经办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029-67095653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冯丹、卫现、张晶、刘英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029-86210100-607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采购包1：44,934,066.79元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采购包1：44,934,066.79元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代理服务费收费标准：定额收取人民币壹拾万零壹仟玖佰元整（¥101900.00）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西安市集中办公区综合管理中心</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西安市集中办公区综合管理中心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（1）单一来源文件、单一来源响应文件、澄清表（函）；（2）本合同及附件文本；（3）合同签订时国家及行业现行的标准和技术规范。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市级机关凤城九路办公区2号楼办公（业务）用房租赁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44,934,066.79</w:t>
      </w:r>
    </w:p>
    <w:p>
      <w:pPr>
        <w:pStyle w:val="null3"/>
      </w:pPr>
      <w:r>
        <w:rPr>
          <w:rFonts w:ascii="仿宋_GB2312" w:hAnsi="仿宋_GB2312" w:cs="仿宋_GB2312" w:eastAsia="仿宋_GB2312"/>
        </w:rPr>
        <w:t>采购包最高限价（元）: 44,934,066.79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市级机关凤城九路办公区2号楼办公（业务）用房租赁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44,934,066.79</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标的名称：市级机关凤城九路办公区2号楼办公（业务）用房租赁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为满足市级机关凤城九路办公区（2号楼）办公(业务)需求，经市政府批准同意，租用西安市凤城九路139号长安国金中心（2号楼）作为市级机关凤城九路办公区2号楼办公（业务）用房，区域面积19613.32平方米，租期为29个月。</w:t>
            </w:r>
          </w:p>
          <w:p>
            <w:pPr>
              <w:pStyle w:val="null3"/>
              <w:ind w:firstLine="402"/>
            </w:pPr>
            <w:r>
              <w:rPr>
                <w:rFonts w:ascii="仿宋_GB2312" w:hAnsi="仿宋_GB2312" w:cs="仿宋_GB2312" w:eastAsia="仿宋_GB2312"/>
                <w:b/>
              </w:rPr>
              <w:t>二、租赁标的</w:t>
            </w:r>
          </w:p>
          <w:p>
            <w:pPr>
              <w:pStyle w:val="null3"/>
              <w:ind w:firstLine="400"/>
            </w:pPr>
            <w:r>
              <w:rPr>
                <w:rFonts w:ascii="仿宋_GB2312" w:hAnsi="仿宋_GB2312" w:cs="仿宋_GB2312" w:eastAsia="仿宋_GB2312"/>
              </w:rPr>
              <w:t>市级机关凤城九路办公区（2号楼）办公(业务)用房：西安市凤城九路139号长安国金中心2号楼。</w:t>
            </w:r>
          </w:p>
          <w:p>
            <w:pPr>
              <w:pStyle w:val="null3"/>
              <w:ind w:firstLine="402"/>
            </w:pPr>
            <w:r>
              <w:rPr>
                <w:rFonts w:ascii="仿宋_GB2312" w:hAnsi="仿宋_GB2312" w:cs="仿宋_GB2312" w:eastAsia="仿宋_GB2312"/>
                <w:b/>
              </w:rPr>
              <w:t>三、服务要求</w:t>
            </w:r>
          </w:p>
          <w:p>
            <w:pPr>
              <w:pStyle w:val="null3"/>
              <w:ind w:firstLine="400"/>
            </w:pPr>
            <w:r>
              <w:rPr>
                <w:rFonts w:ascii="仿宋_GB2312" w:hAnsi="仿宋_GB2312" w:cs="仿宋_GB2312" w:eastAsia="仿宋_GB2312"/>
              </w:rPr>
              <w:t>（一）成交单位须根据采购单位使用需求提供装修方案，装修方案应当完全符合国家相关装修规范和《党政机关办公用房建设标准》《党政机关办公用房管理办法》《西安市市级党政机关办公（业务）用房租用管理暂行规定》中相关规定。</w:t>
            </w:r>
          </w:p>
          <w:p>
            <w:pPr>
              <w:pStyle w:val="null3"/>
              <w:ind w:firstLine="400"/>
            </w:pPr>
            <w:r>
              <w:rPr>
                <w:rFonts w:ascii="仿宋_GB2312" w:hAnsi="仿宋_GB2312" w:cs="仿宋_GB2312" w:eastAsia="仿宋_GB2312"/>
              </w:rPr>
              <w:t>（二）成交单位须根据采购单位确定的装饰、装修方案组织实施租赁房屋内部装饰装修的设计、施工，因此而产生的设计费、物料费、施工费等所有费用由成交单位承担。</w:t>
            </w:r>
          </w:p>
          <w:p>
            <w:pPr>
              <w:pStyle w:val="null3"/>
              <w:ind w:firstLine="400"/>
            </w:pPr>
            <w:r>
              <w:rPr>
                <w:rFonts w:ascii="仿宋_GB2312" w:hAnsi="仿宋_GB2312" w:cs="仿宋_GB2312" w:eastAsia="仿宋_GB2312"/>
              </w:rPr>
              <w:t>（三）成交单位须根据采购单位的实际使用需求，依据《西安市市级行政事业单位通用办公设备及家具配置标准（2022年版）》为所出租房屋内配备办公家具，由此所产生的相关费用由成交单位承担。</w:t>
            </w:r>
          </w:p>
          <w:p>
            <w:pPr>
              <w:pStyle w:val="null3"/>
              <w:ind w:firstLine="400"/>
            </w:pPr>
            <w:r>
              <w:rPr>
                <w:rFonts w:ascii="仿宋_GB2312" w:hAnsi="仿宋_GB2312" w:cs="仿宋_GB2312" w:eastAsia="仿宋_GB2312"/>
              </w:rPr>
              <w:t>（四）在租赁期限内成交单位应保证所出租房屋的正常使用。成交单位须承担房屋主体结构、给排水管道、取暖设施设备、电力设施设备等相关配套设施设备的维修和保养。对租赁物因质量问题或装修问题影响采购单位正常使用或造成的安全隐患(包括但不限于房屋及附属设施和设备的不能正常使用、损坏、漏水、线路出现问题等)负责。发生问题时，须及时安排人员维修，保证在当天内恢复正常使用状态。</w:t>
            </w:r>
          </w:p>
          <w:p>
            <w:pPr>
              <w:pStyle w:val="null3"/>
              <w:ind w:firstLine="400"/>
            </w:pPr>
            <w:r>
              <w:rPr>
                <w:rFonts w:ascii="仿宋_GB2312" w:hAnsi="仿宋_GB2312" w:cs="仿宋_GB2312" w:eastAsia="仿宋_GB2312"/>
              </w:rPr>
              <w:t>（五）在租赁期限内成交单位须按要求配齐消防设施设备,并负责所有消防设施设备的维修，确保采购单位的正常使用。</w:t>
            </w:r>
          </w:p>
          <w:p>
            <w:pPr>
              <w:pStyle w:val="null3"/>
              <w:ind w:firstLine="400"/>
            </w:pPr>
            <w:r>
              <w:rPr>
                <w:rFonts w:ascii="仿宋_GB2312" w:hAnsi="仿宋_GB2312" w:cs="仿宋_GB2312" w:eastAsia="仿宋_GB2312"/>
              </w:rPr>
              <w:t>（六）成交单位须按照采购单位要求做好智能化节能系统(包含但不限于灯光、空调、能耗数据统计、分析及管理等智能化信息平台)建设，满足节约型机关建设要求，由此所产生的相关费用由成交单位承担。</w:t>
            </w:r>
          </w:p>
          <w:p>
            <w:pPr>
              <w:pStyle w:val="null3"/>
              <w:ind w:firstLine="400"/>
            </w:pPr>
            <w:r>
              <w:rPr>
                <w:rFonts w:ascii="仿宋_GB2312" w:hAnsi="仿宋_GB2312" w:cs="仿宋_GB2312" w:eastAsia="仿宋_GB2312"/>
              </w:rPr>
              <w:t>（七）成交单位须按照采购单位要求做好新能源光伏系统及配套设施设备建设，由此所产生的相关费用由成交单位承担。</w:t>
            </w:r>
          </w:p>
          <w:p>
            <w:pPr>
              <w:pStyle w:val="null3"/>
              <w:ind w:firstLine="400"/>
            </w:pPr>
            <w:r>
              <w:rPr>
                <w:rFonts w:ascii="仿宋_GB2312" w:hAnsi="仿宋_GB2312" w:cs="仿宋_GB2312" w:eastAsia="仿宋_GB2312"/>
              </w:rPr>
              <w:t>（八）成交单位须按照采购单位要求做好能源费用托管及其他与此有关的各项工作，由此所产生的相关费用由成交单位承担。</w:t>
            </w:r>
          </w:p>
          <w:p>
            <w:pPr>
              <w:pStyle w:val="null3"/>
              <w:ind w:firstLine="400"/>
            </w:pPr>
            <w:r>
              <w:rPr>
                <w:rFonts w:ascii="仿宋_GB2312" w:hAnsi="仿宋_GB2312" w:cs="仿宋_GB2312" w:eastAsia="仿宋_GB2312"/>
              </w:rPr>
              <w:t>（九）成交单位需按照采购单位要求做好门禁系统及配套硬件设施采购与建设工作，由此所产生的相关费用由成交单位承担，公共资源交易中心利旧设备不纳入采购范围，如需调整以实际所需为准（利旧设备清单详见附件一）。</w:t>
            </w:r>
          </w:p>
          <w:p>
            <w:pPr>
              <w:pStyle w:val="null3"/>
              <w:ind w:firstLine="400"/>
            </w:pPr>
            <w:r>
              <w:rPr>
                <w:rFonts w:ascii="仿宋_GB2312" w:hAnsi="仿宋_GB2312" w:cs="仿宋_GB2312" w:eastAsia="仿宋_GB2312"/>
              </w:rPr>
              <w:t>（十）成交单位需按照采购单位要求做好门禁系统及配套硬件设施的日常维护工作，由此所产生的相关费用由成交单位承担。</w:t>
            </w:r>
          </w:p>
          <w:p>
            <w:pPr>
              <w:pStyle w:val="null3"/>
              <w:ind w:firstLine="400"/>
            </w:pPr>
            <w:r>
              <w:rPr>
                <w:rFonts w:ascii="仿宋_GB2312" w:hAnsi="仿宋_GB2312" w:cs="仿宋_GB2312" w:eastAsia="仿宋_GB2312"/>
              </w:rPr>
              <w:t>（十一）成交单位需按照采购单位要求做好公共资源交易中心利旧设备日常管理工作，由此所产生的相关费用由公共资源交易中心自行承担。</w:t>
            </w:r>
          </w:p>
          <w:p>
            <w:pPr>
              <w:pStyle w:val="null3"/>
              <w:ind w:firstLine="400"/>
            </w:pPr>
            <w:r>
              <w:rPr>
                <w:rFonts w:ascii="仿宋_GB2312" w:hAnsi="仿宋_GB2312" w:cs="仿宋_GB2312" w:eastAsia="仿宋_GB2312"/>
              </w:rPr>
              <w:t>（十二）成交单位须按照采购单位要求做好智联机关配套设施建设，由此而产生的相关费用由成交单位承担。</w:t>
            </w:r>
          </w:p>
          <w:p>
            <w:pPr>
              <w:pStyle w:val="null3"/>
              <w:ind w:firstLine="400"/>
            </w:pPr>
            <w:r>
              <w:rPr>
                <w:rFonts w:ascii="仿宋_GB2312" w:hAnsi="仿宋_GB2312" w:cs="仿宋_GB2312" w:eastAsia="仿宋_GB2312"/>
              </w:rPr>
              <w:t>（十三）成交单位须按照采购单位要求做好信息化运维管理界面日常维护工作。（详见附件二）</w:t>
            </w:r>
          </w:p>
          <w:p>
            <w:pPr>
              <w:pStyle w:val="null3"/>
              <w:ind w:firstLine="400"/>
            </w:pPr>
            <w:r>
              <w:rPr>
                <w:rFonts w:ascii="仿宋_GB2312" w:hAnsi="仿宋_GB2312" w:cs="仿宋_GB2312" w:eastAsia="仿宋_GB2312"/>
              </w:rPr>
              <w:t>（十四）成交单位须按照采购单位要求做好区域各楼层机房的配电、消防、监控、空调，以及政务网络设备资产和硬件运维工作，由此而产生的相关费用由成交单位承担。</w:t>
            </w:r>
          </w:p>
          <w:p>
            <w:pPr>
              <w:pStyle w:val="null3"/>
              <w:ind w:firstLine="400"/>
            </w:pPr>
            <w:r>
              <w:rPr>
                <w:rFonts w:ascii="仿宋_GB2312" w:hAnsi="仿宋_GB2312" w:cs="仿宋_GB2312" w:eastAsia="仿宋_GB2312"/>
              </w:rPr>
              <w:t>（十五）成交单位须按照采购单位要求做好会议及系统配套设施建设，由此而产生的相关费用由成交单位承担。</w:t>
            </w:r>
          </w:p>
          <w:p>
            <w:pPr>
              <w:pStyle w:val="null3"/>
              <w:ind w:firstLine="400"/>
            </w:pPr>
            <w:r>
              <w:rPr>
                <w:rFonts w:ascii="仿宋_GB2312" w:hAnsi="仿宋_GB2312" w:cs="仿宋_GB2312" w:eastAsia="仿宋_GB2312"/>
              </w:rPr>
              <w:t>（十六）成交单位须按照采购单位要求做好规范化、信息化智能停车场建设，由此而产生的相关费用由成交单位承担。</w:t>
            </w:r>
          </w:p>
          <w:p>
            <w:pPr>
              <w:pStyle w:val="null3"/>
              <w:ind w:firstLine="400"/>
            </w:pPr>
            <w:r>
              <w:rPr>
                <w:rFonts w:ascii="仿宋_GB2312" w:hAnsi="仿宋_GB2312" w:cs="仿宋_GB2312" w:eastAsia="仿宋_GB2312"/>
              </w:rPr>
              <w:t>（十七）成交单位须按照采购单位要求做好所需的增值服务（楼内专有部分咨询服务、入户保洁服务、入户秩序维护服务等），由此而产生的相关费用由成交单位承担。</w:t>
            </w:r>
          </w:p>
          <w:p>
            <w:pPr>
              <w:pStyle w:val="null3"/>
              <w:ind w:firstLine="400"/>
            </w:pPr>
            <w:r>
              <w:rPr>
                <w:rFonts w:ascii="仿宋_GB2312" w:hAnsi="仿宋_GB2312" w:cs="仿宋_GB2312" w:eastAsia="仿宋_GB2312"/>
              </w:rPr>
              <w:t>（十八）成交单位需以采购单位的考核结果为依据，支付增值服务费用。并向采购单位提供相关凭证，若未能提供相关凭证，采购单位有权在下一支付周期扣除相关费用。</w:t>
            </w:r>
          </w:p>
          <w:p>
            <w:pPr>
              <w:pStyle w:val="null3"/>
              <w:ind w:firstLine="400"/>
            </w:pPr>
            <w:r>
              <w:rPr>
                <w:rFonts w:ascii="仿宋_GB2312" w:hAnsi="仿宋_GB2312" w:cs="仿宋_GB2312" w:eastAsia="仿宋_GB2312"/>
              </w:rPr>
              <w:t>（十九）成交单位须全力配合采购单位，做好办公用房调整过程中涉及的装饰装修及修缮工程相关工作。</w:t>
            </w:r>
          </w:p>
          <w:p>
            <w:pPr>
              <w:pStyle w:val="null3"/>
              <w:ind w:firstLine="400"/>
            </w:pPr>
            <w:r>
              <w:rPr>
                <w:rFonts w:ascii="仿宋_GB2312" w:hAnsi="仿宋_GB2312" w:cs="仿宋_GB2312" w:eastAsia="仿宋_GB2312"/>
              </w:rPr>
              <w:t>（二十）成交单位须按照采购单位要求做好高压增容双回路电路改造,由此而产生的相关费用由成交单位承担。</w:t>
            </w:r>
          </w:p>
          <w:p>
            <w:pPr>
              <w:pStyle w:val="null3"/>
              <w:ind w:firstLine="400"/>
            </w:pPr>
            <w:r>
              <w:rPr>
                <w:rFonts w:ascii="仿宋_GB2312" w:hAnsi="仿宋_GB2312" w:cs="仿宋_GB2312" w:eastAsia="仿宋_GB2312"/>
              </w:rPr>
              <w:t>（二十一）成交单位每年须对所出租房屋进行一次甲醛检测，并出具检测报告;甲醛检测不合格时，成交单位须对所出租房屋进行甲醛治理，治理完成后进行甲醛检测，并出具检测报告。</w:t>
            </w:r>
          </w:p>
          <w:p>
            <w:pPr>
              <w:pStyle w:val="null3"/>
              <w:ind w:firstLine="400"/>
            </w:pPr>
            <w:r>
              <w:rPr>
                <w:rFonts w:ascii="仿宋_GB2312" w:hAnsi="仿宋_GB2312" w:cs="仿宋_GB2312" w:eastAsia="仿宋_GB2312"/>
              </w:rPr>
              <w:t>（二十二）入住后采购单位为完善使用功能而提出的房屋改造、设施设备装配、家具配备等费用均由成交单位承担。</w:t>
            </w:r>
          </w:p>
          <w:p>
            <w:pPr>
              <w:pStyle w:val="null3"/>
              <w:ind w:firstLine="400"/>
            </w:pPr>
            <w:r>
              <w:rPr>
                <w:rFonts w:ascii="仿宋_GB2312" w:hAnsi="仿宋_GB2312" w:cs="仿宋_GB2312" w:eastAsia="仿宋_GB2312"/>
              </w:rPr>
              <w:t>（二十三）如因房屋有严重的质量问题或法律权属上的瑕疵，影响正常使用，采购单位有权直接解除合同。</w:t>
            </w:r>
          </w:p>
          <w:p>
            <w:pPr>
              <w:pStyle w:val="null3"/>
              <w:ind w:firstLine="400"/>
            </w:pPr>
            <w:r>
              <w:rPr>
                <w:rFonts w:ascii="仿宋_GB2312" w:hAnsi="仿宋_GB2312" w:cs="仿宋_GB2312" w:eastAsia="仿宋_GB2312"/>
              </w:rPr>
              <w:t>（二十四）成交单位须对租赁期内所出租房屋主体、设施设备、消防安全等负安全管理责任:租赁期内所出租房屋主体、设施设备和消防的(包括但不限于设施设备添配、消防系统检测、消防改造、消防备案等)维修、改造、更换、添配等相关事宜均由成交单位负责。</w:t>
            </w:r>
          </w:p>
          <w:p>
            <w:pPr>
              <w:pStyle w:val="null3"/>
              <w:ind w:firstLine="400"/>
            </w:pPr>
            <w:r>
              <w:rPr>
                <w:rFonts w:ascii="仿宋_GB2312" w:hAnsi="仿宋_GB2312" w:cs="仿宋_GB2312" w:eastAsia="仿宋_GB2312"/>
              </w:rPr>
              <w:t>（二十五）成交单位须按照采购单位确定的时间节点保质保量完成该办公楼的室内外装修、办公家具配置和设施设备安装；采购单位可按照《长安国金中心2号楼装修改造项目考核办法》和《长安国金中心2号楼装修改造项目考核细则》对成交单位对办公楼的室内外装修、办公家具配置和设施设备安装的完成进度、完成质量、施工现场管理、安全管理等内容进行考评打分。</w:t>
            </w:r>
          </w:p>
          <w:p>
            <w:pPr>
              <w:pStyle w:val="null3"/>
              <w:ind w:firstLine="400"/>
            </w:pPr>
            <w:r>
              <w:rPr>
                <w:rFonts w:ascii="仿宋_GB2312" w:hAnsi="仿宋_GB2312" w:cs="仿宋_GB2312" w:eastAsia="仿宋_GB2312"/>
              </w:rPr>
              <w:t>（二十六）该办公楼主体结构维修、楼体附属设施设备维修更换添配、办公家具维修更换添配等费用由成交单位承担，以上维修作业由成交单位委托物业服务企业组织实施。办公区公共区域及户内维修，维修费用＜3000元的由物业服务企业负责，维修费用≥3000元的由成交单位负责，维修作业由物业服务企业组织实施。</w:t>
            </w:r>
          </w:p>
          <w:p>
            <w:pPr>
              <w:pStyle w:val="null3"/>
              <w:ind w:firstLine="400"/>
            </w:pPr>
            <w:r>
              <w:rPr>
                <w:rFonts w:ascii="仿宋_GB2312" w:hAnsi="仿宋_GB2312" w:cs="仿宋_GB2312" w:eastAsia="仿宋_GB2312"/>
              </w:rPr>
              <w:t>（二十七）车辆停放</w:t>
            </w:r>
          </w:p>
          <w:p>
            <w:pPr>
              <w:pStyle w:val="null3"/>
              <w:ind w:firstLine="400"/>
            </w:pPr>
            <w:r>
              <w:rPr>
                <w:rFonts w:ascii="仿宋_GB2312" w:hAnsi="仿宋_GB2312" w:cs="仿宋_GB2312" w:eastAsia="仿宋_GB2312"/>
              </w:rPr>
              <w:t>1、机动车辆停放</w:t>
            </w:r>
          </w:p>
          <w:p>
            <w:pPr>
              <w:pStyle w:val="null3"/>
              <w:ind w:firstLine="400"/>
            </w:pPr>
            <w:r>
              <w:rPr>
                <w:rFonts w:ascii="仿宋_GB2312" w:hAnsi="仿宋_GB2312" w:cs="仿宋_GB2312" w:eastAsia="仿宋_GB2312"/>
              </w:rPr>
              <w:t>(1)成交单位需在凤城九路办公区临近区域规划建设停车场，停车场固定停车泊位数量不少于400个，项目竣工验收合格后将管理权移交至租赁方管理，该停车场用于保障2号楼干部职工停车使用。</w:t>
            </w:r>
          </w:p>
          <w:p>
            <w:pPr>
              <w:pStyle w:val="null3"/>
              <w:ind w:firstLine="400"/>
            </w:pPr>
            <w:r>
              <w:rPr>
                <w:rFonts w:ascii="仿宋_GB2312" w:hAnsi="仿宋_GB2312" w:cs="仿宋_GB2312" w:eastAsia="仿宋_GB2312"/>
              </w:rPr>
              <w:t>2.非机动车辆停放</w:t>
            </w:r>
          </w:p>
          <w:p>
            <w:pPr>
              <w:pStyle w:val="null3"/>
              <w:ind w:firstLine="400"/>
            </w:pPr>
            <w:r>
              <w:rPr>
                <w:rFonts w:ascii="仿宋_GB2312" w:hAnsi="仿宋_GB2312" w:cs="仿宋_GB2312" w:eastAsia="仿宋_GB2312"/>
              </w:rPr>
              <w:t>成交单位须根据采购单位需求做好非机动车辆停车场及与其相关的充电设施设备建设，因此而产生的费用由成交单位承担。</w:t>
            </w:r>
          </w:p>
          <w:p>
            <w:pPr>
              <w:pStyle w:val="null3"/>
              <w:ind w:firstLine="400"/>
            </w:pPr>
            <w:r>
              <w:rPr>
                <w:rFonts w:ascii="仿宋_GB2312" w:hAnsi="仿宋_GB2312" w:cs="仿宋_GB2312" w:eastAsia="仿宋_GB2312"/>
              </w:rPr>
              <w:t>四、商务要求</w:t>
            </w:r>
          </w:p>
          <w:p>
            <w:pPr>
              <w:pStyle w:val="null3"/>
              <w:ind w:firstLine="400"/>
            </w:pPr>
            <w:r>
              <w:rPr>
                <w:rFonts w:ascii="仿宋_GB2312" w:hAnsi="仿宋_GB2312" w:cs="仿宋_GB2312" w:eastAsia="仿宋_GB2312"/>
              </w:rPr>
              <w:t>（一）租赁期限</w:t>
            </w:r>
          </w:p>
          <w:p>
            <w:pPr>
              <w:pStyle w:val="null3"/>
              <w:ind w:firstLine="400"/>
            </w:pPr>
            <w:r>
              <w:rPr>
                <w:rFonts w:ascii="仿宋_GB2312" w:hAnsi="仿宋_GB2312" w:cs="仿宋_GB2312" w:eastAsia="仿宋_GB2312"/>
              </w:rPr>
              <w:t>本次采购服务期为29个月，合同一服务期一签，续签条件为服务期考核平均分达到95分以上，未满足续签条件，采购人有权终止合同。</w:t>
            </w:r>
          </w:p>
          <w:p>
            <w:pPr>
              <w:pStyle w:val="null3"/>
              <w:ind w:firstLine="400"/>
            </w:pPr>
            <w:r>
              <w:rPr>
                <w:rFonts w:ascii="仿宋_GB2312" w:hAnsi="仿宋_GB2312" w:cs="仿宋_GB2312" w:eastAsia="仿宋_GB2312"/>
              </w:rPr>
              <w:t>（二）租金结算</w:t>
            </w:r>
          </w:p>
          <w:p>
            <w:pPr>
              <w:pStyle w:val="null3"/>
              <w:ind w:firstLine="400"/>
            </w:pPr>
            <w:r>
              <w:rPr>
                <w:rFonts w:ascii="仿宋_GB2312" w:hAnsi="仿宋_GB2312" w:cs="仿宋_GB2312" w:eastAsia="仿宋_GB2312"/>
              </w:rPr>
              <w:t>1、采购单位负责结算，在付款前，成交单位必须向采购单位提供租赁费增值税普通发票（具体税率以国家税务总局颁发的当前税率为准）。</w:t>
            </w:r>
          </w:p>
          <w:p>
            <w:pPr>
              <w:pStyle w:val="null3"/>
              <w:ind w:firstLine="400"/>
            </w:pPr>
            <w:r>
              <w:rPr>
                <w:rFonts w:ascii="仿宋_GB2312" w:hAnsi="仿宋_GB2312" w:cs="仿宋_GB2312" w:eastAsia="仿宋_GB2312"/>
              </w:rPr>
              <w:t>2、自合同签订后，采购单位对成交单位所出租房屋及其配套附属设施设备使用、运行状况等进行考核评分，考核评分成绩将作为年度合同续签重要依据。</w:t>
            </w:r>
          </w:p>
          <w:p>
            <w:pPr>
              <w:pStyle w:val="null3"/>
              <w:ind w:firstLine="400"/>
            </w:pPr>
            <w:r>
              <w:rPr>
                <w:rFonts w:ascii="仿宋_GB2312" w:hAnsi="仿宋_GB2312" w:cs="仿宋_GB2312" w:eastAsia="仿宋_GB2312"/>
              </w:rPr>
              <w:t>3、租金半年支付一次，采购单位应在考核完成后7个工作日内，依据评分结果支付租金。</w:t>
            </w:r>
          </w:p>
          <w:p>
            <w:pPr>
              <w:pStyle w:val="null3"/>
              <w:ind w:firstLine="400"/>
            </w:pPr>
            <w:r>
              <w:rPr>
                <w:rFonts w:ascii="仿宋_GB2312" w:hAnsi="仿宋_GB2312" w:cs="仿宋_GB2312" w:eastAsia="仿宋_GB2312"/>
              </w:rPr>
              <w:t>（三）其他</w:t>
            </w:r>
          </w:p>
          <w:p>
            <w:pPr>
              <w:pStyle w:val="null3"/>
              <w:ind w:firstLine="400"/>
            </w:pPr>
            <w:r>
              <w:rPr>
                <w:rFonts w:ascii="仿宋_GB2312" w:hAnsi="仿宋_GB2312" w:cs="仿宋_GB2312" w:eastAsia="仿宋_GB2312"/>
                <w:shd w:fill="FFFFFF" w:val="clear"/>
              </w:rPr>
              <w:t>因国家政策调整、编制体制调整、机构改革、政府办公（业务）用房调整等不可抗力因素，致使本项目无法继续实施，本项目终止，双方不承担责任。</w:t>
            </w:r>
          </w:p>
          <w:tbl>
            <w:tblPr>
              <w:tblBorders>
                <w:top w:val="none" w:color="000000" w:sz="4"/>
                <w:left w:val="none" w:color="000000" w:sz="4"/>
                <w:bottom w:val="none" w:color="000000" w:sz="4"/>
                <w:right w:val="none" w:color="000000" w:sz="4"/>
                <w:insideH w:val="none"/>
                <w:insideV w:val="none"/>
              </w:tblBorders>
            </w:tblPr>
            <w:tblGrid>
              <w:gridCol w:w="185"/>
              <w:gridCol w:w="124"/>
              <w:gridCol w:w="129"/>
              <w:gridCol w:w="231"/>
              <w:gridCol w:w="231"/>
              <w:gridCol w:w="457"/>
              <w:gridCol w:w="333"/>
              <w:gridCol w:w="730"/>
              <w:gridCol w:w="106"/>
            </w:tblGrid>
            <w:tr>
              <w:tc>
                <w:tcPr>
                  <w:tcW w:type="dxa" w:w="2526"/>
                  <w:gridSpan w:val="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附件一</w:t>
                  </w:r>
                </w:p>
                <w:p>
                  <w:pPr>
                    <w:pStyle w:val="null3"/>
                    <w:jc w:val="left"/>
                  </w:pPr>
                </w:p>
              </w:tc>
            </w:tr>
            <w:tr>
              <w:tc>
                <w:tcPr>
                  <w:tcW w:type="dxa" w:w="252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西安市公共资源交易中心设备清单</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1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机柜</w:t>
                  </w:r>
                </w:p>
              </w:tc>
              <w:tc>
                <w:tcPr>
                  <w:tcW w:type="dxa" w:w="1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机架</w:t>
                  </w:r>
                </w:p>
              </w:tc>
              <w:tc>
                <w:tcPr>
                  <w:tcW w:type="dxa" w:w="2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设备类型</w:t>
                  </w:r>
                </w:p>
              </w:tc>
              <w:tc>
                <w:tcPr>
                  <w:tcW w:type="dxa" w:w="2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设备品牌</w:t>
                  </w:r>
                </w:p>
              </w:tc>
              <w:tc>
                <w:tcPr>
                  <w:tcW w:type="dxa" w:w="4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设备型号</w:t>
                  </w:r>
                </w:p>
              </w:tc>
              <w:tc>
                <w:tcPr>
                  <w:tcW w:type="dxa" w:w="3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业务系统</w:t>
                  </w:r>
                </w:p>
              </w:tc>
              <w:tc>
                <w:tcPr>
                  <w:tcW w:type="dxa" w:w="7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业务负责单位</w:t>
                  </w:r>
                </w:p>
              </w:tc>
              <w:tc>
                <w:tcPr>
                  <w:tcW w:type="dxa" w:w="1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搬迁到新机房</w:t>
                  </w:r>
                  <w:r>
                    <w:br/>
                  </w:r>
                  <w:r>
                    <w:rPr>
                      <w:rFonts w:ascii="仿宋_GB2312" w:hAnsi="仿宋_GB2312" w:cs="仿宋_GB2312" w:eastAsia="仿宋_GB2312"/>
                      <w:sz w:val="19"/>
                      <w:b/>
                      <w:color w:val="000000"/>
                    </w:rPr>
                    <w:t>是/否</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31U-32U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曙光</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I620-G20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电子档案存储服务器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28U-29U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曙光</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I620-G20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电话语音系统录音服务器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33-34U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中孚信息</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zf04d-02</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中孚互联网接入口检测器系统</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保密局自行负责维护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保密局设备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23U-24U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H3C</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UISR390XG2</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互联网网管服务器</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37U-38U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AC-6080-PA</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外网出口上网行为管理</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H3C</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S5560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互联网机电口接入交换机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38U后</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H3C</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S5130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云桌面管理接入交换机1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VDC-2600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云桌面虚拟化管理平台</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27U-30U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云桌面-虚拟化服务器1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22U-25U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云桌面-虚拟化服务器2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17U-20U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云桌面-虚拟化服务器3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12U-15U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云桌面-虚拟化服务器4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7U-10U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云桌面-虚拟化服务器5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2U-5U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云桌面-虚拟化服务器6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38U后</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H3C</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S5130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云桌面虚拟化服务器管理接入交换机2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32U-33U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x3650M3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服务器-3（外）</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27U-30U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旧-交易系统web服务器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22U-25U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旧-交易系统数据库服务器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17U-20U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云桌面-内网虚拟化服务器4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12U-15U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云桌面-内网虚拟化服务器3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7U-10U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云桌面-内网虚拟化服务器2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2U-5U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NF8460M4</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云桌面-内网虚拟化服务器1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23U-24U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H3C</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UISR390XG2</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电子政务网网管服务器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H3C</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S5560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电子政务网机房电口接入交换机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HUAWEI</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S5329C-EI</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H3C</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S5500V2</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服务器交换机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34U后</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博科</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存储交换机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31U-32U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存储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DS2200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旧交易系统存储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28U-29U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x3650M3</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招投标</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25U-26U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x3650M3</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诚信平台</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23U-24U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x3650M3</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X3250M2</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指纹系统</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网络设备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睿讯</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LCD KVM SWITCH</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切换器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11U-14U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NP3060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专家抽取 拨号服务器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东进</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AN2</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多功能语音箱</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AF-1520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服务器区防火墙</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28U后</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华为</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S5735S-L24P4S-A2</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新点服务器接入交换机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智能呼叫调度管理机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视音频录制管理机1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视音频录制管理机2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开评标视音频管理机1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开评标视音频管理机2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分散评标场地管理机主机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8U-9U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分散评标场地管理机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西安建设工程交易中心有限公司自行负责维护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分散席位新增设备1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分散席位新增设备2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分散席位新增设备3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分散席位新增设备4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分散席位新增设备5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国泰新点</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分散席位新增设备6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25U-26U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x3650M3</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广联达测试服务器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22U-23U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AF-1000-FA40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政务网接入防火墙</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15U-16U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x3650M3</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西安app后台管理</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40U-41U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三未信安</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陕西CA数字签章</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27U-30U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Aserver-P-4000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超融合A集群服务器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22U-25U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Aserver-P-4000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超融合A集群服务器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17U-20U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Aserver-P-4000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超融合A集群服务器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12U-15U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Aserver-P-4000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超融合A集群服务器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7U-10U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Aserver-P-4000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超融合A集群服务器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2U-5U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Aserver-P-4000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超融合A集群服务器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信锐</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RS6500-54Q-EI-48X</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存储交换机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信锐</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RS6500-54Q-EI-48X</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存储交换机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信锐</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RS5300-52T-4F</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超融合接入交换机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信锐</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RS5300-52T-4F</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超融合接入交换机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36U-37U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NF5270M5</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未使用（未配置磁盘）</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33U-34U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NF5270M5</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未使用（未配置磁盘）</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30U-31U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NF5270M5</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未使用（未配置磁盘）</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OSM-1000-A600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堡垒机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10U-11U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存储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火星舱</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MSA-DPA-AL6</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火星仓备份存储服务器</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10U-13U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X3850X5</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一体化数据库对接</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AD-1000-A1800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负载均衡</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14U-15U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SR658</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ESXI8.0</w:t>
                  </w:r>
                  <w:r>
                    <w:rPr>
                      <w:rFonts w:ascii="仿宋_GB2312" w:hAnsi="仿宋_GB2312" w:cs="仿宋_GB2312" w:eastAsia="仿宋_GB2312"/>
                      <w:sz w:val="19"/>
                      <w:color w:val="000000"/>
                    </w:rPr>
                    <w:t>裸机虚拟化</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11U-12U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SR658</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ESXI8.0</w:t>
                  </w:r>
                  <w:r>
                    <w:rPr>
                      <w:rFonts w:ascii="仿宋_GB2312" w:hAnsi="仿宋_GB2312" w:cs="仿宋_GB2312" w:eastAsia="仿宋_GB2312"/>
                      <w:sz w:val="19"/>
                      <w:color w:val="000000"/>
                    </w:rPr>
                    <w:t>裸机虚拟化</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8U-9U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SR658</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ESXI6.7</w:t>
                  </w:r>
                  <w:r>
                    <w:rPr>
                      <w:rFonts w:ascii="仿宋_GB2312" w:hAnsi="仿宋_GB2312" w:cs="仿宋_GB2312" w:eastAsia="仿宋_GB2312"/>
                      <w:sz w:val="19"/>
                      <w:color w:val="000000"/>
                    </w:rPr>
                    <w:t>裸机虚拟化</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AF-1000-L4178</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银行业务防火墙</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AC-1000C400Y</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银行URL过滤行为管理</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深信服</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VPN-1000-A400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银行接入VPN</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DELL</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PowerEdge R230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中国银行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22U-23U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hp</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ProLiant DL388 Gen8</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华夏银行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19U-20U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浪潮</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NF5270M4</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平安银行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DELL</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PowerEdge R630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农业银行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信锐</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RS3300-28T-4F</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银行服务器交换机</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交换机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迈普</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S3100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银行服务器交换机</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财务专用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用友</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Prxoy 1000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融联E路签</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DELL</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PowerEdge R250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用友（工行）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DELL</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PowerEdge R250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广联达（工行）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DELL</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PowerEdge R250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新点（工行）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DELL</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PowerEdge R230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浙商银行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25U-26U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x3650M3</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北京银行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19U-20U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HUAWEI</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RH2288AV2</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建设银行前置机</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16U-17U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联想</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SR650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西安银行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DELL</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PowerEdge R230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长安银行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7U-8U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服务器</w:t>
                  </w:r>
                </w:p>
              </w:tc>
              <w:tc>
                <w:tcPr>
                  <w:tcW w:type="dxa" w:w="231"/>
                  <w:vMerge/>
                  <w:tcBorders>
                    <w:top w:val="none" w:color="000000" w:sz="4"/>
                    <w:left w:val="none" w:color="000000" w:sz="4"/>
                    <w:bottom w:val="single" w:color="000000" w:sz="4"/>
                    <w:right w:val="single" w:color="000000" w:sz="4"/>
                  </w:tcBorders>
                </w:tcP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PowerEdge R720</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招商银行</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银行自行负责维护</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银行设备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绿盟科技</w:t>
                  </w:r>
                </w:p>
              </w:tc>
              <w:tc>
                <w:tcPr>
                  <w:tcW w:type="dxa" w:w="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NIPS NX3 Series</w:t>
                  </w:r>
                </w:p>
              </w:tc>
              <w:tc>
                <w:tcPr>
                  <w:tcW w:type="dxa" w:w="3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入侵防御设备</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绿盟科技</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NIPS NX3 Series</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入侵防御设备</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绿盟科技</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WAF NX3 Series</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WAFWeb应用防护系统</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绿盟科技</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RSAS NX3 Series</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安全评估系统</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绿盟科技</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OSMS NX3 Series</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运维安全管理系统 堡垒机</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绿盟科技</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LAS NX3 Series</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日志审计系统</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绿盟科技</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SAS NX3 Series</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安全审计系统</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23U-24U</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安全设备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绿盟科技</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ESP-H 500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安全管理平台</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是</w:t>
                  </w:r>
                </w:p>
              </w:tc>
            </w:tr>
          </w:tbl>
          <w:p>
            <w:pPr>
              <w:pStyle w:val="null3"/>
              <w:jc w:val="both"/>
            </w:pPr>
            <w:r>
              <w:rPr>
                <w:rFonts w:ascii="仿宋_GB2312" w:hAnsi="仿宋_GB2312" w:cs="仿宋_GB2312" w:eastAsia="仿宋_GB2312"/>
              </w:rPr>
              <w:t>附件二</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信息化运维管理界面日常维护工作清单</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1.市级机关凤城九路办公区的政务网络线路接入开通由市数据局负责；</w:t>
                  </w:r>
                </w:p>
                <w:p>
                  <w:pPr>
                    <w:pStyle w:val="null3"/>
                    <w:ind w:firstLine="400"/>
                    <w:jc w:val="both"/>
                  </w:pPr>
                  <w:r>
                    <w:rPr>
                      <w:rFonts w:ascii="仿宋_GB2312" w:hAnsi="仿宋_GB2312" w:cs="仿宋_GB2312" w:eastAsia="仿宋_GB2312"/>
                      <w:sz w:val="19"/>
                    </w:rPr>
                    <w:t>2.市公共资源交易中心办公新址由成交单位配置相关信息化软硬件，</w:t>
                  </w:r>
                  <w:r>
                    <w:rPr>
                      <w:rFonts w:ascii="仿宋_GB2312" w:hAnsi="仿宋_GB2312" w:cs="仿宋_GB2312" w:eastAsia="仿宋_GB2312"/>
                      <w:sz w:val="19"/>
                    </w:rPr>
                    <w:t>包含专家身份核验门禁管理系统、信息发布系统、视频安防系统、开评标室紧急报警系统、电子巡更系统、LED 显示屏及会议系统新增配套设备等。以及智联机关门禁与人行道闸设备，数据机房、监控机房配套的配电、消防、空调等硬件设备运维工作由成交单位负责；</w:t>
                  </w:r>
                </w:p>
                <w:p>
                  <w:pPr>
                    <w:pStyle w:val="null3"/>
                    <w:ind w:firstLine="400"/>
                    <w:jc w:val="both"/>
                  </w:pPr>
                  <w:r>
                    <w:rPr>
                      <w:rFonts w:ascii="仿宋_GB2312" w:hAnsi="仿宋_GB2312" w:cs="仿宋_GB2312" w:eastAsia="仿宋_GB2312"/>
                      <w:sz w:val="19"/>
                    </w:rPr>
                    <w:t>3.市公共资源交易中心利旧软硬件设备运维工作由市公共资源交易中心负责；</w:t>
                  </w:r>
                </w:p>
                <w:p>
                  <w:pPr>
                    <w:pStyle w:val="null3"/>
                    <w:ind w:firstLine="400"/>
                    <w:jc w:val="both"/>
                  </w:pPr>
                  <w:r>
                    <w:rPr>
                      <w:rFonts w:ascii="仿宋_GB2312" w:hAnsi="仿宋_GB2312" w:cs="仿宋_GB2312" w:eastAsia="仿宋_GB2312"/>
                      <w:sz w:val="19"/>
                    </w:rPr>
                    <w:t>4.智联机关软件运维工作由西安银行负责；</w:t>
                  </w:r>
                </w:p>
                <w:p>
                  <w:pPr>
                    <w:pStyle w:val="null3"/>
                    <w:ind w:firstLine="400"/>
                    <w:jc w:val="both"/>
                  </w:pPr>
                  <w:r>
                    <w:rPr>
                      <w:rFonts w:ascii="仿宋_GB2312" w:hAnsi="仿宋_GB2312" w:cs="仿宋_GB2312" w:eastAsia="仿宋_GB2312"/>
                      <w:sz w:val="19"/>
                    </w:rPr>
                    <w:t>5.西安建设工程交易中心有限公司、西安银行等入驻企业，自行负责本单位软硬件设备的运维工作；</w:t>
                  </w:r>
                </w:p>
                <w:p>
                  <w:pPr>
                    <w:pStyle w:val="null3"/>
                    <w:ind w:firstLine="400"/>
                    <w:jc w:val="both"/>
                  </w:pPr>
                  <w:r>
                    <w:rPr>
                      <w:rFonts w:ascii="仿宋_GB2312" w:hAnsi="仿宋_GB2312" w:cs="仿宋_GB2312" w:eastAsia="仿宋_GB2312"/>
                      <w:sz w:val="19"/>
                    </w:rPr>
                    <w:t>6.市级机关凤城九路办公区 2 号楼 1—12 层网络系</w:t>
                  </w:r>
                  <w:r>
                    <w:rPr>
                      <w:rFonts w:ascii="仿宋_GB2312" w:hAnsi="仿宋_GB2312" w:cs="仿宋_GB2312" w:eastAsia="仿宋_GB2312"/>
                      <w:sz w:val="19"/>
                      <w:color w:val="000000"/>
                    </w:rPr>
                    <w:t>统，由</w:t>
                  </w:r>
                  <w:r>
                    <w:rPr>
                      <w:rFonts w:ascii="仿宋_GB2312" w:hAnsi="仿宋_GB2312" w:cs="仿宋_GB2312" w:eastAsia="仿宋_GB2312"/>
                      <w:sz w:val="19"/>
                      <w:color w:val="000000"/>
                    </w:rPr>
                    <w:t>成交单位</w:t>
                  </w:r>
                  <w:r>
                    <w:rPr>
                      <w:rFonts w:ascii="仿宋_GB2312" w:hAnsi="仿宋_GB2312" w:cs="仿宋_GB2312" w:eastAsia="仿宋_GB2312"/>
                      <w:sz w:val="19"/>
                      <w:color w:val="000000"/>
                    </w:rPr>
                    <w:t>和市公共资源交易中心按照提供设备比例</w:t>
                  </w:r>
                  <w:r>
                    <w:rPr>
                      <w:rFonts w:ascii="仿宋_GB2312" w:hAnsi="仿宋_GB2312" w:cs="仿宋_GB2312" w:eastAsia="仿宋_GB2312"/>
                      <w:sz w:val="19"/>
                    </w:rPr>
                    <w:t>各自负责相应网络系统的运维工作；13-14层网络系统运维工作由成交单位负责；15-16层网络系统运维工作由西安建设工程交易中心有限公司、西安银行自行负责；</w:t>
                  </w:r>
                </w:p>
                <w:p>
                  <w:pPr>
                    <w:pStyle w:val="null3"/>
                    <w:ind w:firstLine="400"/>
                    <w:jc w:val="both"/>
                  </w:pPr>
                  <w:r>
                    <w:rPr>
                      <w:rFonts w:ascii="仿宋_GB2312" w:hAnsi="仿宋_GB2312" w:cs="仿宋_GB2312" w:eastAsia="仿宋_GB2312"/>
                      <w:sz w:val="19"/>
                    </w:rPr>
                    <w:t>7.市级机关凤城九路办公区2号楼弱电间由成交单位负责管理。</w:t>
                  </w:r>
                </w:p>
                <w:p>
                  <w:pPr>
                    <w:pStyle w:val="null3"/>
                    <w:ind w:firstLine="400"/>
                    <w:jc w:val="both"/>
                  </w:pPr>
                  <w:r>
                    <w:rPr>
                      <w:rFonts w:ascii="仿宋_GB2312" w:hAnsi="仿宋_GB2312" w:cs="仿宋_GB2312" w:eastAsia="仿宋_GB2312"/>
                      <w:sz w:val="19"/>
                    </w:rPr>
                    <w:t>8.市级机关凤城九路办公区上述相关工作的协调管理由市机关事务服务中心负责。</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本次采购服务期为29个月，合同一服务期一签，续签条件为服务期考核平均分达到95分以上，未满足续签条件，采购人有权终止合同。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进度款，租金半年支付一次，采购单位应在考核完成后7个工作日内，依据评分结果支付租金，达到付款条件起10个工作日内，支付合同总金额的20.0%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进度款，租金半年支付一次，采购单位应在考核完成后7个工作日内，依据评分结果支付租金，达到付款条件起10个工作日内，支付合同总金额的20.0%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进度款，租金半年支付一次，采购单位应在考核完成后7个工作日内，依据评分结果支付租金，达到付款条件起10个工作日内，支付合同总金额的20.0%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进度款，租金半年支付一次，采购单位应在考核完成后7个工作日内，依据评分结果支付租金，达到付款条件起10个工作日内，支付合同总金额的20.0%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进度款，租金半年支付一次，采购单位应在考核完成后7个工作日内，依据评分结果支付租金，达到付款条件起10个工作日内，支付合同总金额的20.0%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由采购人和成交供应商共同对项目进行整体验收。其内容包括是否按照采购人要求进行服务、是否在规定时间内服务完毕，具体以采购人要求为准。 其他事项：（1）验收合格后，填写政府采购项目验收单作为对本服务的最终认可。（2）服务商向采购人提供服务过程中的所有资料,以便采购人日后管理。（3）验收依据：①单一来源采购文件、单一来源采购响应文件、澄清表（函）； ②本合同及附件文本；③国家相应的标准、规范。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详见技术参数与性能指标及采购人要求。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3.4.1依法免税或不需要缴纳社会保障资金的供应商，应提供相应证明文件，证明其依法免税或不需要缴纳社会保障资金；自然人（仅限中国公民）参与投标时，只须提供身份证复印件； 3.4.2（响应文件格式-标的清单）本项目服务范围：市级机关凤城九路办公区2号楼办公（业务）用房租赁；服务要求：符合单一来源采购文件有关技术、商务要求； 服务标准：符合国家和省、市有关行业标准及采购人的有关规定。 3.4.3因陕西政府采购网电子化流程编制支付约定时无法满足本项目所要求付款方式，本章3.3.4(支付约定)为满足系统功能必填内容，不作参考，实际租金结算方式以采购文件第三章3.2.2中“技术参数与性能指标--商务要求--租金结算”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提供2024年度或2025年度经审计的完整财务报告或协商日期前三个月内其基本存款账户开户银行出具的资信证明。（如提供资信证明，须同时提供基本存款账户开户许可证或基本账户信息表）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提供2024年度或2025年度经审计的完整财务报告或协商日期前三个月内其基本存款账户开户银行出具的资信证明。（如提供资信证明，须同时提供基本存款账户开户许可证或基本账户信息表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提供响应文件提交截止时间前一年内已缴纳的至少一个月的社会保障资金缴存单据或社保机构开具的社会保险参保缴费情况证明，依法不需要缴纳社会保障资金的单位应提供相关证明材料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法定代表人授权委托书、被授权人身份证（法定代表人参加协商时,只需提供法定代表人身份证）</w:t>
            </w:r>
          </w:p>
        </w:tc>
        <w:tc>
          <w:tcPr>
            <w:tcW w:type="dxa" w:w="1661"/>
          </w:tcPr>
          <w:p>
            <w:pPr>
              <w:pStyle w:val="null3"/>
            </w:pPr>
            <w:r>
              <w:rPr>
                <w:rFonts w:ascii="仿宋_GB2312" w:hAnsi="仿宋_GB2312" w:cs="仿宋_GB2312" w:eastAsia="仿宋_GB2312"/>
              </w:rPr>
              <w:t>其他附件.docx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报价唯一，且没有高于采购预算及最高限价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单一来源响应文件有效性</w:t>
            </w:r>
          </w:p>
        </w:tc>
        <w:tc>
          <w:tcPr>
            <w:tcW w:type="dxa" w:w="3322"/>
          </w:tcPr>
          <w:p>
            <w:pPr>
              <w:pStyle w:val="null3"/>
            </w:pPr>
            <w:r>
              <w:rPr>
                <w:rFonts w:ascii="仿宋_GB2312" w:hAnsi="仿宋_GB2312" w:cs="仿宋_GB2312" w:eastAsia="仿宋_GB2312"/>
              </w:rPr>
              <w:t>单一来源响应文件的签署、盖章符合单一来源采购文件要求，供应商递交的响应文件与本项目名称一致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协商有效期、授权有效期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响应单一来源采购文件要求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单一来源采购商文件中规定的无效情形</w:t>
            </w:r>
          </w:p>
        </w:tc>
        <w:tc>
          <w:tcPr>
            <w:tcW w:type="dxa" w:w="1661"/>
          </w:tcPr>
          <w:p>
            <w:pPr>
              <w:pStyle w:val="null3"/>
            </w:pPr>
            <w:r>
              <w:rPr>
                <w:rFonts w:ascii="仿宋_GB2312" w:hAnsi="仿宋_GB2312" w:cs="仿宋_GB2312" w:eastAsia="仿宋_GB2312"/>
              </w:rPr>
              <w:t>其他附件.docx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详见附件：合同6.3.docx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