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F693E">
      <w:pPr>
        <w:pStyle w:val="10"/>
        <w:jc w:val="center"/>
        <w:outlineLvl w:val="5"/>
        <w:rPr>
          <w:rFonts w:hint="default" w:ascii="Times New Roman" w:hAnsi="Times New Roman" w:eastAsia="宋体" w:cs="Times New Roman"/>
          <w:b/>
          <w:sz w:val="44"/>
          <w:szCs w:val="44"/>
          <w:lang w:eastAsia="zh-CN"/>
        </w:rPr>
      </w:pPr>
    </w:p>
    <w:p w14:paraId="6B23DB5A">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sz w:val="44"/>
          <w:szCs w:val="44"/>
          <w:lang w:val="en-US" w:eastAsia="zh-CN"/>
        </w:rPr>
      </w:pPr>
      <w:r>
        <w:rPr>
          <w:rFonts w:hint="default" w:ascii="Times New Roman" w:hAnsi="Times New Roman" w:eastAsia="宋体" w:cs="Times New Roman"/>
          <w:b/>
          <w:sz w:val="44"/>
          <w:szCs w:val="44"/>
          <w:lang w:eastAsia="zh-CN"/>
        </w:rPr>
        <w:t>市级机关凤城九路办公区</w:t>
      </w:r>
      <w:r>
        <w:rPr>
          <w:rFonts w:hint="eastAsia" w:ascii="Times New Roman" w:hAnsi="Times New Roman" w:cs="Times New Roman"/>
          <w:b/>
          <w:sz w:val="44"/>
          <w:szCs w:val="44"/>
          <w:lang w:val="en-US" w:eastAsia="zh-CN"/>
        </w:rPr>
        <w:t>2号楼</w:t>
      </w:r>
    </w:p>
    <w:p w14:paraId="7CCD250E">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sz w:val="44"/>
          <w:szCs w:val="44"/>
          <w:lang w:eastAsia="zh-CN"/>
        </w:rPr>
      </w:pPr>
      <w:r>
        <w:rPr>
          <w:rFonts w:hint="default" w:ascii="Times New Roman" w:hAnsi="Times New Roman" w:eastAsia="宋体" w:cs="Times New Roman"/>
          <w:b/>
          <w:sz w:val="44"/>
          <w:szCs w:val="44"/>
          <w:lang w:eastAsia="zh-CN"/>
        </w:rPr>
        <w:t>办公</w:t>
      </w:r>
      <w:r>
        <w:rPr>
          <w:rFonts w:hint="default" w:ascii="Times New Roman" w:hAnsi="Times New Roman" w:cs="Times New Roman"/>
          <w:b/>
          <w:sz w:val="44"/>
          <w:szCs w:val="44"/>
          <w:lang w:eastAsia="zh-CN"/>
        </w:rPr>
        <w:t>（</w:t>
      </w:r>
      <w:r>
        <w:rPr>
          <w:rFonts w:hint="default" w:ascii="Times New Roman" w:hAnsi="Times New Roman" w:eastAsia="宋体" w:cs="Times New Roman"/>
          <w:b/>
          <w:sz w:val="44"/>
          <w:szCs w:val="44"/>
          <w:lang w:eastAsia="zh-CN"/>
        </w:rPr>
        <w:t>业务</w:t>
      </w:r>
      <w:r>
        <w:rPr>
          <w:rFonts w:hint="default" w:ascii="Times New Roman" w:hAnsi="Times New Roman" w:cs="Times New Roman"/>
          <w:b/>
          <w:sz w:val="44"/>
          <w:szCs w:val="44"/>
          <w:lang w:eastAsia="zh-CN"/>
        </w:rPr>
        <w:t>）</w:t>
      </w:r>
      <w:r>
        <w:rPr>
          <w:rFonts w:hint="default" w:ascii="Times New Roman" w:hAnsi="Times New Roman" w:eastAsia="宋体" w:cs="Times New Roman"/>
          <w:b/>
          <w:sz w:val="44"/>
          <w:szCs w:val="44"/>
          <w:lang w:eastAsia="zh-CN"/>
        </w:rPr>
        <w:t>用房租赁项目</w:t>
      </w:r>
    </w:p>
    <w:p w14:paraId="1365D10E">
      <w:pPr>
        <w:pStyle w:val="10"/>
        <w:jc w:val="center"/>
        <w:outlineLvl w:val="0"/>
        <w:rPr>
          <w:rFonts w:hint="default" w:ascii="Times New Roman" w:hAnsi="Times New Roman" w:eastAsia="宋体" w:cs="Times New Roman"/>
          <w:sz w:val="21"/>
          <w:szCs w:val="21"/>
        </w:rPr>
      </w:pPr>
    </w:p>
    <w:p w14:paraId="73AC0EF4">
      <w:pPr>
        <w:pStyle w:val="10"/>
        <w:jc w:val="center"/>
        <w:outlineLvl w:val="0"/>
        <w:rPr>
          <w:rFonts w:hint="default" w:ascii="Times New Roman" w:hAnsi="Times New Roman" w:eastAsia="宋体" w:cs="Times New Roman"/>
          <w:sz w:val="21"/>
          <w:szCs w:val="21"/>
        </w:rPr>
      </w:pPr>
    </w:p>
    <w:p w14:paraId="76C84270">
      <w:pPr>
        <w:pStyle w:val="10"/>
        <w:jc w:val="center"/>
        <w:outlineLvl w:val="0"/>
        <w:rPr>
          <w:rFonts w:hint="default" w:ascii="Times New Roman" w:hAnsi="Times New Roman" w:eastAsia="宋体" w:cs="Times New Roman"/>
          <w:sz w:val="28"/>
          <w:szCs w:val="28"/>
        </w:rPr>
      </w:pPr>
      <w:r>
        <w:rPr>
          <w:rFonts w:hint="default" w:ascii="Times New Roman" w:hAnsi="Times New Roman" w:eastAsia="宋体" w:cs="Times New Roman"/>
          <w:sz w:val="21"/>
          <w:szCs w:val="21"/>
        </w:rPr>
        <w:br w:type="textWrapping"/>
      </w:r>
    </w:p>
    <w:p w14:paraId="141DEF84">
      <w:pPr>
        <w:pStyle w:val="10"/>
        <w:jc w:val="center"/>
        <w:outlineLvl w:val="5"/>
        <w:rPr>
          <w:rFonts w:hint="default" w:ascii="Times New Roman" w:hAnsi="Times New Roman" w:eastAsia="宋体" w:cs="Times New Roman"/>
          <w:b/>
          <w:sz w:val="44"/>
          <w:szCs w:val="44"/>
          <w:lang w:eastAsia="zh-CN"/>
        </w:rPr>
      </w:pPr>
      <w:r>
        <w:rPr>
          <w:rFonts w:hint="default" w:ascii="Times New Roman" w:hAnsi="Times New Roman" w:eastAsia="宋体" w:cs="Times New Roman"/>
          <w:b/>
          <w:sz w:val="44"/>
          <w:szCs w:val="44"/>
          <w:lang w:eastAsia="zh-CN"/>
        </w:rPr>
        <w:t>服</w:t>
      </w:r>
      <w:r>
        <w:rPr>
          <w:rFonts w:hint="default" w:ascii="Times New Roman" w:hAnsi="Times New Roman" w:cs="Times New Roman"/>
          <w:b/>
          <w:sz w:val="44"/>
          <w:szCs w:val="44"/>
          <w:lang w:val="en-US" w:eastAsia="zh-CN"/>
        </w:rPr>
        <w:t xml:space="preserve"> </w:t>
      </w:r>
      <w:r>
        <w:rPr>
          <w:rFonts w:hint="default" w:ascii="Times New Roman" w:hAnsi="Times New Roman" w:eastAsia="宋体" w:cs="Times New Roman"/>
          <w:b/>
          <w:sz w:val="44"/>
          <w:szCs w:val="44"/>
          <w:lang w:eastAsia="zh-CN"/>
        </w:rPr>
        <w:t>务</w:t>
      </w:r>
      <w:r>
        <w:rPr>
          <w:rFonts w:hint="default" w:ascii="Times New Roman" w:hAnsi="Times New Roman" w:cs="Times New Roman"/>
          <w:b/>
          <w:sz w:val="44"/>
          <w:szCs w:val="44"/>
          <w:lang w:val="en-US" w:eastAsia="zh-CN"/>
        </w:rPr>
        <w:t xml:space="preserve"> </w:t>
      </w:r>
      <w:r>
        <w:rPr>
          <w:rFonts w:hint="default" w:ascii="Times New Roman" w:hAnsi="Times New Roman" w:eastAsia="宋体" w:cs="Times New Roman"/>
          <w:b/>
          <w:sz w:val="44"/>
          <w:szCs w:val="44"/>
          <w:lang w:eastAsia="zh-CN"/>
        </w:rPr>
        <w:t>合</w:t>
      </w:r>
      <w:r>
        <w:rPr>
          <w:rFonts w:hint="default" w:ascii="Times New Roman" w:hAnsi="Times New Roman" w:cs="Times New Roman"/>
          <w:b/>
          <w:sz w:val="44"/>
          <w:szCs w:val="44"/>
          <w:lang w:val="en-US" w:eastAsia="zh-CN"/>
        </w:rPr>
        <w:t xml:space="preserve"> </w:t>
      </w:r>
      <w:r>
        <w:rPr>
          <w:rFonts w:hint="default" w:ascii="Times New Roman" w:hAnsi="Times New Roman" w:eastAsia="宋体" w:cs="Times New Roman"/>
          <w:b/>
          <w:sz w:val="44"/>
          <w:szCs w:val="44"/>
          <w:lang w:eastAsia="zh-CN"/>
        </w:rPr>
        <w:t>同</w:t>
      </w:r>
      <w:r>
        <w:rPr>
          <w:rFonts w:hint="default" w:ascii="Times New Roman" w:hAnsi="Times New Roman" w:eastAsia="宋体" w:cs="Times New Roman"/>
          <w:b/>
          <w:sz w:val="44"/>
          <w:szCs w:val="44"/>
          <w:lang w:eastAsia="zh-CN"/>
        </w:rPr>
        <w:br w:type="textWrapping"/>
      </w:r>
    </w:p>
    <w:p w14:paraId="5C388D04">
      <w:pPr>
        <w:pStyle w:val="10"/>
        <w:jc w:val="center"/>
        <w:outlineLvl w:val="5"/>
        <w:rPr>
          <w:rFonts w:hint="default" w:ascii="Times New Roman" w:hAnsi="Times New Roman" w:eastAsia="宋体" w:cs="Times New Roman"/>
          <w:b/>
          <w:sz w:val="44"/>
          <w:szCs w:val="44"/>
          <w:lang w:eastAsia="zh-CN"/>
        </w:rPr>
      </w:pPr>
      <w:r>
        <w:rPr>
          <w:rFonts w:hint="eastAsia" w:ascii="Times New Roman" w:hAnsi="Times New Roman" w:eastAsia="宋体" w:cs="Times New Roman"/>
          <w:b/>
          <w:sz w:val="28"/>
          <w:szCs w:val="28"/>
          <w:lang w:eastAsia="zh-CN"/>
        </w:rPr>
        <w:t>（采购人也可根据项目特点自行拟定合同条款，具体以采购人要求为准）</w:t>
      </w:r>
    </w:p>
    <w:p w14:paraId="2B192820">
      <w:pPr>
        <w:pStyle w:val="10"/>
        <w:ind w:firstLine="2800" w:firstLineChars="700"/>
        <w:jc w:val="both"/>
        <w:outlineLvl w:val="5"/>
        <w:rPr>
          <w:rFonts w:hint="default" w:ascii="Times New Roman" w:hAnsi="Times New Roman" w:eastAsia="宋体" w:cs="Times New Roman"/>
          <w:sz w:val="40"/>
          <w:szCs w:val="40"/>
        </w:rPr>
      </w:pPr>
      <w:r>
        <w:rPr>
          <w:rFonts w:hint="default" w:ascii="Times New Roman" w:hAnsi="Times New Roman" w:eastAsia="宋体" w:cs="Times New Roman"/>
          <w:sz w:val="40"/>
          <w:szCs w:val="40"/>
        </w:rPr>
        <w:br w:type="textWrapping"/>
      </w:r>
      <w:r>
        <w:rPr>
          <w:rFonts w:hint="default" w:ascii="Times New Roman" w:hAnsi="Times New Roman" w:eastAsia="宋体" w:cs="Times New Roman"/>
          <w:sz w:val="40"/>
          <w:szCs w:val="40"/>
        </w:rPr>
        <w:br w:type="textWrapping"/>
      </w:r>
    </w:p>
    <w:p w14:paraId="4BA406E9">
      <w:pPr>
        <w:pStyle w:val="10"/>
        <w:ind w:firstLine="2800" w:firstLineChars="700"/>
        <w:jc w:val="both"/>
        <w:outlineLvl w:val="5"/>
        <w:rPr>
          <w:rFonts w:hint="default" w:ascii="Times New Roman" w:hAnsi="Times New Roman" w:eastAsia="宋体" w:cs="Times New Roman"/>
          <w:sz w:val="40"/>
          <w:szCs w:val="40"/>
        </w:rPr>
      </w:pPr>
    </w:p>
    <w:p w14:paraId="76A2D5AD">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6D8D4604">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2A0869D5">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301F7524">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597246CF">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2E76CE2A">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4DF9B8DB">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5C1C6A92">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p>
    <w:p w14:paraId="3C5DAF0C">
      <w:pPr>
        <w:pStyle w:val="10"/>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lang w:val="en-US" w:eastAsia="zh-CN"/>
        </w:rPr>
      </w:pPr>
      <w:r>
        <w:rPr>
          <w:rFonts w:hint="default" w:ascii="Times New Roman" w:hAnsi="Times New Roman" w:eastAsia="宋体" w:cs="Times New Roman"/>
          <w:b/>
          <w:bCs/>
          <w:sz w:val="30"/>
          <w:szCs w:val="30"/>
          <w:lang w:val="en-US" w:eastAsia="zh-CN"/>
        </w:rPr>
        <w:t>甲方：</w:t>
      </w:r>
    </w:p>
    <w:p w14:paraId="1BEF154A">
      <w:pPr>
        <w:pStyle w:val="10"/>
        <w:jc w:val="center"/>
        <w:outlineLvl w:val="5"/>
        <w:rPr>
          <w:rFonts w:hint="default" w:ascii="Times New Roman" w:hAnsi="Times New Roman" w:eastAsia="宋体" w:cs="Times New Roman"/>
          <w:sz w:val="40"/>
          <w:szCs w:val="40"/>
        </w:rPr>
      </w:pPr>
      <w:r>
        <w:rPr>
          <w:rFonts w:hint="default" w:ascii="Times New Roman" w:hAnsi="Times New Roman" w:eastAsia="宋体" w:cs="Times New Roman"/>
          <w:b/>
          <w:bCs/>
          <w:sz w:val="30"/>
          <w:szCs w:val="30"/>
          <w:lang w:val="en-US" w:eastAsia="zh-CN"/>
        </w:rPr>
        <w:t>乙方：</w:t>
      </w:r>
      <w:r>
        <w:rPr>
          <w:rFonts w:hint="default" w:ascii="Times New Roman" w:hAnsi="Times New Roman" w:eastAsia="宋体" w:cs="Times New Roman"/>
          <w:sz w:val="30"/>
          <w:szCs w:val="30"/>
        </w:rPr>
        <w:br w:type="textWrapping"/>
      </w:r>
      <w:r>
        <w:rPr>
          <w:rFonts w:hint="default" w:ascii="Times New Roman" w:hAnsi="Times New Roman" w:eastAsia="宋体" w:cs="Times New Roman"/>
          <w:sz w:val="32"/>
          <w:szCs w:val="32"/>
        </w:rPr>
        <w:br w:type="textWrapping"/>
      </w:r>
    </w:p>
    <w:p w14:paraId="4CB0ED39">
      <w:pPr>
        <w:jc w:val="center"/>
        <w:rPr>
          <w:rFonts w:hint="eastAsia" w:asciiTheme="minorEastAsia" w:hAnsiTheme="minorEastAsia" w:eastAsiaTheme="minorEastAsia" w:cstheme="minorEastAsia"/>
          <w:b/>
          <w:sz w:val="20"/>
          <w:szCs w:val="20"/>
          <w:highlight w:val="none"/>
        </w:rPr>
      </w:pPr>
      <w:r>
        <w:rPr>
          <w:rFonts w:hint="default" w:ascii="Times New Roman" w:hAnsi="Times New Roman" w:cs="Times New Roman"/>
          <w:b/>
          <w:bCs w:val="0"/>
          <w:sz w:val="32"/>
          <w:szCs w:val="32"/>
          <w:lang w:val="en-US" w:eastAsia="zh-CN"/>
        </w:rPr>
        <w:t>年</w:t>
      </w:r>
      <w:r>
        <w:rPr>
          <w:rFonts w:hint="eastAsia" w:ascii="Times New Roman" w:hAnsi="Times New Roman" w:cs="Times New Roman"/>
          <w:b/>
          <w:bCs w:val="0"/>
          <w:sz w:val="32"/>
          <w:szCs w:val="32"/>
          <w:lang w:val="en-US" w:eastAsia="zh-CN"/>
        </w:rPr>
        <w:t xml:space="preserve">  </w:t>
      </w:r>
      <w:r>
        <w:rPr>
          <w:rFonts w:hint="default" w:ascii="Times New Roman" w:hAnsi="Times New Roman" w:cs="Times New Roman"/>
          <w:b/>
          <w:bCs w:val="0"/>
          <w:sz w:val="32"/>
          <w:szCs w:val="32"/>
          <w:lang w:val="en-US" w:eastAsia="zh-CN"/>
        </w:rPr>
        <w:t>月</w:t>
      </w:r>
      <w:r>
        <w:rPr>
          <w:rFonts w:hint="default" w:ascii="Times New Roman" w:hAnsi="Times New Roman" w:eastAsia="宋体" w:cs="Times New Roman"/>
          <w:b/>
          <w:bCs w:val="0"/>
          <w:sz w:val="32"/>
          <w:szCs w:val="32"/>
        </w:rPr>
        <w:t xml:space="preserve"> </w:t>
      </w:r>
      <w:r>
        <w:rPr>
          <w:rFonts w:hint="eastAsia" w:ascii="Times New Roman" w:hAnsi="Times New Roman" w:cs="Times New Roman"/>
          <w:b/>
          <w:bCs w:val="0"/>
          <w:sz w:val="32"/>
          <w:szCs w:val="32"/>
          <w:lang w:val="en-US" w:eastAsia="zh-CN"/>
        </w:rPr>
        <w:t xml:space="preserve"> 日</w:t>
      </w:r>
      <w:r>
        <w:rPr>
          <w:rFonts w:hint="default" w:ascii="Times New Roman" w:hAnsi="Times New Roman" w:eastAsia="宋体" w:cs="Times New Roman"/>
          <w:sz w:val="32"/>
          <w:szCs w:val="32"/>
        </w:rPr>
        <w:br w:type="textWrapping"/>
      </w:r>
    </w:p>
    <w:p w14:paraId="717DC9AD">
      <w:pPr>
        <w:rPr>
          <w:rFonts w:hint="default" w:ascii="Times New Roman" w:hAnsi="Times New Roman" w:eastAsia="宋体" w:cs="Times New Roman"/>
          <w:b/>
          <w:sz w:val="36"/>
          <w:lang w:eastAsia="zh-CN"/>
        </w:rPr>
      </w:pPr>
      <w:r>
        <w:rPr>
          <w:rFonts w:hint="default" w:ascii="Times New Roman" w:hAnsi="Times New Roman" w:eastAsia="宋体" w:cs="Times New Roman"/>
          <w:b/>
          <w:sz w:val="36"/>
          <w:lang w:eastAsia="zh-CN"/>
        </w:rPr>
        <w:br w:type="page"/>
      </w:r>
    </w:p>
    <w:p w14:paraId="1D89328F">
      <w:pPr>
        <w:pStyle w:val="11"/>
        <w:keepNext w:val="0"/>
        <w:keepLines w:val="0"/>
        <w:pageBreakBefore w:val="0"/>
        <w:widowControl w:val="0"/>
        <w:kinsoku/>
        <w:overflowPunct/>
        <w:topLinePunct w:val="0"/>
        <w:autoSpaceDE/>
        <w:autoSpaceDN/>
        <w:bidi w:val="0"/>
        <w:adjustRightInd/>
        <w:snapToGrid/>
        <w:spacing w:line="360" w:lineRule="auto"/>
        <w:ind w:firstLine="3614" w:firstLineChars="10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b/>
          <w:sz w:val="36"/>
          <w:lang w:eastAsia="zh-CN"/>
        </w:rPr>
        <w:t>服务合同</w:t>
      </w:r>
    </w:p>
    <w:p w14:paraId="2230790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eastAsia="zh-CN"/>
        </w:rPr>
        <w:t>采购单位</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w:t>
      </w:r>
      <w:r>
        <w:rPr>
          <w:rFonts w:hint="default" w:ascii="Times New Roman" w:hAnsi="Times New Roman" w:eastAsia="宋体" w:cs="Times New Roman"/>
          <w:sz w:val="24"/>
          <w:szCs w:val="24"/>
          <w:highlight w:val="none"/>
          <w:lang w:val="en-US" w:eastAsia="zh-CN"/>
        </w:rPr>
        <w:t>西安市集中办公区综合管理中心</w:t>
      </w:r>
    </w:p>
    <w:p w14:paraId="2E3CE3EB">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u w:val="single"/>
          <w:lang w:val="en-US" w:eastAsia="zh-CN"/>
        </w:rPr>
      </w:pPr>
      <w:r>
        <w:rPr>
          <w:rFonts w:hint="default" w:ascii="Times New Roman" w:hAnsi="Times New Roman" w:eastAsia="宋体" w:cs="Times New Roman"/>
          <w:sz w:val="24"/>
          <w:szCs w:val="24"/>
          <w:highlight w:val="none"/>
          <w:lang w:eastAsia="zh-CN"/>
        </w:rPr>
        <w:t>中标单位</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r>
        <w:rPr>
          <w:rFonts w:hint="eastAsia" w:ascii="Times New Roman" w:hAnsi="Times New Roman" w:eastAsia="宋体" w:cs="Times New Roman"/>
          <w:sz w:val="24"/>
          <w:szCs w:val="24"/>
          <w:highlight w:val="none"/>
          <w:u w:val="single"/>
          <w:lang w:val="en-US" w:eastAsia="zh-CN"/>
        </w:rPr>
        <w:t xml:space="preserve">                           </w:t>
      </w:r>
    </w:p>
    <w:p w14:paraId="2A8F87F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sz w:val="24"/>
          <w:szCs w:val="24"/>
          <w:highlight w:val="none"/>
        </w:rPr>
        <w:t>依据《中华人民共和国民法典》及</w:t>
      </w:r>
      <w:r>
        <w:rPr>
          <w:rFonts w:hint="default" w:ascii="Times New Roman" w:hAnsi="Times New Roman" w:cs="Times New Roman"/>
          <w:sz w:val="24"/>
          <w:szCs w:val="24"/>
          <w:highlight w:val="none"/>
          <w:lang w:eastAsia="zh-CN"/>
        </w:rPr>
        <w:t>相关</w:t>
      </w:r>
      <w:r>
        <w:rPr>
          <w:rFonts w:hint="default" w:ascii="Times New Roman" w:hAnsi="Times New Roman" w:eastAsia="宋体" w:cs="Times New Roman"/>
          <w:color w:val="auto"/>
          <w:sz w:val="24"/>
          <w:szCs w:val="24"/>
          <w:highlight w:val="none"/>
        </w:rPr>
        <w:t>法律、法规</w:t>
      </w:r>
      <w:r>
        <w:rPr>
          <w:rFonts w:hint="default" w:ascii="Times New Roman" w:hAnsi="Times New Roman" w:eastAsia="宋体" w:cs="Times New Roman"/>
          <w:sz w:val="24"/>
          <w:szCs w:val="24"/>
          <w:highlight w:val="none"/>
        </w:rPr>
        <w:t>，经甲乙双方平等协商，就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方承</w:t>
      </w:r>
      <w:r>
        <w:rPr>
          <w:rFonts w:hint="default" w:ascii="Times New Roman" w:hAnsi="Times New Roman" w:eastAsia="宋体" w:cs="Times New Roman"/>
          <w:color w:val="auto"/>
          <w:sz w:val="24"/>
          <w:szCs w:val="24"/>
          <w:highlight w:val="none"/>
        </w:rPr>
        <w:t>租</w:t>
      </w:r>
      <w:r>
        <w:rPr>
          <w:rFonts w:hint="default" w:ascii="Times New Roman" w:hAnsi="Times New Roman" w:eastAsia="宋体" w:cs="Times New Roman"/>
          <w:color w:val="auto"/>
          <w:sz w:val="24"/>
          <w:szCs w:val="24"/>
          <w:highlight w:val="none"/>
          <w:lang w:val="en-US" w:eastAsia="zh-CN"/>
        </w:rPr>
        <w:t>乙</w:t>
      </w:r>
      <w:r>
        <w:rPr>
          <w:rFonts w:hint="default" w:ascii="Times New Roman" w:hAnsi="Times New Roman" w:eastAsia="宋体" w:cs="Times New Roman"/>
          <w:color w:val="auto"/>
          <w:sz w:val="24"/>
          <w:szCs w:val="24"/>
          <w:highlight w:val="none"/>
        </w:rPr>
        <w:t>方</w:t>
      </w:r>
      <w:r>
        <w:rPr>
          <w:rFonts w:hint="default" w:ascii="Times New Roman" w:hAnsi="Times New Roman" w:cs="Times New Roman"/>
          <w:color w:val="auto"/>
          <w:sz w:val="24"/>
          <w:szCs w:val="24"/>
          <w:highlight w:val="none"/>
          <w:u w:val="single"/>
          <w:lang w:val="en-US" w:eastAsia="zh-CN"/>
        </w:rPr>
        <w:t xml:space="preserve"> 长安国金中心</w:t>
      </w:r>
      <w:r>
        <w:rPr>
          <w:rFonts w:hint="eastAsia" w:ascii="Times New Roman" w:hAnsi="Times New Roman" w:cs="Times New Roman"/>
          <w:color w:val="auto"/>
          <w:sz w:val="24"/>
          <w:szCs w:val="24"/>
          <w:highlight w:val="none"/>
          <w:u w:val="single"/>
          <w:lang w:val="en-US" w:eastAsia="zh-CN"/>
        </w:rPr>
        <w:t>2</w:t>
      </w:r>
      <w:r>
        <w:rPr>
          <w:rFonts w:hint="default" w:ascii="Times New Roman" w:hAnsi="Times New Roman" w:cs="Times New Roman"/>
          <w:color w:val="auto"/>
          <w:sz w:val="24"/>
          <w:szCs w:val="24"/>
          <w:highlight w:val="none"/>
          <w:u w:val="single"/>
          <w:lang w:val="en-US" w:eastAsia="zh-CN"/>
        </w:rPr>
        <w:t xml:space="preserve">号楼  </w:t>
      </w:r>
      <w:r>
        <w:rPr>
          <w:rFonts w:hint="default" w:ascii="Times New Roman" w:hAnsi="Times New Roman" w:eastAsia="宋体" w:cs="Times New Roman"/>
          <w:color w:val="auto"/>
          <w:sz w:val="24"/>
          <w:szCs w:val="24"/>
          <w:highlight w:val="none"/>
        </w:rPr>
        <w:t>有关事宜达成一致，自愿签订本合同。</w:t>
      </w:r>
    </w:p>
    <w:p w14:paraId="3D3A1A67">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第一条  租赁标的</w:t>
      </w:r>
    </w:p>
    <w:p w14:paraId="7D543F05">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方同意依本合同约定向</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方出租位于</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cs="Times New Roman"/>
          <w:sz w:val="24"/>
          <w:szCs w:val="24"/>
          <w:highlight w:val="none"/>
          <w:u w:val="single"/>
          <w:lang w:val="en-US" w:eastAsia="zh-CN"/>
        </w:rPr>
        <w:t>西安市凤城九路与朱宏路交会处东北角的长安国金中心</w:t>
      </w:r>
      <w:r>
        <w:rPr>
          <w:rFonts w:hint="eastAsia" w:ascii="Times New Roman" w:hAnsi="Times New Roman" w:cs="Times New Roman"/>
          <w:sz w:val="24"/>
          <w:szCs w:val="24"/>
          <w:highlight w:val="none"/>
          <w:u w:val="single"/>
          <w:lang w:val="en-US" w:eastAsia="zh-CN"/>
        </w:rPr>
        <w:t>2</w:t>
      </w:r>
      <w:r>
        <w:rPr>
          <w:rFonts w:hint="default" w:ascii="Times New Roman" w:hAnsi="Times New Roman" w:cs="Times New Roman"/>
          <w:sz w:val="24"/>
          <w:szCs w:val="24"/>
          <w:highlight w:val="none"/>
          <w:u w:val="single"/>
          <w:lang w:val="en-US" w:eastAsia="zh-CN"/>
        </w:rPr>
        <w:t>号楼</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（下称简称“租赁房屋”），</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方亦同意承租该房屋作为</w:t>
      </w:r>
      <w:r>
        <w:rPr>
          <w:rFonts w:hint="default" w:ascii="Times New Roman" w:hAnsi="Times New Roman" w:eastAsia="宋体" w:cs="Times New Roman"/>
          <w:sz w:val="24"/>
          <w:szCs w:val="24"/>
          <w:highlight w:val="none"/>
          <w:lang w:val="en-US" w:eastAsia="zh-CN"/>
        </w:rPr>
        <w:t>市级机关凤城九路办公区</w:t>
      </w:r>
      <w:r>
        <w:rPr>
          <w:rFonts w:hint="eastAsia" w:ascii="Times New Roman" w:hAnsi="Times New Roman" w:cs="Times New Roman"/>
          <w:sz w:val="24"/>
          <w:szCs w:val="24"/>
          <w:highlight w:val="none"/>
          <w:lang w:val="en-US" w:eastAsia="zh-CN"/>
        </w:rPr>
        <w:t>2号楼</w:t>
      </w:r>
      <w:r>
        <w:rPr>
          <w:rFonts w:hint="default" w:ascii="Times New Roman" w:hAnsi="Times New Roman" w:eastAsia="宋体" w:cs="Times New Roman"/>
          <w:sz w:val="24"/>
          <w:szCs w:val="24"/>
          <w:highlight w:val="none"/>
          <w:lang w:val="en-US" w:eastAsia="zh-CN"/>
        </w:rPr>
        <w:t>及入住单位</w:t>
      </w:r>
      <w:r>
        <w:rPr>
          <w:rFonts w:hint="default" w:ascii="Times New Roman" w:hAnsi="Times New Roman" w:eastAsia="宋体" w:cs="Times New Roman"/>
          <w:sz w:val="24"/>
          <w:szCs w:val="24"/>
          <w:highlight w:val="none"/>
        </w:rPr>
        <w:t>办公场所。</w:t>
      </w:r>
    </w:p>
    <w:p w14:paraId="737C6D22">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2.</w:t>
      </w:r>
      <w:r>
        <w:rPr>
          <w:rFonts w:hint="default" w:ascii="Times New Roman" w:hAnsi="Times New Roman" w:eastAsia="宋体" w:cs="Times New Roman"/>
          <w:sz w:val="24"/>
          <w:szCs w:val="24"/>
          <w:highlight w:val="none"/>
        </w:rPr>
        <w:t>租赁房屋具体计租面积指租赁房屋的建筑面积</w:t>
      </w:r>
      <w:r>
        <w:rPr>
          <w:rFonts w:hint="default" w:ascii="Times New Roman" w:hAnsi="Times New Roman" w:eastAsia="宋体" w:cs="Times New Roman"/>
          <w:sz w:val="24"/>
          <w:szCs w:val="24"/>
          <w:highlight w:val="none"/>
          <w:lang w:eastAsia="zh-CN"/>
        </w:rPr>
        <w:t>共</w:t>
      </w:r>
      <w:r>
        <w:rPr>
          <w:rFonts w:hint="default" w:ascii="Times New Roman" w:hAnsi="Times New Roman" w:eastAsia="宋体" w:cs="Times New Roman"/>
          <w:sz w:val="24"/>
          <w:szCs w:val="24"/>
          <w:highlight w:val="non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平方米。</w:t>
      </w:r>
    </w:p>
    <w:p w14:paraId="6F40D59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方保证该租赁房屋仅作为办公用途，未经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方书面同意，</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方不得擅自改变租赁房屋的用途，否则为</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方违约，</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方有权解除本租赁合同。</w:t>
      </w:r>
    </w:p>
    <w:p w14:paraId="7F1E6CC3">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租赁费总计（大写）：</w:t>
      </w:r>
      <w:r>
        <w:rPr>
          <w:rFonts w:hint="default" w:ascii="Times New Roman" w:hAnsi="Times New Roman" w:eastAsia="宋体" w:cs="Times New Roman"/>
          <w:sz w:val="24"/>
          <w:szCs w:val="24"/>
          <w:highlight w:val="none"/>
          <w:u w:val="none"/>
          <w:lang w:val="en-US" w:eastAsia="zh-CN"/>
        </w:rPr>
        <w:t xml:space="preserve"> </w:t>
      </w:r>
      <w:r>
        <w:rPr>
          <w:rFonts w:hint="eastAsia" w:ascii="Times New Roman" w:hAnsi="Times New Roman" w:cs="Times New Roman"/>
          <w:color w:val="000000"/>
          <w:sz w:val="24"/>
          <w:szCs w:val="24"/>
          <w:highlight w:val="none"/>
          <w:u w:val="none"/>
          <w:lang w:val="en-US" w:eastAsia="zh-CN"/>
        </w:rPr>
        <w:t>共计</w:t>
      </w:r>
      <w:r>
        <w:rPr>
          <w:rFonts w:hint="eastAsia" w:ascii="Times New Roman" w:hAnsi="Times New Roman" w:cs="Times New Roman"/>
          <w:color w:val="000000"/>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（小写：</w:t>
      </w:r>
      <w:r>
        <w:rPr>
          <w:rFonts w:hint="eastAsia" w:ascii="Times New Roman" w:hAnsi="Times New Roman" w:cs="Times New Roman"/>
          <w:color w:val="auto"/>
          <w:sz w:val="24"/>
          <w:szCs w:val="24"/>
          <w:highlight w:val="none"/>
          <w:lang w:val="en-US" w:eastAsia="zh-CN"/>
        </w:rPr>
        <w:t>人民币</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w:t>
      </w:r>
    </w:p>
    <w:p w14:paraId="21A2F655">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第二条  租赁期间</w:t>
      </w:r>
    </w:p>
    <w:p w14:paraId="2E20C1BA">
      <w:pPr>
        <w:pStyle w:val="11"/>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本项目租赁期为</w:t>
      </w:r>
      <w:r>
        <w:rPr>
          <w:rFonts w:hint="eastAsia" w:ascii="Times New Roman" w:hAnsi="Times New Roman" w:eastAsia="宋体" w:cs="Times New Roman"/>
          <w:sz w:val="24"/>
          <w:szCs w:val="24"/>
          <w:highlight w:val="none"/>
          <w:lang w:val="en-US" w:eastAsia="zh-CN"/>
        </w:rPr>
        <w:t>29个月</w:t>
      </w:r>
      <w:r>
        <w:rPr>
          <w:rFonts w:hint="default" w:ascii="Times New Roman" w:hAnsi="Times New Roman" w:eastAsia="宋体" w:cs="Times New Roman"/>
          <w:sz w:val="24"/>
          <w:szCs w:val="24"/>
          <w:highlight w:val="none"/>
          <w:lang w:val="en-US" w:eastAsia="zh-CN"/>
        </w:rPr>
        <w:t>，合同</w:t>
      </w:r>
      <w:r>
        <w:rPr>
          <w:rFonts w:hint="eastAsia" w:ascii="Times New Roman" w:hAnsi="Times New Roman" w:eastAsia="宋体" w:cs="Times New Roman"/>
          <w:sz w:val="24"/>
          <w:szCs w:val="24"/>
          <w:highlight w:val="none"/>
          <w:lang w:val="en-US" w:eastAsia="zh-CN"/>
        </w:rPr>
        <w:t>一服务期一签</w:t>
      </w:r>
      <w:r>
        <w:rPr>
          <w:rFonts w:hint="default" w:ascii="Times New Roman" w:hAnsi="Times New Roman" w:eastAsia="宋体" w:cs="Times New Roman"/>
          <w:sz w:val="24"/>
          <w:szCs w:val="24"/>
          <w:highlight w:val="none"/>
          <w:lang w:val="en-US" w:eastAsia="zh-CN"/>
        </w:rPr>
        <w:t>，续签条件为年度考核平均分达到95分以上，未满足续签条件，甲方有权终止合同。</w:t>
      </w:r>
    </w:p>
    <w:p w14:paraId="42A4F1A3">
      <w:pPr>
        <w:pStyle w:val="11"/>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本合同为第一服务</w:t>
      </w:r>
      <w:r>
        <w:rPr>
          <w:rFonts w:hint="eastAsia" w:ascii="Times New Roman" w:hAnsi="Times New Roman" w:cs="Times New Roman"/>
          <w:sz w:val="24"/>
          <w:szCs w:val="24"/>
          <w:lang w:val="en-US" w:eastAsia="zh-CN"/>
        </w:rPr>
        <w:t>期</w:t>
      </w:r>
      <w:r>
        <w:rPr>
          <w:rFonts w:hint="default" w:ascii="Times New Roman" w:hAnsi="Times New Roman" w:eastAsia="宋体" w:cs="Times New Roman"/>
          <w:sz w:val="24"/>
          <w:szCs w:val="24"/>
          <w:lang w:val="en-US" w:eastAsia="zh-CN"/>
        </w:rPr>
        <w:t>合同，合同起止时间自</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起</w:t>
      </w:r>
      <w:r>
        <w:rPr>
          <w:rFonts w:hint="default" w:ascii="Times New Roman" w:hAnsi="Times New Roman" w:eastAsia="宋体" w:cs="Times New Roman"/>
          <w:sz w:val="24"/>
          <w:szCs w:val="24"/>
        </w:rPr>
        <w:t>至</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止</w:t>
      </w:r>
      <w:r>
        <w:rPr>
          <w:rFonts w:hint="default" w:ascii="Times New Roman" w:hAnsi="Times New Roman" w:eastAsia="宋体" w:cs="Times New Roman"/>
          <w:sz w:val="24"/>
          <w:szCs w:val="24"/>
          <w:highlight w:val="none"/>
        </w:rPr>
        <w:t>。</w:t>
      </w:r>
    </w:p>
    <w:p w14:paraId="2C6F4F3B">
      <w:pPr>
        <w:pStyle w:val="11"/>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3.乙</w:t>
      </w:r>
      <w:r>
        <w:rPr>
          <w:rFonts w:hint="default" w:ascii="Times New Roman" w:hAnsi="Times New Roman" w:eastAsia="宋体" w:cs="Times New Roman"/>
          <w:sz w:val="24"/>
          <w:szCs w:val="24"/>
          <w:highlight w:val="none"/>
        </w:rPr>
        <w:t>方保证租赁房屋没有产权纠纷，保证对租赁房屋拥有合法的财产权益。如因租赁房屋权利瑕疵给</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方造成无法使用租赁房屋的经济损失的，由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方负责赔偿。</w:t>
      </w:r>
    </w:p>
    <w:p w14:paraId="07BE17B6">
      <w:pPr>
        <w:pStyle w:val="11"/>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4.</w:t>
      </w:r>
      <w:r>
        <w:rPr>
          <w:rFonts w:hint="default" w:ascii="Times New Roman" w:hAnsi="Times New Roman" w:eastAsia="宋体" w:cs="Times New Roman"/>
          <w:sz w:val="24"/>
          <w:szCs w:val="24"/>
          <w:highlight w:val="none"/>
        </w:rPr>
        <w:t>租赁期内，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方有权自主销售租赁房屋但须事先在合理期限内（</w:t>
      </w:r>
      <w:r>
        <w:rPr>
          <w:rFonts w:hint="default" w:ascii="Times New Roman" w:hAnsi="Times New Roman" w:eastAsia="宋体" w:cs="Times New Roman"/>
          <w:sz w:val="24"/>
          <w:szCs w:val="24"/>
          <w:highlight w:val="none"/>
          <w:lang w:val="en-US" w:eastAsia="zh-CN"/>
        </w:rPr>
        <w:t>60</w:t>
      </w:r>
      <w:r>
        <w:rPr>
          <w:rFonts w:hint="default" w:ascii="Times New Roman" w:hAnsi="Times New Roman" w:eastAsia="宋体" w:cs="Times New Roman"/>
          <w:sz w:val="24"/>
          <w:szCs w:val="24"/>
          <w:highlight w:val="none"/>
        </w:rPr>
        <w:t>日内）通知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方享有同等条件优先购买权。如</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方在通知后</w:t>
      </w:r>
      <w:r>
        <w:rPr>
          <w:rFonts w:hint="default" w:ascii="Times New Roman" w:hAnsi="Times New Roman" w:eastAsia="宋体" w:cs="Times New Roman"/>
          <w:sz w:val="24"/>
          <w:szCs w:val="24"/>
          <w:highlight w:val="none"/>
          <w:lang w:val="en-US" w:eastAsia="zh-CN"/>
        </w:rPr>
        <w:t>60</w:t>
      </w:r>
      <w:r>
        <w:rPr>
          <w:rFonts w:hint="default" w:ascii="Times New Roman" w:hAnsi="Times New Roman" w:eastAsia="宋体" w:cs="Times New Roman"/>
          <w:sz w:val="24"/>
          <w:szCs w:val="24"/>
          <w:highlight w:val="none"/>
        </w:rPr>
        <w:t>日内未明确书面表示购买，则视为放弃优先购买权。租赁房屋所有权转让后，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方在租赁期内的承租权对受让人仍为有效。</w:t>
      </w:r>
    </w:p>
    <w:p w14:paraId="43561A5B">
      <w:pPr>
        <w:pStyle w:val="11"/>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租赁期间届满，</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方尚未出售租赁房屋且对外继续</w:t>
      </w:r>
      <w:r>
        <w:rPr>
          <w:rFonts w:hint="default" w:ascii="Times New Roman" w:hAnsi="Times New Roman" w:cs="Times New Roman"/>
          <w:color w:val="auto"/>
          <w:sz w:val="24"/>
          <w:szCs w:val="24"/>
          <w:highlight w:val="none"/>
          <w:lang w:val="en-US" w:eastAsia="zh-CN"/>
        </w:rPr>
        <w:t>出租</w:t>
      </w:r>
      <w:r>
        <w:rPr>
          <w:rFonts w:hint="default" w:ascii="Times New Roman" w:hAnsi="Times New Roman" w:eastAsia="宋体" w:cs="Times New Roman"/>
          <w:color w:val="000000"/>
          <w:sz w:val="24"/>
          <w:szCs w:val="24"/>
          <w:highlight w:val="none"/>
        </w:rPr>
        <w:t>承</w:t>
      </w:r>
      <w:r>
        <w:rPr>
          <w:rFonts w:hint="default" w:ascii="Times New Roman" w:hAnsi="Times New Roman" w:eastAsia="宋体" w:cs="Times New Roman"/>
          <w:sz w:val="24"/>
          <w:szCs w:val="24"/>
          <w:highlight w:val="none"/>
        </w:rPr>
        <w:t>租的，如</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方欲续租租赁房屋，需在合同期满两个月前向</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方提出书面续租，同等条件下</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方享有优先承租权。</w:t>
      </w:r>
    </w:p>
    <w:p w14:paraId="4F5F921F">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rPr>
      </w:pPr>
      <w:r>
        <w:rPr>
          <w:rFonts w:hint="default" w:ascii="Times New Roman" w:hAnsi="Times New Roman" w:eastAsia="宋体" w:cs="Times New Roman"/>
          <w:b/>
          <w:sz w:val="24"/>
          <w:szCs w:val="24"/>
          <w:highlight w:val="none"/>
        </w:rPr>
        <w:t>第三条  租赁房屋交付以及装饰、装修</w:t>
      </w:r>
    </w:p>
    <w:p w14:paraId="548440AB">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1.乙方</w:t>
      </w:r>
      <w:r>
        <w:rPr>
          <w:rFonts w:hint="eastAsia" w:ascii="宋体" w:hAnsi="宋体" w:eastAsia="宋体" w:cs="宋体"/>
          <w:sz w:val="24"/>
          <w:szCs w:val="24"/>
          <w:highlight w:val="none"/>
        </w:rPr>
        <w:t>须根据</w:t>
      </w:r>
      <w:r>
        <w:rPr>
          <w:rFonts w:hint="eastAsia" w:hAnsi="宋体" w:cs="宋体"/>
          <w:sz w:val="24"/>
          <w:szCs w:val="24"/>
          <w:highlight w:val="none"/>
          <w:lang w:val="en-US" w:eastAsia="zh-CN"/>
        </w:rPr>
        <w:t>甲方</w:t>
      </w:r>
      <w:r>
        <w:rPr>
          <w:rFonts w:hint="eastAsia" w:ascii="宋体" w:hAnsi="宋体" w:eastAsia="宋体" w:cs="宋体"/>
          <w:sz w:val="24"/>
          <w:szCs w:val="24"/>
          <w:highlight w:val="none"/>
        </w:rPr>
        <w:t>使用需求提供装修方案，装修方案应当完全符合国家相关装修规范和《党政机关办公用房建设标准》《党政机关办公用房管理办法》《西安市市级党政机关办公（业务）用房租用管理暂行规定》中相关规定。</w:t>
      </w:r>
    </w:p>
    <w:p w14:paraId="091382B0">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2.乙方</w:t>
      </w:r>
      <w:r>
        <w:rPr>
          <w:rFonts w:hint="eastAsia" w:ascii="宋体" w:hAnsi="宋体" w:eastAsia="宋体" w:cs="宋体"/>
          <w:sz w:val="24"/>
          <w:szCs w:val="24"/>
          <w:highlight w:val="none"/>
        </w:rPr>
        <w:t>须根据</w:t>
      </w:r>
      <w:r>
        <w:rPr>
          <w:rFonts w:hint="eastAsia" w:hAnsi="宋体" w:cs="宋体"/>
          <w:sz w:val="24"/>
          <w:szCs w:val="24"/>
          <w:highlight w:val="none"/>
          <w:lang w:val="en-US" w:eastAsia="zh-CN"/>
        </w:rPr>
        <w:t>甲方</w:t>
      </w:r>
      <w:r>
        <w:rPr>
          <w:rFonts w:hint="eastAsia" w:ascii="宋体" w:hAnsi="宋体" w:eastAsia="宋体" w:cs="宋体"/>
          <w:sz w:val="24"/>
          <w:szCs w:val="24"/>
          <w:highlight w:val="none"/>
        </w:rPr>
        <w:t>确定的装饰、装修方案组织实施租赁房屋内部装饰装修的设计、施工，因此而产生的设计费、物料费、施工费等所有费用由</w:t>
      </w:r>
      <w:r>
        <w:rPr>
          <w:rFonts w:hint="eastAsia" w:hAnsi="宋体" w:cs="宋体"/>
          <w:sz w:val="24"/>
          <w:szCs w:val="24"/>
          <w:highlight w:val="none"/>
          <w:lang w:val="en-US" w:eastAsia="zh-CN"/>
        </w:rPr>
        <w:t>乙方</w:t>
      </w:r>
      <w:r>
        <w:rPr>
          <w:rFonts w:hint="eastAsia" w:ascii="宋体" w:hAnsi="宋体" w:eastAsia="宋体" w:cs="宋体"/>
          <w:sz w:val="24"/>
          <w:szCs w:val="24"/>
          <w:highlight w:val="none"/>
        </w:rPr>
        <w:t>承担。</w:t>
      </w:r>
    </w:p>
    <w:p w14:paraId="48CEE990">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hAnsi="宋体" w:cs="宋体"/>
          <w:sz w:val="24"/>
          <w:szCs w:val="24"/>
          <w:highlight w:val="none"/>
          <w:lang w:val="en-US" w:eastAsia="zh-CN"/>
        </w:rPr>
        <w:t>乙方</w:t>
      </w:r>
      <w:r>
        <w:rPr>
          <w:rFonts w:hint="eastAsia" w:ascii="宋体" w:hAnsi="宋体" w:eastAsia="宋体" w:cs="宋体"/>
          <w:sz w:val="24"/>
          <w:szCs w:val="24"/>
          <w:highlight w:val="none"/>
        </w:rPr>
        <w:t>须根据</w:t>
      </w:r>
      <w:r>
        <w:rPr>
          <w:rFonts w:hint="eastAsia" w:hAnsi="宋体" w:cs="宋体"/>
          <w:sz w:val="24"/>
          <w:szCs w:val="24"/>
          <w:highlight w:val="none"/>
          <w:lang w:val="en-US" w:eastAsia="zh-CN"/>
        </w:rPr>
        <w:t>甲方</w:t>
      </w:r>
      <w:r>
        <w:rPr>
          <w:rFonts w:hint="eastAsia" w:ascii="宋体" w:hAnsi="宋体" w:eastAsia="宋体" w:cs="宋体"/>
          <w:sz w:val="24"/>
          <w:szCs w:val="24"/>
          <w:highlight w:val="none"/>
        </w:rPr>
        <w:t>的实际使用需求，依据《西安市市级行政事业单位通用办公设备及家具配置标准（2022年版）》为所出租房屋内配备办公家具，由此所产生的相关费用由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7EF73D42">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在租赁期限内</w:t>
      </w:r>
      <w:r>
        <w:rPr>
          <w:rFonts w:hint="eastAsia" w:hAnsi="宋体" w:cs="宋体"/>
          <w:sz w:val="24"/>
          <w:szCs w:val="24"/>
          <w:highlight w:val="none"/>
          <w:lang w:eastAsia="zh-CN"/>
        </w:rPr>
        <w:t>乙方</w:t>
      </w:r>
      <w:r>
        <w:rPr>
          <w:rFonts w:hint="eastAsia" w:ascii="宋体" w:hAnsi="宋体" w:eastAsia="宋体" w:cs="宋体"/>
          <w:sz w:val="24"/>
          <w:szCs w:val="24"/>
          <w:highlight w:val="none"/>
        </w:rPr>
        <w:t>应保证所出租房屋的正常使用。</w:t>
      </w:r>
      <w:r>
        <w:rPr>
          <w:rFonts w:hint="eastAsia" w:hAnsi="宋体" w:cs="宋体"/>
          <w:sz w:val="24"/>
          <w:szCs w:val="24"/>
          <w:highlight w:val="none"/>
          <w:lang w:eastAsia="zh-CN"/>
        </w:rPr>
        <w:t>乙方</w:t>
      </w:r>
      <w:r>
        <w:rPr>
          <w:rFonts w:hint="eastAsia" w:ascii="宋体" w:hAnsi="宋体" w:eastAsia="宋体" w:cs="宋体"/>
          <w:sz w:val="24"/>
          <w:szCs w:val="24"/>
          <w:highlight w:val="none"/>
        </w:rPr>
        <w:t>须承担房屋主体结构、给排水管道、取暖设施设备、电力设施设备等相关配套设施设备的维修和保养。对租赁物因质量问题或装修问题影响</w:t>
      </w:r>
      <w:r>
        <w:rPr>
          <w:rFonts w:hint="eastAsia" w:hAnsi="宋体" w:cs="宋体"/>
          <w:sz w:val="24"/>
          <w:szCs w:val="24"/>
          <w:highlight w:val="none"/>
          <w:lang w:eastAsia="zh-CN"/>
        </w:rPr>
        <w:t>甲方</w:t>
      </w:r>
      <w:r>
        <w:rPr>
          <w:rFonts w:hint="eastAsia" w:ascii="宋体" w:hAnsi="宋体" w:eastAsia="宋体" w:cs="宋体"/>
          <w:sz w:val="24"/>
          <w:szCs w:val="24"/>
          <w:highlight w:val="none"/>
        </w:rPr>
        <w:t>正常使用或造成的安全隐患(包括但不限于房屋及附属设施和设备的不能正常使用、损坏、漏水、线路出现问题等)负责。发生问题时，须及时安排人员维修，保证在当天内恢复正常使用状态。</w:t>
      </w:r>
    </w:p>
    <w:p w14:paraId="3A3BC9A8">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在租赁期限内</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须按要求配齐消防设施设备,并负责所有消防设施设备的维修，确保</w:t>
      </w:r>
      <w:r>
        <w:rPr>
          <w:rFonts w:hint="eastAsia" w:hAnsi="宋体" w:cs="宋体"/>
          <w:sz w:val="24"/>
          <w:szCs w:val="24"/>
          <w:highlight w:val="none"/>
          <w:lang w:eastAsia="zh-CN"/>
        </w:rPr>
        <w:t>甲方</w:t>
      </w:r>
      <w:r>
        <w:rPr>
          <w:rFonts w:hint="eastAsia" w:ascii="宋体" w:hAnsi="宋体" w:eastAsia="宋体" w:cs="宋体"/>
          <w:sz w:val="24"/>
          <w:szCs w:val="24"/>
          <w:highlight w:val="none"/>
        </w:rPr>
        <w:t>的正常使用。</w:t>
      </w:r>
    </w:p>
    <w:p w14:paraId="448A3465">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要求做好智能化节能系统(包含但不限于灯光、空调、能耗数据统计、分析及管理等智能化信息平台)建设，满足节约型机关建设要求，由此所产生的相关费用由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单位承担。</w:t>
      </w:r>
    </w:p>
    <w:p w14:paraId="0A9B74EE">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要求做好新能源光伏系统及配套设施设备建设，由此所产生的相关费用由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411C87F8">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要求做好能源费用托管及其他与此有关的各项工作，由此所产生的相关费用由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5F6687E8">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hAnsi="宋体" w:cs="宋体"/>
          <w:sz w:val="24"/>
          <w:szCs w:val="24"/>
          <w:highlight w:val="none"/>
          <w:lang w:eastAsia="zh-CN"/>
        </w:rPr>
        <w:t>乙方</w:t>
      </w:r>
      <w:r>
        <w:rPr>
          <w:rFonts w:hint="eastAsia" w:ascii="宋体" w:hAnsi="宋体" w:eastAsia="宋体" w:cs="宋体"/>
          <w:sz w:val="24"/>
          <w:szCs w:val="24"/>
          <w:highlight w:val="none"/>
        </w:rPr>
        <w:t>需按照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要求做好门禁系统及配套硬件设施采购与建设工作，由此所产生的相关费用由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承担，公共资源交易中心利旧设备不纳入采购范围，如需调整以实际所需为准（利旧设备清单详见附件一）。</w:t>
      </w:r>
    </w:p>
    <w:p w14:paraId="65043668">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hAnsi="宋体" w:cs="宋体"/>
          <w:sz w:val="24"/>
          <w:szCs w:val="24"/>
          <w:highlight w:val="none"/>
          <w:lang w:eastAsia="zh-CN"/>
        </w:rPr>
        <w:t>乙方</w:t>
      </w:r>
      <w:r>
        <w:rPr>
          <w:rFonts w:hint="eastAsia" w:ascii="宋体" w:hAnsi="宋体" w:eastAsia="宋体" w:cs="宋体"/>
          <w:sz w:val="24"/>
          <w:szCs w:val="24"/>
          <w:highlight w:val="none"/>
        </w:rPr>
        <w:t>需按照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要求做好门禁系统及配套硬件设施的日常维护工作，由此所产生的相关费用由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38A28CC5">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hAnsi="宋体" w:cs="宋体"/>
          <w:sz w:val="24"/>
          <w:szCs w:val="24"/>
          <w:highlight w:val="none"/>
          <w:lang w:eastAsia="zh-CN"/>
        </w:rPr>
        <w:t>乙方</w:t>
      </w:r>
      <w:r>
        <w:rPr>
          <w:rFonts w:hint="eastAsia" w:ascii="宋体" w:hAnsi="宋体" w:eastAsia="宋体" w:cs="宋体"/>
          <w:sz w:val="24"/>
          <w:szCs w:val="24"/>
          <w:highlight w:val="none"/>
        </w:rPr>
        <w:t>需按照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要求做好公共资源交易中心利旧设备日常管理工作，由此所产生的相关费用由公共资源交易中心自行承担。</w:t>
      </w:r>
    </w:p>
    <w:p w14:paraId="1B082343">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要求做好智联机关配套设施建设，由此而产生的相关费用由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0170D003">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13.</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要求做好信息化运维管理界面日常维护工作。（详见附件二）</w:t>
      </w:r>
    </w:p>
    <w:p w14:paraId="3859A92A">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14.</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要求做好区域各楼层机房的配电、消防、监控、空调，以及政务网络设备资产和硬件运维工作，由此而产生的相关费用由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19D97016">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15.</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要求做好会议及系统配套设施建设，由此而产生的相关费用由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679D2BE4">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16.</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要求做好规范化、信息化智能停车场建设，由此而产生的相关费用由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46E16D1B">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17.</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要求做好所需的增值服务（楼内专有部分咨询服务、入户保洁服务、入户秩序维护服务等），由此而产生的相关费用由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79D04E5C">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18.</w:t>
      </w:r>
      <w:r>
        <w:rPr>
          <w:rFonts w:hint="eastAsia" w:hAnsi="宋体" w:cs="宋体"/>
          <w:sz w:val="24"/>
          <w:szCs w:val="24"/>
          <w:highlight w:val="none"/>
          <w:lang w:eastAsia="zh-CN"/>
        </w:rPr>
        <w:t>乙方</w:t>
      </w:r>
      <w:r>
        <w:rPr>
          <w:rFonts w:hint="eastAsia" w:ascii="宋体" w:hAnsi="宋体" w:eastAsia="宋体" w:cs="宋体"/>
          <w:sz w:val="24"/>
          <w:szCs w:val="24"/>
          <w:highlight w:val="none"/>
        </w:rPr>
        <w:t>需以</w:t>
      </w:r>
      <w:r>
        <w:rPr>
          <w:rFonts w:hint="eastAsia" w:hAnsi="宋体" w:cs="宋体"/>
          <w:sz w:val="24"/>
          <w:szCs w:val="24"/>
          <w:highlight w:val="none"/>
          <w:lang w:eastAsia="zh-CN"/>
        </w:rPr>
        <w:t>甲方</w:t>
      </w:r>
      <w:r>
        <w:rPr>
          <w:rFonts w:hint="eastAsia" w:ascii="宋体" w:hAnsi="宋体" w:eastAsia="宋体" w:cs="宋体"/>
          <w:sz w:val="24"/>
          <w:szCs w:val="24"/>
          <w:highlight w:val="none"/>
        </w:rPr>
        <w:t>的考核结果为依据，支付增值服务费用。并向</w:t>
      </w:r>
      <w:r>
        <w:rPr>
          <w:rFonts w:hint="eastAsia" w:hAnsi="宋体" w:cs="宋体"/>
          <w:sz w:val="24"/>
          <w:szCs w:val="24"/>
          <w:highlight w:val="none"/>
          <w:lang w:eastAsia="zh-CN"/>
        </w:rPr>
        <w:t>甲方</w:t>
      </w:r>
      <w:r>
        <w:rPr>
          <w:rFonts w:hint="eastAsia" w:ascii="宋体" w:hAnsi="宋体" w:eastAsia="宋体" w:cs="宋体"/>
          <w:sz w:val="24"/>
          <w:szCs w:val="24"/>
          <w:highlight w:val="none"/>
        </w:rPr>
        <w:t>提供相关凭证，若未能提供相关凭证，</w:t>
      </w:r>
      <w:r>
        <w:rPr>
          <w:rFonts w:hint="eastAsia" w:hAnsi="宋体" w:cs="宋体"/>
          <w:sz w:val="24"/>
          <w:szCs w:val="24"/>
          <w:highlight w:val="none"/>
          <w:lang w:eastAsia="zh-CN"/>
        </w:rPr>
        <w:t>甲方</w:t>
      </w:r>
      <w:r>
        <w:rPr>
          <w:rFonts w:hint="eastAsia" w:ascii="宋体" w:hAnsi="宋体" w:eastAsia="宋体" w:cs="宋体"/>
          <w:sz w:val="24"/>
          <w:szCs w:val="24"/>
          <w:highlight w:val="none"/>
        </w:rPr>
        <w:t>有权在下一支付周期扣除相关费用。</w:t>
      </w:r>
    </w:p>
    <w:p w14:paraId="7D44EF06">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19.</w:t>
      </w:r>
      <w:r>
        <w:rPr>
          <w:rFonts w:hint="eastAsia" w:hAnsi="宋体" w:cs="宋体"/>
          <w:sz w:val="24"/>
          <w:szCs w:val="24"/>
          <w:highlight w:val="none"/>
          <w:lang w:eastAsia="zh-CN"/>
        </w:rPr>
        <w:t>乙方</w:t>
      </w:r>
      <w:r>
        <w:rPr>
          <w:rFonts w:hint="eastAsia" w:ascii="宋体" w:hAnsi="宋体" w:eastAsia="宋体" w:cs="宋体"/>
          <w:sz w:val="24"/>
          <w:szCs w:val="24"/>
          <w:highlight w:val="none"/>
        </w:rPr>
        <w:t>须全力配合</w:t>
      </w:r>
      <w:r>
        <w:rPr>
          <w:rFonts w:hint="eastAsia" w:hAnsi="宋体" w:cs="宋体"/>
          <w:sz w:val="24"/>
          <w:szCs w:val="24"/>
          <w:highlight w:val="none"/>
          <w:lang w:eastAsia="zh-CN"/>
        </w:rPr>
        <w:t>甲方</w:t>
      </w:r>
      <w:r>
        <w:rPr>
          <w:rFonts w:hint="eastAsia" w:ascii="宋体" w:hAnsi="宋体" w:eastAsia="宋体" w:cs="宋体"/>
          <w:sz w:val="24"/>
          <w:szCs w:val="24"/>
          <w:highlight w:val="none"/>
        </w:rPr>
        <w:t>，做好办公用房调整过程中涉及的装饰装修及修缮工程相关工作。</w:t>
      </w:r>
    </w:p>
    <w:p w14:paraId="26A1B830">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20.</w:t>
      </w:r>
      <w:r>
        <w:rPr>
          <w:rFonts w:hint="eastAsia" w:hAnsi="宋体" w:cs="宋体"/>
          <w:sz w:val="24"/>
          <w:szCs w:val="24"/>
          <w:highlight w:val="none"/>
          <w:lang w:eastAsia="zh-CN"/>
        </w:rPr>
        <w:t>乙方</w:t>
      </w:r>
      <w:r>
        <w:rPr>
          <w:rFonts w:hint="eastAsia" w:ascii="宋体" w:hAnsi="宋体" w:eastAsia="宋体" w:cs="宋体"/>
          <w:sz w:val="24"/>
          <w:szCs w:val="24"/>
          <w:highlight w:val="none"/>
        </w:rPr>
        <w:t>须按照</w:t>
      </w:r>
      <w:r>
        <w:rPr>
          <w:rFonts w:hint="eastAsia" w:hAnsi="宋体" w:cs="宋体"/>
          <w:sz w:val="24"/>
          <w:szCs w:val="24"/>
          <w:highlight w:val="none"/>
          <w:lang w:eastAsia="zh-CN"/>
        </w:rPr>
        <w:t>甲方</w:t>
      </w:r>
      <w:r>
        <w:rPr>
          <w:rFonts w:hint="eastAsia" w:ascii="宋体" w:hAnsi="宋体" w:eastAsia="宋体" w:cs="宋体"/>
          <w:sz w:val="24"/>
          <w:szCs w:val="24"/>
          <w:highlight w:val="none"/>
        </w:rPr>
        <w:t>要求做好高压增容双回路电路改造,由此而产生的相关费用由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785497F4">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hAnsi="宋体" w:cs="宋体"/>
          <w:sz w:val="24"/>
          <w:szCs w:val="24"/>
          <w:highlight w:val="none"/>
          <w:lang w:eastAsia="zh-CN"/>
        </w:rPr>
        <w:t>乙方</w:t>
      </w:r>
      <w:r>
        <w:rPr>
          <w:rFonts w:hint="eastAsia" w:ascii="宋体" w:hAnsi="宋体" w:eastAsia="宋体" w:cs="宋体"/>
          <w:sz w:val="24"/>
          <w:szCs w:val="24"/>
          <w:highlight w:val="none"/>
        </w:rPr>
        <w:t>每年须对所出租房屋进行一次甲醛检测，并出具检测报告;甲醛检测不合格时，</w:t>
      </w:r>
      <w:r>
        <w:rPr>
          <w:rFonts w:hint="eastAsia" w:hAnsi="宋体" w:cs="宋体"/>
          <w:sz w:val="24"/>
          <w:szCs w:val="24"/>
          <w:highlight w:val="none"/>
          <w:lang w:eastAsia="zh-CN"/>
        </w:rPr>
        <w:t>乙方</w:t>
      </w:r>
      <w:r>
        <w:rPr>
          <w:rFonts w:hint="eastAsia" w:ascii="宋体" w:hAnsi="宋体" w:eastAsia="宋体" w:cs="宋体"/>
          <w:sz w:val="24"/>
          <w:szCs w:val="24"/>
          <w:highlight w:val="none"/>
        </w:rPr>
        <w:t>须对所出租房屋进行甲醛治理，治理完成后进行甲醛检测，并出具检测报告。</w:t>
      </w:r>
    </w:p>
    <w:p w14:paraId="5E1BF67D">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入住后</w:t>
      </w:r>
      <w:r>
        <w:rPr>
          <w:rFonts w:hint="eastAsia" w:hAnsi="宋体" w:cs="宋体"/>
          <w:sz w:val="24"/>
          <w:szCs w:val="24"/>
          <w:highlight w:val="none"/>
          <w:lang w:eastAsia="zh-CN"/>
        </w:rPr>
        <w:t>甲方</w:t>
      </w:r>
      <w:r>
        <w:rPr>
          <w:rFonts w:hint="eastAsia" w:ascii="宋体" w:hAnsi="宋体" w:eastAsia="宋体" w:cs="宋体"/>
          <w:sz w:val="24"/>
          <w:szCs w:val="24"/>
          <w:highlight w:val="none"/>
        </w:rPr>
        <w:t>为完善使用功能而提出的房屋改造、设施设备装配、家具配备等费用均由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1D2C222E">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如因房屋有严重的质量问题或法律权属上的瑕疵，影响正常使用，</w:t>
      </w:r>
      <w:r>
        <w:rPr>
          <w:rFonts w:hint="eastAsia" w:hAnsi="宋体" w:cs="宋体"/>
          <w:sz w:val="24"/>
          <w:szCs w:val="24"/>
          <w:highlight w:val="none"/>
          <w:lang w:eastAsia="zh-CN"/>
        </w:rPr>
        <w:t>甲方</w:t>
      </w:r>
      <w:r>
        <w:rPr>
          <w:rFonts w:hint="eastAsia" w:ascii="宋体" w:hAnsi="宋体" w:eastAsia="宋体" w:cs="宋体"/>
          <w:sz w:val="24"/>
          <w:szCs w:val="24"/>
          <w:highlight w:val="none"/>
        </w:rPr>
        <w:t>有权直接解除合同。</w:t>
      </w:r>
    </w:p>
    <w:p w14:paraId="452596E7">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24.</w:t>
      </w:r>
      <w:r>
        <w:rPr>
          <w:rFonts w:hint="eastAsia" w:hAnsi="宋体" w:cs="宋体"/>
          <w:sz w:val="24"/>
          <w:szCs w:val="24"/>
          <w:highlight w:val="none"/>
          <w:lang w:eastAsia="zh-CN"/>
        </w:rPr>
        <w:t>乙方</w:t>
      </w:r>
      <w:r>
        <w:rPr>
          <w:rFonts w:hint="eastAsia" w:ascii="宋体" w:hAnsi="宋体" w:eastAsia="宋体" w:cs="宋体"/>
          <w:sz w:val="24"/>
          <w:szCs w:val="24"/>
          <w:highlight w:val="none"/>
        </w:rPr>
        <w:t>须对租赁期内所出租房屋主体、设施设备、消防安全等负安全管理责任:租赁期内所出租房屋主体、设施设备和消防的(包括但不限于设施设备添配、消防系统检测、消防改造、消防备案等)维修、改造、更换、添配等相关事宜均由</w:t>
      </w:r>
      <w:r>
        <w:rPr>
          <w:rFonts w:hint="eastAsia" w:hAnsi="宋体" w:cs="宋体"/>
          <w:sz w:val="24"/>
          <w:szCs w:val="24"/>
          <w:highlight w:val="none"/>
          <w:lang w:eastAsia="zh-CN"/>
        </w:rPr>
        <w:t>乙方</w:t>
      </w:r>
      <w:r>
        <w:rPr>
          <w:rFonts w:hint="eastAsia" w:ascii="宋体" w:hAnsi="宋体" w:eastAsia="宋体" w:cs="宋体"/>
          <w:sz w:val="24"/>
          <w:szCs w:val="24"/>
          <w:highlight w:val="none"/>
        </w:rPr>
        <w:t>负责。</w:t>
      </w:r>
    </w:p>
    <w:p w14:paraId="041B7F59">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须按照</w:t>
      </w: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rPr>
        <w:t>确定的时间节点保质保量完成该办公楼的室内外装修、办公家具配置和设施设备安装；</w:t>
      </w: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rPr>
        <w:t>可按照《长安国金中心2号楼装修改造项目考核办法》和《长安国金中心2号楼装修改造项目考核细则》对</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对办公楼的室内外装修、办公家具配置和设施设备安装的完成进度、完成质量、施工现场管理、安全管理等内容进行考评打分。</w:t>
      </w:r>
    </w:p>
    <w:p w14:paraId="587E4651">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第四条  租赁费标准及支付方式</w:t>
      </w:r>
    </w:p>
    <w:p w14:paraId="30EB8BEA">
      <w:pPr>
        <w:pStyle w:val="11"/>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租赁期内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方向</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方支付租赁费，租赁费用标准为：每月每建筑平方米人民币（含税）[</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]元整（大写：[</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]元整），租赁房屋每月租赁费用为人民币[</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]元（大写：[</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000000"/>
          <w:sz w:val="24"/>
          <w:szCs w:val="24"/>
          <w:highlight w:val="none"/>
          <w:lang w:val="en-US" w:eastAsia="zh-CN"/>
        </w:rPr>
        <w:t>年度租赁费用为含税价</w:t>
      </w:r>
      <w:r>
        <w:rPr>
          <w:rFonts w:hint="default" w:ascii="Times New Roman" w:hAnsi="Times New Roman" w:eastAsia="宋体" w:cs="Times New Roman"/>
          <w:color w:val="000000"/>
          <w:sz w:val="24"/>
          <w:szCs w:val="24"/>
          <w:highlight w:val="none"/>
        </w:rPr>
        <w:t>[</w:t>
      </w:r>
      <w:r>
        <w:rPr>
          <w:rFonts w:hint="eastAsia" w:ascii="Times New Roman" w:hAnsi="Times New Roman" w:cs="Times New Roman"/>
          <w:color w:val="000000"/>
          <w:sz w:val="24"/>
          <w:szCs w:val="24"/>
          <w:highlight w:val="none"/>
          <w:u w:val="single"/>
          <w:lang w:val="en-US" w:eastAsia="zh-CN"/>
        </w:rPr>
        <w:t xml:space="preserve">     </w:t>
      </w:r>
      <w:r>
        <w:rPr>
          <w:rFonts w:hint="default" w:ascii="Times New Roman" w:hAnsi="Times New Roman" w:eastAsia="宋体"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元</w:t>
      </w:r>
      <w:r>
        <w:rPr>
          <w:rFonts w:hint="default" w:ascii="Times New Roman" w:hAnsi="Times New Roman" w:eastAsia="宋体" w:cs="Times New Roman"/>
          <w:color w:val="000000"/>
          <w:sz w:val="24"/>
          <w:szCs w:val="24"/>
          <w:highlight w:val="none"/>
        </w:rPr>
        <w:t>（大写：[</w:t>
      </w:r>
      <w:r>
        <w:rPr>
          <w:rFonts w:hint="eastAsia" w:ascii="Times New Roman" w:hAnsi="Times New Roman" w:cs="Times New Roman"/>
          <w:color w:val="000000"/>
          <w:sz w:val="24"/>
          <w:highlight w:val="none"/>
          <w:u w:val="single"/>
          <w:lang w:val="en-US" w:eastAsia="zh-CN"/>
        </w:rPr>
        <w:t xml:space="preserve">        </w:t>
      </w:r>
      <w:r>
        <w:rPr>
          <w:rFonts w:hint="default" w:ascii="Times New Roman" w:hAnsi="Times New Roman" w:eastAsia="宋体"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，其中不含税价为</w:t>
      </w:r>
      <w:r>
        <w:rPr>
          <w:rFonts w:hint="default" w:ascii="Times New Roman" w:hAnsi="Times New Roman" w:eastAsia="宋体" w:cs="Times New Roman"/>
          <w:color w:val="000000"/>
          <w:sz w:val="24"/>
          <w:szCs w:val="24"/>
          <w:highlight w:val="none"/>
        </w:rPr>
        <w:t>[</w:t>
      </w:r>
      <w:r>
        <w:rPr>
          <w:rFonts w:hint="eastAsia" w:ascii="Times New Roman" w:hAnsi="Times New Roman" w:cs="Times New Roman"/>
          <w:color w:val="000000"/>
          <w:sz w:val="24"/>
          <w:szCs w:val="24"/>
          <w:highlight w:val="none"/>
          <w:u w:val="single"/>
          <w:lang w:val="en-US" w:eastAsia="zh-CN"/>
        </w:rPr>
        <w:t xml:space="preserve">      </w:t>
      </w:r>
      <w:r>
        <w:rPr>
          <w:rFonts w:hint="default" w:ascii="Times New Roman" w:hAnsi="Times New Roman" w:eastAsia="宋体"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元，税额</w:t>
      </w:r>
      <w:r>
        <w:rPr>
          <w:rFonts w:hint="default" w:ascii="Times New Roman" w:hAnsi="Times New Roman" w:eastAsia="宋体" w:cs="Times New Roman"/>
          <w:color w:val="000000"/>
          <w:sz w:val="24"/>
          <w:szCs w:val="24"/>
          <w:highlight w:val="none"/>
        </w:rPr>
        <w:t>[</w:t>
      </w:r>
      <w:r>
        <w:rPr>
          <w:rFonts w:hint="eastAsia" w:ascii="Times New Roman" w:hAnsi="Times New Roman" w:cs="Times New Roman"/>
          <w:color w:val="000000"/>
          <w:sz w:val="24"/>
          <w:szCs w:val="24"/>
          <w:highlight w:val="none"/>
          <w:u w:val="single"/>
          <w:lang w:val="en-US" w:eastAsia="zh-CN"/>
        </w:rPr>
        <w:t xml:space="preserve">       </w:t>
      </w:r>
      <w:r>
        <w:rPr>
          <w:rFonts w:hint="default" w:ascii="Times New Roman" w:hAnsi="Times New Roman" w:eastAsia="宋体"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元</w:t>
      </w:r>
      <w:r>
        <w:rPr>
          <w:rFonts w:hint="default" w:ascii="Times New Roman" w:hAnsi="Times New Roman" w:eastAsia="宋体" w:cs="Times New Roman"/>
          <w:color w:val="000000"/>
          <w:sz w:val="24"/>
          <w:szCs w:val="24"/>
          <w:highlight w:val="none"/>
        </w:rPr>
        <w:t>。租赁期内租赁费不递增。</w:t>
      </w:r>
    </w:p>
    <w:p w14:paraId="45449BE8">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租金自合同签订后</w:t>
      </w:r>
      <w:r>
        <w:rPr>
          <w:rFonts w:hint="default" w:ascii="Times New Roman" w:hAnsi="Times New Roman" w:eastAsia="宋体" w:cs="Times New Roman"/>
          <w:sz w:val="24"/>
          <w:szCs w:val="24"/>
          <w:highlight w:val="none"/>
          <w:lang w:val="en-US" w:eastAsia="zh-CN"/>
        </w:rPr>
        <w:t>甲方对乙方进行考核，考核完成后甲方在半年</w:t>
      </w:r>
      <w:r>
        <w:rPr>
          <w:rFonts w:hint="default" w:ascii="Times New Roman" w:hAnsi="Times New Roman" w:eastAsia="宋体" w:cs="Times New Roman"/>
          <w:sz w:val="24"/>
          <w:szCs w:val="24"/>
          <w:highlight w:val="none"/>
        </w:rPr>
        <w:t>（6个月）</w:t>
      </w:r>
      <w:r>
        <w:rPr>
          <w:rFonts w:hint="default" w:ascii="Times New Roman" w:hAnsi="Times New Roman" w:eastAsia="宋体" w:cs="Times New Roman"/>
          <w:sz w:val="24"/>
          <w:szCs w:val="24"/>
          <w:highlight w:val="none"/>
          <w:lang w:val="en-US" w:eastAsia="zh-CN"/>
        </w:rPr>
        <w:t>租赁费</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]元整（大写：[</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]元整）</w:t>
      </w:r>
      <w:r>
        <w:rPr>
          <w:rFonts w:hint="default" w:ascii="Times New Roman" w:hAnsi="Times New Roman" w:eastAsia="宋体" w:cs="Times New Roman"/>
          <w:sz w:val="24"/>
          <w:szCs w:val="24"/>
          <w:highlight w:val="none"/>
          <w:lang w:val="en-US" w:eastAsia="zh-CN"/>
        </w:rPr>
        <w:t>中扣除考核金后向乙方支付剩余金额（即：半年租赁费</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lang w:val="en-US" w:eastAsia="zh-CN"/>
        </w:rPr>
        <w:t>元-需扣除的对应考核金）</w:t>
      </w:r>
      <w:r>
        <w:rPr>
          <w:rFonts w:hint="default" w:ascii="Times New Roman" w:hAnsi="Times New Roman" w:eastAsia="宋体" w:cs="Times New Roman"/>
          <w:sz w:val="24"/>
          <w:szCs w:val="24"/>
          <w:highlight w:val="none"/>
        </w:rPr>
        <w:t>。以后每半年</w:t>
      </w:r>
      <w:r>
        <w:rPr>
          <w:rFonts w:hint="default" w:ascii="Times New Roman" w:hAnsi="Times New Roman" w:eastAsia="宋体" w:cs="Times New Roman"/>
          <w:sz w:val="24"/>
          <w:szCs w:val="24"/>
          <w:highlight w:val="none"/>
          <w:lang w:val="en-US" w:eastAsia="zh-CN"/>
        </w:rPr>
        <w:t>甲方对乙方进行考核后</w:t>
      </w:r>
      <w:r>
        <w:rPr>
          <w:rFonts w:hint="default" w:ascii="Times New Roman" w:hAnsi="Times New Roman" w:eastAsia="宋体" w:cs="Times New Roman"/>
          <w:sz w:val="24"/>
          <w:szCs w:val="24"/>
          <w:highlight w:val="none"/>
        </w:rPr>
        <w:t>按相同</w:t>
      </w:r>
      <w:r>
        <w:rPr>
          <w:rFonts w:hint="default" w:ascii="Times New Roman" w:hAnsi="Times New Roman" w:eastAsia="宋体" w:cs="Times New Roman"/>
          <w:sz w:val="24"/>
          <w:szCs w:val="24"/>
          <w:highlight w:val="none"/>
          <w:lang w:val="en-US" w:eastAsia="zh-CN"/>
        </w:rPr>
        <w:t>流程支付租赁费</w:t>
      </w:r>
      <w:r>
        <w:rPr>
          <w:rFonts w:hint="default" w:ascii="Times New Roman" w:hAnsi="Times New Roman" w:eastAsia="宋体" w:cs="Times New Roman"/>
          <w:sz w:val="24"/>
          <w:szCs w:val="24"/>
          <w:highlight w:val="none"/>
        </w:rPr>
        <w:t>。每次付款时，</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方需向</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方提供租赁费的增值税普通发票。</w:t>
      </w:r>
    </w:p>
    <w:p w14:paraId="725F9079">
      <w:pPr>
        <w:pStyle w:val="11"/>
        <w:keepNext w:val="0"/>
        <w:keepLines w:val="0"/>
        <w:pageBreakBefore w:val="0"/>
        <w:widowControl w:val="0"/>
        <w:shd w:val="clear" w:color="auto" w:fill="auto"/>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方账户如下：</w:t>
      </w:r>
    </w:p>
    <w:p w14:paraId="140596BC">
      <w:pPr>
        <w:pStyle w:val="11"/>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u w:val="single"/>
          <w:shd w:val="clear" w:color="auto" w:fill="auto"/>
          <w:lang w:val="en-US" w:eastAsia="zh-CN"/>
        </w:rPr>
      </w:pPr>
      <w:r>
        <w:rPr>
          <w:rFonts w:hint="default" w:ascii="Times New Roman" w:hAnsi="Times New Roman" w:eastAsia="宋体" w:cs="Times New Roman"/>
          <w:sz w:val="24"/>
          <w:szCs w:val="24"/>
          <w:highlight w:val="none"/>
          <w:shd w:val="clear" w:color="auto" w:fill="auto"/>
        </w:rPr>
        <w:t>账  号：</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eastAsia" w:ascii="Times New Roman" w:hAnsi="Times New Roman"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p>
    <w:p w14:paraId="2A2F8392">
      <w:pPr>
        <w:pStyle w:val="11"/>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u w:val="single"/>
          <w:shd w:val="clear" w:color="auto" w:fill="auto"/>
          <w:lang w:val="en-US" w:eastAsia="zh-CN"/>
        </w:rPr>
      </w:pPr>
      <w:r>
        <w:rPr>
          <w:rFonts w:hint="default" w:ascii="Times New Roman" w:hAnsi="Times New Roman" w:eastAsia="宋体" w:cs="Times New Roman"/>
          <w:sz w:val="24"/>
          <w:szCs w:val="24"/>
          <w:highlight w:val="none"/>
          <w:shd w:val="clear" w:color="auto" w:fill="auto"/>
        </w:rPr>
        <w:t>账户名：</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eastAsia" w:ascii="Times New Roman" w:hAnsi="Times New Roman"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eastAsia" w:ascii="Times New Roman" w:hAnsi="Times New Roman"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p>
    <w:p w14:paraId="2719E9D3">
      <w:pPr>
        <w:pStyle w:val="11"/>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u w:val="single"/>
          <w:shd w:val="clear" w:color="auto" w:fill="auto"/>
          <w:lang w:val="en-US" w:eastAsia="zh-CN"/>
        </w:rPr>
      </w:pPr>
      <w:r>
        <w:rPr>
          <w:rFonts w:hint="default" w:ascii="Times New Roman" w:hAnsi="Times New Roman" w:eastAsia="宋体" w:cs="Times New Roman"/>
          <w:sz w:val="24"/>
          <w:szCs w:val="24"/>
          <w:highlight w:val="none"/>
          <w:shd w:val="clear" w:color="auto" w:fill="auto"/>
        </w:rPr>
        <w:t>开户行：</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eastAsia" w:ascii="Times New Roman" w:hAnsi="Times New Roman"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eastAsia" w:ascii="Times New Roman" w:hAnsi="Times New Roman"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shd w:val="clear" w:color="auto" w:fill="auto"/>
          <w:lang w:val="en-US" w:eastAsia="zh-CN"/>
        </w:rPr>
        <w:t xml:space="preserve">   </w:t>
      </w:r>
    </w:p>
    <w:p w14:paraId="4AC2D211">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第五条  租赁房屋设施设备维修</w:t>
      </w:r>
    </w:p>
    <w:p w14:paraId="4C6EC18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租赁房屋由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方负责进行维修并承担费用。</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方未履行维修义务的，</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方可以自行维修，维修费用由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方负担，由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方从租赁费中扣除。</w:t>
      </w:r>
    </w:p>
    <w:p w14:paraId="5F972DDA">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租赁房屋内部的水、电路、灯具及开关、电话线路、卫生间设施由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方负责维修、维护并承担费用。</w:t>
      </w:r>
    </w:p>
    <w:p w14:paraId="69AE999E">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租赁房屋内的宽带、电话等公共服务设施及开户、使用由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方自行办理相关手续及承担相关费用和维修责任。</w:t>
      </w:r>
    </w:p>
    <w:p w14:paraId="009F9130">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rPr>
        <w:t>租赁房屋内部二次消防设施由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方建设并办理申报、施工及验收手续，并承担相关费用。</w:t>
      </w:r>
    </w:p>
    <w:p w14:paraId="482BFC8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5.</w:t>
      </w:r>
      <w:r>
        <w:rPr>
          <w:rFonts w:hint="default" w:ascii="Times New Roman" w:hAnsi="Times New Roman" w:eastAsia="宋体" w:cs="Times New Roman"/>
          <w:sz w:val="24"/>
          <w:szCs w:val="24"/>
          <w:highlight w:val="none"/>
        </w:rPr>
        <w:t>承租期内，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方应对租赁房屋主体结构及原有配套设施每年检查、修缮时，</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方应予积极协助，不得阻挠施工。但</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方应提前以书面形式告知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方，如对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方造成影响的，需由甲乙双方共同协商确定检查、修缮时间，且该维修不得对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方造成不必要的损失，否则</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方应承担赔偿责任。</w:t>
      </w:r>
    </w:p>
    <w:p w14:paraId="12AAE2A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6.</w:t>
      </w:r>
      <w:r>
        <w:rPr>
          <w:rFonts w:hint="default" w:ascii="Times New Roman" w:hAnsi="Times New Roman" w:eastAsia="宋体" w:cs="Times New Roman"/>
          <w:sz w:val="24"/>
          <w:szCs w:val="24"/>
          <w:highlight w:val="none"/>
        </w:rPr>
        <w:t>承租期内，租赁房屋的防火安全、治安事件、安全事故、综合治理及安全保卫、环保、创卫等工作，</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方应执行政府有关部门以及物业管理公司的规定并承担相应责任。</w:t>
      </w:r>
    </w:p>
    <w:p w14:paraId="376F76A2">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该办公楼主体结构维修、楼体附属设施设备维修更换添配、办公家具维修更换添配等费用由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承担，以上维修作业由</w:t>
      </w:r>
      <w:r>
        <w:rPr>
          <w:rFonts w:hint="eastAsia" w:hAnsi="宋体" w:cs="宋体"/>
          <w:sz w:val="24"/>
          <w:szCs w:val="24"/>
          <w:highlight w:val="none"/>
          <w:lang w:eastAsia="zh-CN"/>
        </w:rPr>
        <w:t>乙方</w:t>
      </w:r>
      <w:r>
        <w:rPr>
          <w:rFonts w:hint="eastAsia" w:ascii="宋体" w:hAnsi="宋体" w:eastAsia="宋体" w:cs="宋体"/>
          <w:sz w:val="24"/>
          <w:szCs w:val="24"/>
          <w:highlight w:val="none"/>
        </w:rPr>
        <w:t>委托物业服务企业组织实施。办公区公共区域及户内维修，维修费用＜3000元的由物业服务企业负责，维修费用≥3000元的由</w:t>
      </w:r>
      <w:r>
        <w:rPr>
          <w:rFonts w:hint="eastAsia" w:hAnsi="宋体" w:cs="宋体"/>
          <w:sz w:val="24"/>
          <w:szCs w:val="24"/>
          <w:highlight w:val="none"/>
          <w:lang w:eastAsia="zh-CN"/>
        </w:rPr>
        <w:t>乙方</w:t>
      </w:r>
      <w:r>
        <w:rPr>
          <w:rFonts w:hint="eastAsia" w:ascii="宋体" w:hAnsi="宋体" w:eastAsia="宋体" w:cs="宋体"/>
          <w:sz w:val="24"/>
          <w:szCs w:val="24"/>
          <w:highlight w:val="none"/>
        </w:rPr>
        <w:t>负责，维修作业由物业服务企业组织实施。</w:t>
      </w:r>
    </w:p>
    <w:p w14:paraId="45516E8A">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sz w:val="24"/>
          <w:szCs w:val="24"/>
          <w:highlight w:val="none"/>
        </w:rPr>
        <w:t xml:space="preserve">第六条   </w:t>
      </w:r>
      <w:r>
        <w:rPr>
          <w:rFonts w:hint="default" w:ascii="Times New Roman" w:hAnsi="Times New Roman" w:eastAsia="宋体" w:cs="Times New Roman"/>
          <w:b/>
          <w:sz w:val="24"/>
          <w:szCs w:val="24"/>
          <w:highlight w:val="none"/>
          <w:lang w:val="en-US" w:eastAsia="zh-CN"/>
        </w:rPr>
        <w:t>停车场建设及停车服务</w:t>
      </w:r>
    </w:p>
    <w:p w14:paraId="390F7F25">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1、机动车辆停放</w:t>
      </w:r>
    </w:p>
    <w:p w14:paraId="6D2EDB81">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cs="宋体"/>
          <w:sz w:val="24"/>
          <w:szCs w:val="24"/>
          <w:highlight w:val="none"/>
          <w:lang w:eastAsia="zh-CN"/>
        </w:rPr>
        <w:t>乙方</w:t>
      </w:r>
      <w:r>
        <w:rPr>
          <w:rFonts w:hint="eastAsia" w:ascii="宋体" w:hAnsi="宋体" w:eastAsia="宋体" w:cs="宋体"/>
          <w:sz w:val="24"/>
          <w:szCs w:val="24"/>
          <w:highlight w:val="none"/>
        </w:rPr>
        <w:t>需在凤城九路办公区临近区域规划建设停车场，停车场固定停车泊位数量不少于400个，项目竣工验收合格后将管理权移交至租赁方管理，该停车场用于保障2号楼干部职工停车使用。</w:t>
      </w:r>
    </w:p>
    <w:p w14:paraId="1ACDD5E8">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2.非机动车辆停放</w:t>
      </w:r>
    </w:p>
    <w:p w14:paraId="11931A65">
      <w:pPr>
        <w:pStyle w:val="11"/>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highlight w:val="yellow"/>
        </w:rPr>
      </w:pPr>
      <w:r>
        <w:rPr>
          <w:rFonts w:hint="eastAsia" w:hAnsi="宋体" w:cs="宋体"/>
          <w:sz w:val="24"/>
          <w:szCs w:val="24"/>
          <w:highlight w:val="none"/>
          <w:lang w:eastAsia="zh-CN"/>
        </w:rPr>
        <w:t>乙方</w:t>
      </w:r>
      <w:r>
        <w:rPr>
          <w:rFonts w:hint="eastAsia" w:ascii="宋体" w:hAnsi="宋体" w:eastAsia="宋体" w:cs="宋体"/>
          <w:sz w:val="24"/>
          <w:szCs w:val="24"/>
          <w:highlight w:val="none"/>
        </w:rPr>
        <w:t>须根据</w:t>
      </w:r>
      <w:r>
        <w:rPr>
          <w:rFonts w:hint="eastAsia" w:hAnsi="宋体" w:cs="宋体"/>
          <w:sz w:val="24"/>
          <w:szCs w:val="24"/>
          <w:highlight w:val="none"/>
          <w:lang w:eastAsia="zh-CN"/>
        </w:rPr>
        <w:t>甲方</w:t>
      </w:r>
      <w:r>
        <w:rPr>
          <w:rFonts w:hint="eastAsia" w:ascii="宋体" w:hAnsi="宋体" w:eastAsia="宋体" w:cs="宋体"/>
          <w:sz w:val="24"/>
          <w:szCs w:val="24"/>
          <w:highlight w:val="none"/>
        </w:rPr>
        <w:t>需求做好非机动车辆停车场及与其相关的充电设施设备建设，因此而产生的费用由</w:t>
      </w:r>
      <w:r>
        <w:rPr>
          <w:rFonts w:hint="eastAsia" w:hAnsi="宋体" w:cs="宋体"/>
          <w:sz w:val="24"/>
          <w:szCs w:val="24"/>
          <w:highlight w:val="none"/>
          <w:lang w:eastAsia="zh-CN"/>
        </w:rPr>
        <w:t>乙方</w:t>
      </w:r>
      <w:r>
        <w:rPr>
          <w:rFonts w:hint="eastAsia" w:ascii="宋体" w:hAnsi="宋体" w:eastAsia="宋体" w:cs="宋体"/>
          <w:sz w:val="24"/>
          <w:szCs w:val="24"/>
          <w:highlight w:val="none"/>
        </w:rPr>
        <w:t>承担。</w:t>
      </w:r>
    </w:p>
    <w:p w14:paraId="569079FA">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default" w:ascii="Times New Roman" w:hAnsi="Times New Roman" w:eastAsia="宋体" w:cs="Times New Roman"/>
          <w:b/>
          <w:sz w:val="24"/>
          <w:szCs w:val="24"/>
          <w:highlight w:val="none"/>
          <w:lang w:val="en-US" w:eastAsia="zh-CN"/>
        </w:rPr>
        <w:t>七</w:t>
      </w:r>
      <w:r>
        <w:rPr>
          <w:rFonts w:hint="default" w:ascii="Times New Roman" w:hAnsi="Times New Roman" w:eastAsia="宋体" w:cs="Times New Roman"/>
          <w:b/>
          <w:sz w:val="24"/>
          <w:szCs w:val="24"/>
          <w:highlight w:val="none"/>
        </w:rPr>
        <w:t>条   租赁期间管理</w:t>
      </w:r>
    </w:p>
    <w:p w14:paraId="1B8BFA3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方保证对租赁房屋的使用和一切经营活动遵守国家和地方有关的法律法规，并遵守</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方及物业管理公司有关房屋管理的规定。</w:t>
      </w:r>
    </w:p>
    <w:p w14:paraId="207F65B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承租期内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方应保持租赁房屋及各项附属设施设备清洁完好，在租赁期满时，将其以正常状态（正常磨损除外）交还</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p>
    <w:p w14:paraId="0AFB41C1">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方不许自行或允许他人在租赁房屋内存放有毒有害、易燃易爆、腐蚀性的危险物品，亦不得自行或允许他人在租赁房屋内放置超过楼层设计载荷的物品，或装设可能引起震动、噪音、异味、干扰的机具，</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方应对由此造成的安全责任、人身伤害、财产损失（包含甲方房屋）承担赔偿责任，并且</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方有权解除合同。</w:t>
      </w:r>
    </w:p>
    <w:p w14:paraId="1067B89B">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方负责租赁房屋、所经营货物、物品及其他设施、消费客户的安全，包括对自然灾害的保险及治安防盗等。</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方应对租赁范围内发生的安全责任、人身伤害、财产损失（包含甲方房屋）承担相应责任并赔偿损失。</w:t>
      </w:r>
    </w:p>
    <w:p w14:paraId="2E12C84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方架设或悬挂店招、广告牌应经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方及物业管理公司同意，遵守政府有关管理规定经审批许可并承担有关费用后方可实施。</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方对所架设或悬挂店招、广告牌承担管理及维护责任，应对由此造成的安全责任、人身伤害、财产损失（包含</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方房屋）承担责任。</w:t>
      </w:r>
    </w:p>
    <w:p w14:paraId="729EEF8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租赁期满或双方协商一致提前终止合同，自租赁期满或双方约定的交屋日之次日，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方即对租赁房屋享有占有、使用、收益、处分之权利。若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方在租赁期满或双方约定的交屋日仍未将租赁房屋返还</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方应书面告知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方并给予不少于10天的搬离期限。</w:t>
      </w:r>
    </w:p>
    <w:p w14:paraId="3D1D429F">
      <w:pPr>
        <w:keepNext w:val="0"/>
        <w:keepLines w:val="0"/>
        <w:pageBreakBefore w:val="0"/>
        <w:widowControl w:val="0"/>
        <w:kinsoku/>
        <w:overflowPunct/>
        <w:topLinePunct w:val="0"/>
        <w:autoSpaceDE/>
        <w:autoSpaceDN/>
        <w:bidi w:val="0"/>
        <w:adjustRightInd/>
        <w:snapToGrid/>
        <w:spacing w:line="560" w:lineRule="exact"/>
        <w:ind w:firstLine="480" w:firstLineChars="200"/>
        <w:jc w:val="left"/>
        <w:textAlignment w:val="auto"/>
        <w:rPr>
          <w:rFonts w:hint="default" w:ascii="Times New Roman" w:hAnsi="Times New Roman" w:eastAsia="宋体" w:cs="Times New Roman"/>
          <w:sz w:val="24"/>
          <w:szCs w:val="24"/>
          <w:highlight w:val="none"/>
          <w:lang w:val="en-US" w:eastAsia="zh-CN" w:bidi="ar-SA"/>
        </w:rPr>
      </w:pPr>
      <w:r>
        <w:rPr>
          <w:rFonts w:hint="eastAsia" w:ascii="Times New Roman" w:hAnsi="Times New Roman" w:cs="Times New Roman"/>
          <w:sz w:val="24"/>
          <w:szCs w:val="24"/>
          <w:highlight w:val="none"/>
          <w:lang w:val="en-US" w:eastAsia="zh-CN" w:bidi="ar-SA"/>
        </w:rPr>
        <w:t>7</w:t>
      </w:r>
      <w:r>
        <w:rPr>
          <w:rFonts w:hint="default" w:ascii="Times New Roman" w:hAnsi="Times New Roman" w:eastAsia="宋体" w:cs="Times New Roman"/>
          <w:sz w:val="24"/>
          <w:szCs w:val="24"/>
          <w:highlight w:val="none"/>
          <w:lang w:val="en-US" w:eastAsia="zh-CN" w:bidi="ar-SA"/>
        </w:rPr>
        <w:t>.乙方须对租赁期内所出租房屋主体、设施设备、消防安全等负安全管理责任，租赁期内所出租房屋主体、设施设备、消防等维护、保养、修缮等均由乙方负责。</w:t>
      </w:r>
    </w:p>
    <w:p w14:paraId="3FA2F88A">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default" w:ascii="Times New Roman" w:hAnsi="Times New Roman" w:eastAsia="宋体" w:cs="Times New Roman"/>
          <w:b/>
          <w:sz w:val="24"/>
          <w:szCs w:val="24"/>
          <w:highlight w:val="none"/>
          <w:lang w:val="en-US" w:eastAsia="zh-CN"/>
        </w:rPr>
        <w:t>八</w:t>
      </w:r>
      <w:r>
        <w:rPr>
          <w:rFonts w:hint="default" w:ascii="Times New Roman" w:hAnsi="Times New Roman" w:eastAsia="宋体" w:cs="Times New Roman"/>
          <w:b/>
          <w:sz w:val="24"/>
          <w:szCs w:val="24"/>
          <w:highlight w:val="none"/>
        </w:rPr>
        <w:t>条  双方权利义务</w:t>
      </w:r>
    </w:p>
    <w:p w14:paraId="2223A21E">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租赁房屋不得供赌博等非法经营或目的之使用。</w:t>
      </w:r>
    </w:p>
    <w:p w14:paraId="387A422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租赁房屋之公共区域及公共设备等，</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方不得放置物品或为居住</w:t>
      </w:r>
      <w:r>
        <w:rPr>
          <w:rFonts w:hint="eastAsia"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加装设备等任何方式之占用，遵守物业管理规约相关安全规则。</w:t>
      </w:r>
    </w:p>
    <w:p w14:paraId="7F6EF100">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由于不可抗力（不可抗力是指无法预见或虽可预见但无法控制或避免且不能克服所发生的事件，包括但不限于地震、战争）的发生致使本合同项下各项义务无法正常履行时，其履行可以减免或延迟，直至影响其正常履行的因素消失；如不可抗力的发生致使本合同无法继续履行，本合同终止，双方不承担责任。</w:t>
      </w:r>
    </w:p>
    <w:p w14:paraId="49C10523">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rPr>
        <w:t>租赁期间，</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方如欲将租赁房屋进行房屋转租或分租，必须征得</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方的书面同意；否则转租或分租无效，</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方有权解除租赁合同。</w:t>
      </w:r>
    </w:p>
    <w:p w14:paraId="66D1A2A3">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5.</w:t>
      </w:r>
      <w:r>
        <w:rPr>
          <w:rFonts w:hint="default" w:ascii="Times New Roman" w:hAnsi="Times New Roman" w:eastAsia="宋体" w:cs="Times New Roman"/>
          <w:sz w:val="24"/>
          <w:szCs w:val="24"/>
          <w:highlight w:val="none"/>
        </w:rPr>
        <w:t>租赁期内，甲方应尽所有合理的努力，确保对房屋的维护、维修，不得对该房屋或乙方的资产造成任何损坏，不得永久性或实质性改变该房屋结构或尺寸，损害该房屋或公共区域的安全或干扰乙方使用该房屋。</w:t>
      </w:r>
    </w:p>
    <w:p w14:paraId="787A87E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6.</w:t>
      </w:r>
      <w:r>
        <w:rPr>
          <w:rFonts w:hint="default" w:ascii="Times New Roman" w:hAnsi="Times New Roman" w:eastAsia="宋体" w:cs="Times New Roman"/>
          <w:sz w:val="24"/>
          <w:szCs w:val="24"/>
          <w:highlight w:val="none"/>
        </w:rPr>
        <w:t>租赁期内，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方应确保</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方及其员工、访客、客户能够不受妨碍地进出租赁房屋，不得对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方所租赁房屋停水停电或阻碍</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方进入租赁房屋。</w:t>
      </w:r>
    </w:p>
    <w:p w14:paraId="55451F64">
      <w:pPr>
        <w:keepNext w:val="0"/>
        <w:keepLines w:val="0"/>
        <w:pageBreakBefore w:val="0"/>
        <w:widowControl w:val="0"/>
        <w:kinsoku/>
        <w:overflowPunct/>
        <w:topLinePunct w:val="0"/>
        <w:autoSpaceDE/>
        <w:autoSpaceDN/>
        <w:bidi w:val="0"/>
        <w:adjustRightInd/>
        <w:snapToGrid/>
        <w:spacing w:line="560" w:lineRule="exact"/>
        <w:ind w:firstLine="480" w:firstLineChars="200"/>
        <w:jc w:val="left"/>
        <w:textAlignment w:val="auto"/>
        <w:rPr>
          <w:rFonts w:hint="default" w:ascii="Times New Roman" w:hAnsi="Times New Roman" w:eastAsia="宋体" w:cs="Times New Roman"/>
          <w:sz w:val="24"/>
          <w:szCs w:val="24"/>
          <w:highlight w:val="none"/>
          <w:lang w:val="en-US" w:eastAsia="zh-CN" w:bidi="ar-SA"/>
        </w:rPr>
      </w:pPr>
      <w:r>
        <w:rPr>
          <w:rFonts w:hint="default" w:ascii="Times New Roman" w:hAnsi="Times New Roman" w:cs="Times New Roman"/>
          <w:sz w:val="24"/>
          <w:szCs w:val="24"/>
          <w:highlight w:val="none"/>
          <w:lang w:val="en-US" w:eastAsia="zh-CN" w:bidi="ar-SA"/>
        </w:rPr>
        <w:t>7.</w:t>
      </w:r>
      <w:r>
        <w:rPr>
          <w:rFonts w:hint="default" w:ascii="Times New Roman" w:hAnsi="Times New Roman" w:eastAsia="宋体" w:cs="Times New Roman"/>
          <w:sz w:val="24"/>
          <w:szCs w:val="24"/>
          <w:highlight w:val="none"/>
          <w:lang w:val="en-US" w:eastAsia="zh-CN" w:bidi="ar-SA"/>
        </w:rPr>
        <w:t>租赁期内，乙方应确保按照单一来源采购文件、单一来源采购响应文件、甲方要求进行服务。</w:t>
      </w:r>
    </w:p>
    <w:p w14:paraId="459ACFDC">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default" w:ascii="Times New Roman" w:hAnsi="Times New Roman" w:eastAsia="宋体" w:cs="Times New Roman"/>
          <w:b/>
          <w:sz w:val="24"/>
          <w:szCs w:val="24"/>
          <w:highlight w:val="none"/>
          <w:lang w:val="en-US" w:eastAsia="zh-CN"/>
        </w:rPr>
        <w:t>九</w:t>
      </w:r>
      <w:r>
        <w:rPr>
          <w:rFonts w:hint="default" w:ascii="Times New Roman" w:hAnsi="Times New Roman" w:eastAsia="宋体" w:cs="Times New Roman"/>
          <w:b/>
          <w:sz w:val="24"/>
          <w:szCs w:val="24"/>
          <w:highlight w:val="none"/>
        </w:rPr>
        <w:t xml:space="preserve">条  </w:t>
      </w:r>
      <w:r>
        <w:rPr>
          <w:rFonts w:hint="default" w:ascii="Times New Roman" w:hAnsi="Times New Roman" w:eastAsia="宋体" w:cs="Times New Roman"/>
          <w:b/>
          <w:sz w:val="24"/>
          <w:szCs w:val="24"/>
          <w:highlight w:val="none"/>
          <w:lang w:val="en-US" w:eastAsia="zh-CN"/>
        </w:rPr>
        <w:t>甲</w:t>
      </w:r>
      <w:r>
        <w:rPr>
          <w:rFonts w:hint="default" w:ascii="Times New Roman" w:hAnsi="Times New Roman" w:eastAsia="宋体" w:cs="Times New Roman"/>
          <w:b/>
          <w:sz w:val="24"/>
          <w:szCs w:val="24"/>
          <w:highlight w:val="none"/>
        </w:rPr>
        <w:t>方之终止事由</w:t>
      </w:r>
    </w:p>
    <w:p w14:paraId="4B15A45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因不可归责于双方之事由，致租赁房屋之全部或一部遭受天灾、地震、战争、内乱或其他不可抗力事故等原因而不能使用者，经双方确认后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方可就</w:t>
      </w:r>
      <w:r>
        <w:rPr>
          <w:rFonts w:hint="default" w:ascii="Times New Roman" w:hAnsi="Times New Roman" w:eastAsia="宋体" w:cs="Times New Roman"/>
          <w:sz w:val="24"/>
          <w:szCs w:val="24"/>
          <w:highlight w:val="none"/>
          <w:lang w:val="en-US" w:eastAsia="zh-CN"/>
        </w:rPr>
        <w:t>已</w:t>
      </w:r>
      <w:r>
        <w:rPr>
          <w:rFonts w:hint="default" w:ascii="Times New Roman" w:hAnsi="Times New Roman" w:eastAsia="宋体" w:cs="Times New Roman"/>
          <w:sz w:val="24"/>
          <w:szCs w:val="24"/>
          <w:highlight w:val="none"/>
        </w:rPr>
        <w:t>不能使用部分之面积与本租赁房屋之面积之比例，减少租赁费用，直至受损部分完全恢复使用为止；或经双方书面同意后终止本合同。</w:t>
      </w:r>
    </w:p>
    <w:p w14:paraId="633286D2">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因不可归责于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方之事由致本租赁房屋毁损，剩余部分已不符合</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方使用之目的的，</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方可以书面通知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方终止本合同。</w:t>
      </w:r>
    </w:p>
    <w:p w14:paraId="58AA02E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3.因</w:t>
      </w:r>
      <w:r>
        <w:rPr>
          <w:rFonts w:hint="default" w:ascii="Times New Roman" w:hAnsi="Times New Roman" w:eastAsia="宋体" w:cs="Times New Roman"/>
          <w:sz w:val="24"/>
          <w:szCs w:val="24"/>
          <w:highlight w:val="none"/>
        </w:rPr>
        <w:t>国家政策调整、编制体制调整、机构改革</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政府办公（业务）用房调整</w:t>
      </w:r>
      <w:r>
        <w:rPr>
          <w:rFonts w:hint="default" w:ascii="Times New Roman" w:hAnsi="Times New Roman" w:eastAsia="宋体" w:cs="Times New Roman"/>
          <w:sz w:val="24"/>
          <w:szCs w:val="24"/>
          <w:highlight w:val="none"/>
        </w:rPr>
        <w:t>等不可抗力因素</w:t>
      </w:r>
      <w:r>
        <w:rPr>
          <w:rFonts w:hint="default" w:ascii="Times New Roman" w:hAnsi="Times New Roman" w:eastAsia="宋体" w:cs="Times New Roman"/>
          <w:sz w:val="24"/>
          <w:szCs w:val="24"/>
          <w:highlight w:val="none"/>
          <w:lang w:val="en-US" w:eastAsia="zh-CN"/>
        </w:rPr>
        <w:t>，致使</w:t>
      </w:r>
      <w:r>
        <w:rPr>
          <w:rFonts w:hint="default" w:ascii="Times New Roman" w:hAnsi="Times New Roman" w:eastAsia="宋体" w:cs="Times New Roman"/>
          <w:sz w:val="24"/>
          <w:szCs w:val="24"/>
          <w:highlight w:val="none"/>
        </w:rPr>
        <w:t>本合同无法继续履行，本合同终止，双方不承担责任。</w:t>
      </w:r>
    </w:p>
    <w:p w14:paraId="6093407E">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b/>
          <w:sz w:val="24"/>
          <w:szCs w:val="24"/>
          <w:highlight w:val="none"/>
        </w:rPr>
      </w:pPr>
      <w:r>
        <w:rPr>
          <w:rFonts w:hint="default"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因前</w:t>
      </w:r>
      <w:r>
        <w:rPr>
          <w:rFonts w:hint="default" w:ascii="Times New Roman" w:hAnsi="Times New Roman" w:eastAsia="宋体" w:cs="Times New Roman"/>
          <w:sz w:val="24"/>
          <w:szCs w:val="24"/>
          <w:highlight w:val="none"/>
          <w:lang w:val="en-US" w:eastAsia="zh-CN"/>
        </w:rPr>
        <w:t>三</w:t>
      </w:r>
      <w:r>
        <w:rPr>
          <w:rFonts w:hint="default" w:ascii="Times New Roman" w:hAnsi="Times New Roman" w:eastAsia="宋体" w:cs="Times New Roman"/>
          <w:sz w:val="24"/>
          <w:szCs w:val="24"/>
          <w:highlight w:val="none"/>
        </w:rPr>
        <w:t>项情形而终止本合同时，</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方应于确认</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方已履行本合同规定之所有义务后，于本合同终止【六十】日内由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方以书面形式通知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p>
    <w:p w14:paraId="7F3CA369">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default" w:ascii="Times New Roman" w:hAnsi="Times New Roman" w:eastAsia="宋体" w:cs="Times New Roman"/>
          <w:b/>
          <w:sz w:val="24"/>
          <w:szCs w:val="24"/>
          <w:highlight w:val="none"/>
          <w:lang w:val="en-US" w:eastAsia="zh-CN"/>
        </w:rPr>
        <w:t>十</w:t>
      </w:r>
      <w:r>
        <w:rPr>
          <w:rFonts w:hint="default" w:ascii="Times New Roman" w:hAnsi="Times New Roman" w:eastAsia="宋体" w:cs="Times New Roman"/>
          <w:b/>
          <w:sz w:val="24"/>
          <w:szCs w:val="24"/>
          <w:highlight w:val="none"/>
        </w:rPr>
        <w:t xml:space="preserve">条  </w:t>
      </w:r>
      <w:r>
        <w:rPr>
          <w:rFonts w:hint="default" w:ascii="Times New Roman" w:hAnsi="Times New Roman" w:eastAsia="宋体" w:cs="Times New Roman"/>
          <w:b/>
          <w:sz w:val="24"/>
          <w:szCs w:val="24"/>
          <w:highlight w:val="none"/>
          <w:lang w:val="en-US" w:eastAsia="zh-CN"/>
        </w:rPr>
        <w:t>乙</w:t>
      </w:r>
      <w:r>
        <w:rPr>
          <w:rFonts w:hint="default" w:ascii="Times New Roman" w:hAnsi="Times New Roman" w:eastAsia="宋体" w:cs="Times New Roman"/>
          <w:b/>
          <w:sz w:val="24"/>
          <w:szCs w:val="24"/>
          <w:highlight w:val="none"/>
        </w:rPr>
        <w:t>方之终止事由</w:t>
      </w:r>
    </w:p>
    <w:p w14:paraId="2EFDB8B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方有下列各款规定情形之一且在</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方告知后仍未改正者，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方可以书面通知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方单方终止本合同，双方合同自通知之日解除，</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方应赔偿</w:t>
      </w:r>
      <w:r>
        <w:rPr>
          <w:rFonts w:hint="default" w:ascii="Times New Roman" w:hAnsi="Times New Roman" w:cs="Times New Roman"/>
          <w:sz w:val="24"/>
          <w:szCs w:val="24"/>
          <w:highlight w:val="none"/>
          <w:lang w:eastAsia="zh-CN"/>
        </w:rPr>
        <w:t>乙方</w:t>
      </w:r>
      <w:r>
        <w:rPr>
          <w:rFonts w:hint="default" w:ascii="Times New Roman" w:hAnsi="Times New Roman" w:eastAsia="宋体" w:cs="Times New Roman"/>
          <w:sz w:val="24"/>
          <w:szCs w:val="24"/>
          <w:highlight w:val="none"/>
        </w:rPr>
        <w:t>因此所发生之一切损失：</w:t>
      </w:r>
    </w:p>
    <w:p w14:paraId="503E98DB">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方延迟支付或拒付租赁费用达30日及以上。</w:t>
      </w:r>
    </w:p>
    <w:p w14:paraId="190A1023">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方自行携入、存放或同意第三人携入、存放任何武器、弹药、硝石、煤油、液化瓦斯等易燃、爆炸之违禁物或危险物品于租赁房屋内。</w:t>
      </w:r>
    </w:p>
    <w:p w14:paraId="2AA6C12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严重违反物业管理规约或者损害租赁房屋主体结构或附属设施，经催告拒不承担修缮责任的</w:t>
      </w:r>
      <w:r>
        <w:rPr>
          <w:rFonts w:hint="default" w:ascii="Times New Roman" w:hAnsi="Times New Roman" w:eastAsia="宋体" w:cs="Times New Roman"/>
          <w:sz w:val="24"/>
          <w:szCs w:val="24"/>
          <w:highlight w:val="none"/>
          <w:lang w:eastAsia="zh-CN"/>
        </w:rPr>
        <w:t>。</w:t>
      </w:r>
    </w:p>
    <w:p w14:paraId="5E229DB5">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方在签订和履行合同中存在欺诈、弄虚作假、胁迫等损害</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方和物业公司利益情形的</w:t>
      </w:r>
      <w:r>
        <w:rPr>
          <w:rFonts w:hint="default" w:ascii="Times New Roman" w:hAnsi="Times New Roman" w:eastAsia="宋体" w:cs="Times New Roman"/>
          <w:sz w:val="24"/>
          <w:szCs w:val="24"/>
          <w:highlight w:val="none"/>
          <w:lang w:eastAsia="zh-CN"/>
        </w:rPr>
        <w:t>。</w:t>
      </w:r>
    </w:p>
    <w:p w14:paraId="0E72377B">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default" w:ascii="Times New Roman" w:hAnsi="Times New Roman" w:eastAsia="宋体" w:cs="Times New Roman"/>
          <w:b/>
          <w:sz w:val="24"/>
          <w:szCs w:val="24"/>
          <w:highlight w:val="none"/>
          <w:lang w:val="en-US" w:eastAsia="zh-CN"/>
        </w:rPr>
        <w:t>一</w:t>
      </w:r>
      <w:r>
        <w:rPr>
          <w:rFonts w:hint="default" w:ascii="Times New Roman" w:hAnsi="Times New Roman" w:eastAsia="宋体" w:cs="Times New Roman"/>
          <w:b/>
          <w:sz w:val="24"/>
          <w:szCs w:val="24"/>
          <w:highlight w:val="none"/>
        </w:rPr>
        <w:t>条  租赁期间届满与提前终止</w:t>
      </w:r>
    </w:p>
    <w:p w14:paraId="714ABF9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租赁期间届满，若未经双方依本合同约定方式续约，本合同自然终止。</w:t>
      </w:r>
    </w:p>
    <w:p w14:paraId="3F7BA8EE">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除本合同另有约定外，</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方有正当理由可提前终止合同，但须提前3个月前以书面方式通知</w:t>
      </w:r>
      <w:r>
        <w:rPr>
          <w:rFonts w:hint="default" w:ascii="Times New Roman" w:hAnsi="Times New Roman" w:cs="Times New Roman"/>
          <w:color w:val="000000"/>
          <w:sz w:val="24"/>
          <w:szCs w:val="24"/>
          <w:highlight w:val="none"/>
          <w:lang w:val="en-US" w:eastAsia="zh-CN"/>
        </w:rPr>
        <w:t>乙</w:t>
      </w:r>
      <w:r>
        <w:rPr>
          <w:rFonts w:hint="default" w:ascii="Times New Roman" w:hAnsi="Times New Roman" w:eastAsia="宋体" w:cs="Times New Roman"/>
          <w:color w:val="000000"/>
          <w:sz w:val="24"/>
          <w:szCs w:val="24"/>
          <w:highlight w:val="none"/>
        </w:rPr>
        <w:t>方</w:t>
      </w:r>
      <w:r>
        <w:rPr>
          <w:rFonts w:hint="default" w:ascii="Times New Roman" w:hAnsi="Times New Roman" w:eastAsia="宋体" w:cs="Times New Roman"/>
          <w:sz w:val="24"/>
          <w:szCs w:val="24"/>
          <w:highlight w:val="none"/>
        </w:rPr>
        <w:t>，合同期内的租金按实际租赁月数据实结算。</w:t>
      </w:r>
    </w:p>
    <w:p w14:paraId="354E06A8">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方于本合同终止或租赁期间届满时，未按本合同约定返还租赁房屋予</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方，自本合同终止或租赁期间届满的次日起，</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方应按本合同约定租赁费用的两倍向</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方支付实际占有期间的占有使用费。</w:t>
      </w:r>
    </w:p>
    <w:p w14:paraId="28E1CADF">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default" w:ascii="Times New Roman" w:hAnsi="Times New Roman" w:eastAsia="宋体" w:cs="Times New Roman"/>
          <w:b/>
          <w:sz w:val="24"/>
          <w:szCs w:val="24"/>
          <w:highlight w:val="none"/>
          <w:lang w:val="en-US" w:eastAsia="zh-CN"/>
        </w:rPr>
        <w:t>二</w:t>
      </w:r>
      <w:r>
        <w:rPr>
          <w:rFonts w:hint="default" w:ascii="Times New Roman" w:hAnsi="Times New Roman" w:eastAsia="宋体" w:cs="Times New Roman"/>
          <w:b/>
          <w:sz w:val="24"/>
          <w:szCs w:val="24"/>
          <w:highlight w:val="none"/>
        </w:rPr>
        <w:t>条  违约责任</w:t>
      </w:r>
    </w:p>
    <w:p w14:paraId="75C4090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方若迟延交付租赁房屋，逾期每日按应付本合同约定的一个交租周期的租赁费用的千分之一支付违约金。</w:t>
      </w:r>
    </w:p>
    <w:p w14:paraId="38DE6D10">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方逾期交付租赁费用的，除应及时如数补交外，逾期每日按照应付未付租赁费用总额的千分之一支付违约金。</w:t>
      </w:r>
    </w:p>
    <w:p w14:paraId="6E454AB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方违反合同，在未经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方书面同意的情况下擅自将租赁房屋转租、分租给第三人使用或变更实际经营人（包括以股权转让或公司转让、承包等方式，但不包括乙方内部人员调整发生的负责人变更），</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方有权解除合同。</w:t>
      </w:r>
    </w:p>
    <w:p w14:paraId="3D3C5F23">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方有下列各款规定情形之一且在</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方告知后仍未改正者，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方可以书面通知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方单方解除本合同，双方合同自通知之日解除，</w:t>
      </w:r>
      <w:r>
        <w:rPr>
          <w:rFonts w:hint="default" w:ascii="Times New Roman" w:hAnsi="Times New Roman" w:cs="Times New Roman"/>
          <w:sz w:val="24"/>
          <w:szCs w:val="24"/>
          <w:highlight w:val="none"/>
          <w:lang w:val="en-US" w:eastAsia="zh-CN"/>
        </w:rPr>
        <w:t>乙方</w:t>
      </w:r>
      <w:r>
        <w:rPr>
          <w:rFonts w:hint="default" w:ascii="Times New Roman" w:hAnsi="Times New Roman" w:eastAsia="宋体" w:cs="Times New Roman"/>
          <w:sz w:val="24"/>
          <w:szCs w:val="24"/>
          <w:highlight w:val="none"/>
        </w:rPr>
        <w:t>应退还</w:t>
      </w:r>
      <w:r>
        <w:rPr>
          <w:rFonts w:hint="default" w:ascii="Times New Roman" w:hAnsi="Times New Roman" w:cs="Times New Roman"/>
          <w:sz w:val="24"/>
          <w:szCs w:val="24"/>
          <w:highlight w:val="none"/>
          <w:lang w:eastAsia="zh-CN"/>
        </w:rPr>
        <w:t>甲</w:t>
      </w:r>
      <w:r>
        <w:rPr>
          <w:rFonts w:hint="default" w:ascii="Times New Roman" w:hAnsi="Times New Roman" w:eastAsia="宋体" w:cs="Times New Roman"/>
          <w:sz w:val="24"/>
          <w:szCs w:val="24"/>
          <w:highlight w:val="none"/>
        </w:rPr>
        <w:t>方已付但未到期之租赁费用：</w:t>
      </w:r>
    </w:p>
    <w:p w14:paraId="594D0A82">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①</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方延期交付租赁房屋超过15日的。</w:t>
      </w:r>
    </w:p>
    <w:p w14:paraId="694F12A8">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②</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方不承担约定的维修义务，致使</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方无法正常使用该房屋的。</w:t>
      </w:r>
    </w:p>
    <w:p w14:paraId="11E18AF2">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③</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方交付的房屋不符合合同约定，或者影响</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方安全或人员健康的。</w:t>
      </w:r>
    </w:p>
    <w:p w14:paraId="7818C13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④</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方无法保证租赁房屋及其设施正常使用，水、电等经常无法正常供给，严重妨碍乙方日常办公，经</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方书面通知要求改正后15日内仍未得到纠正的</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但非因</w:t>
      </w:r>
      <w:r>
        <w:rPr>
          <w:rFonts w:hint="default" w:ascii="Times New Roman" w:hAnsi="Times New Roman" w:cs="Times New Roman"/>
          <w:sz w:val="24"/>
          <w:szCs w:val="24"/>
          <w:highlight w:val="none"/>
          <w:lang w:eastAsia="zh-CN"/>
        </w:rPr>
        <w:t>乙</w:t>
      </w:r>
      <w:r>
        <w:rPr>
          <w:rFonts w:hint="default" w:ascii="Times New Roman" w:hAnsi="Times New Roman" w:eastAsia="宋体" w:cs="Times New Roman"/>
          <w:sz w:val="24"/>
          <w:szCs w:val="24"/>
          <w:highlight w:val="none"/>
        </w:rPr>
        <w:t>方过错造成的除外</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w:t>
      </w:r>
    </w:p>
    <w:p w14:paraId="57A4D31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⑤因第三人主张权利，致使</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方不能对租赁物使用、收益的。</w:t>
      </w:r>
    </w:p>
    <w:p w14:paraId="6A722D9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方不履行合同约定其他义务致使</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方无法正常使用部分或全部</w:t>
      </w:r>
      <w:r>
        <w:rPr>
          <w:rFonts w:hint="default" w:ascii="Times New Roman" w:hAnsi="Times New Roman" w:eastAsia="宋体" w:cs="Times New Roman"/>
          <w:sz w:val="24"/>
          <w:szCs w:val="24"/>
          <w:highlight w:val="none"/>
          <w:lang w:val="en-US" w:eastAsia="zh-CN"/>
        </w:rPr>
        <w:t>租赁</w:t>
      </w:r>
      <w:r>
        <w:rPr>
          <w:rFonts w:hint="default" w:ascii="Times New Roman" w:hAnsi="Times New Roman" w:eastAsia="宋体" w:cs="Times New Roman"/>
          <w:sz w:val="24"/>
          <w:szCs w:val="24"/>
          <w:highlight w:val="none"/>
        </w:rPr>
        <w:t>房屋及其附属设备超过30日，且经书面催告仍未纠正的。</w:t>
      </w:r>
    </w:p>
    <w:p w14:paraId="4B77C6FE">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default" w:ascii="Times New Roman" w:hAnsi="Times New Roman" w:eastAsia="宋体" w:cs="Times New Roman"/>
          <w:b/>
          <w:sz w:val="24"/>
          <w:szCs w:val="24"/>
          <w:highlight w:val="none"/>
          <w:lang w:val="en-US" w:eastAsia="zh-CN"/>
        </w:rPr>
        <w:t>三</w:t>
      </w:r>
      <w:r>
        <w:rPr>
          <w:rFonts w:hint="default" w:ascii="Times New Roman" w:hAnsi="Times New Roman" w:eastAsia="宋体" w:cs="Times New Roman"/>
          <w:b/>
          <w:sz w:val="24"/>
          <w:szCs w:val="24"/>
          <w:highlight w:val="none"/>
        </w:rPr>
        <w:t>条  保密条款</w:t>
      </w:r>
    </w:p>
    <w:p w14:paraId="7CE0C517">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非经</w:t>
      </w:r>
      <w:r>
        <w:rPr>
          <w:rFonts w:hint="default" w:ascii="Times New Roman" w:hAnsi="Times New Roman" w:eastAsia="宋体" w:cs="Times New Roman"/>
          <w:sz w:val="24"/>
          <w:szCs w:val="24"/>
          <w:highlight w:val="none"/>
          <w:lang w:val="en-US"/>
        </w:rPr>
        <w:t>甲方</w:t>
      </w:r>
      <w:r>
        <w:rPr>
          <w:rFonts w:hint="default" w:ascii="Times New Roman" w:hAnsi="Times New Roman" w:eastAsia="宋体" w:cs="Times New Roman"/>
          <w:sz w:val="24"/>
          <w:szCs w:val="24"/>
          <w:highlight w:val="none"/>
        </w:rPr>
        <w:t>书面同意，</w:t>
      </w:r>
      <w:r>
        <w:rPr>
          <w:rFonts w:hint="default" w:ascii="Times New Roman" w:hAnsi="Times New Roman" w:eastAsia="宋体" w:cs="Times New Roman"/>
          <w:sz w:val="24"/>
          <w:szCs w:val="24"/>
          <w:highlight w:val="none"/>
          <w:lang w:val="en-US"/>
        </w:rPr>
        <w:t>乙方</w:t>
      </w:r>
      <w:r>
        <w:rPr>
          <w:rFonts w:hint="default" w:ascii="Times New Roman" w:hAnsi="Times New Roman" w:eastAsia="宋体" w:cs="Times New Roman"/>
          <w:sz w:val="24"/>
          <w:szCs w:val="24"/>
          <w:highlight w:val="none"/>
        </w:rPr>
        <w:t>不得擅自披露本合同租赁费用信息事项予任何第三人；但双方的员工、律师、代理、借贷方、财务人员或其他咨询人员或政府人员因工作需要的情况除外，法律另有要求的除外。</w:t>
      </w:r>
    </w:p>
    <w:p w14:paraId="682237A1">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olor w:val="000000"/>
          <w:sz w:val="24"/>
          <w:highlight w:val="none"/>
          <w:lang w:val="en-US" w:eastAsia="zh-CN"/>
        </w:rPr>
      </w:pPr>
      <w:r>
        <w:rPr>
          <w:rFonts w:hint="eastAsia" w:ascii="Times New Roman" w:hAnsi="Times New Roman" w:cs="Times New Roman"/>
          <w:color w:val="000000"/>
          <w:sz w:val="24"/>
          <w:szCs w:val="24"/>
          <w:highlight w:val="none"/>
          <w:lang w:val="en-US" w:eastAsia="zh-CN"/>
        </w:rPr>
        <w:t>2.</w:t>
      </w:r>
      <w:r>
        <w:rPr>
          <w:rFonts w:hint="default" w:ascii="Times New Roman" w:hAnsi="Times New Roman" w:eastAsia="宋体" w:cs="Times New Roman"/>
          <w:color w:val="000000"/>
          <w:sz w:val="24"/>
          <w:szCs w:val="24"/>
          <w:highlight w:val="none"/>
          <w:lang w:val="en-US" w:eastAsia="zh-CN"/>
        </w:rPr>
        <w:t>为确保甲方办公(业务)区域保密性、安全性，乙方在出租本楼群其他楼栋房屋前，须将拟承租单位情况报甲方审核备案。</w:t>
      </w:r>
    </w:p>
    <w:p w14:paraId="1C28D2D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方也应对本合同及涉及</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方办公、业务场所图纸等资料承担保密责任，未经许可不得提供给第三方。甲方正式入驻办公后，甲方人员需经许可方可进入办公区域。</w:t>
      </w:r>
    </w:p>
    <w:p w14:paraId="49A3990B">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rPr>
        <w:t>甲乙双方依本条所负之保密义务，</w:t>
      </w:r>
      <w:r>
        <w:rPr>
          <w:rFonts w:hint="default" w:ascii="Times New Roman" w:hAnsi="Times New Roman" w:eastAsia="宋体" w:cs="Times New Roman"/>
          <w:sz w:val="24"/>
          <w:szCs w:val="24"/>
          <w:highlight w:val="none"/>
        </w:rPr>
        <w:t>于本合同终止或租赁期间届满后一年内仍继续有效。</w:t>
      </w:r>
    </w:p>
    <w:p w14:paraId="4B588A5B">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default" w:ascii="Times New Roman" w:hAnsi="Times New Roman" w:eastAsia="宋体" w:cs="Times New Roman"/>
          <w:b/>
          <w:sz w:val="24"/>
          <w:szCs w:val="24"/>
          <w:highlight w:val="none"/>
          <w:lang w:val="en-US" w:eastAsia="zh-CN"/>
        </w:rPr>
        <w:t>四</w:t>
      </w:r>
      <w:r>
        <w:rPr>
          <w:rFonts w:hint="default" w:ascii="Times New Roman" w:hAnsi="Times New Roman" w:eastAsia="宋体" w:cs="Times New Roman"/>
          <w:b/>
          <w:sz w:val="24"/>
          <w:szCs w:val="24"/>
          <w:highlight w:val="none"/>
        </w:rPr>
        <w:t>条  联络方式</w:t>
      </w:r>
    </w:p>
    <w:p w14:paraId="6B7EA7E0">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有关本合同之联络或书面通知事宜，悉以本合同签名页所载之地址为准。</w:t>
      </w:r>
    </w:p>
    <w:p w14:paraId="0640F4F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一方地址如有变更，应以书面通知他方，否则他方按本合同所载之最后地址所发送的通知，视为已送达予该一方。租赁期内，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方同意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方的任何书面通知可张贴于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方承租房屋方式，即视为送达。</w:t>
      </w:r>
    </w:p>
    <w:p w14:paraId="0FF4690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3.紧急联系人</w:t>
      </w:r>
    </w:p>
    <w:p w14:paraId="6E56F645">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u w:val="single"/>
          <w:lang w:val="en-US" w:eastAsia="zh-CN"/>
        </w:rPr>
      </w:pPr>
      <w:r>
        <w:rPr>
          <w:rFonts w:hint="default" w:ascii="Times New Roman" w:hAnsi="Times New Roman" w:eastAsia="宋体" w:cs="Times New Roman"/>
          <w:sz w:val="24"/>
          <w:szCs w:val="24"/>
          <w:highlight w:val="none"/>
          <w:lang w:val="en-US" w:eastAsia="zh-CN"/>
        </w:rPr>
        <w:t xml:space="preserve">甲方紧急联系人、联系方式： </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p>
    <w:p w14:paraId="421E885E">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 xml:space="preserve">乙方紧急联系人、联系方式： </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p>
    <w:p w14:paraId="19CB776B">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default" w:ascii="Times New Roman" w:hAnsi="Times New Roman" w:eastAsia="宋体" w:cs="Times New Roman"/>
          <w:b/>
          <w:sz w:val="24"/>
          <w:szCs w:val="24"/>
          <w:highlight w:val="none"/>
          <w:lang w:val="en-US" w:eastAsia="zh-CN"/>
        </w:rPr>
        <w:t>五</w:t>
      </w:r>
      <w:r>
        <w:rPr>
          <w:rFonts w:hint="default" w:ascii="Times New Roman" w:hAnsi="Times New Roman" w:eastAsia="宋体" w:cs="Times New Roman"/>
          <w:b/>
          <w:sz w:val="24"/>
          <w:szCs w:val="24"/>
          <w:highlight w:val="none"/>
        </w:rPr>
        <w:t>条  其他规定</w:t>
      </w:r>
    </w:p>
    <w:p w14:paraId="69B81D4F">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本合同</w:t>
      </w:r>
      <w:r>
        <w:rPr>
          <w:rFonts w:hint="default" w:ascii="Times New Roman" w:hAnsi="Times New Roman" w:eastAsia="宋体" w:cs="Times New Roman"/>
          <w:sz w:val="24"/>
          <w:szCs w:val="24"/>
          <w:highlight w:val="none"/>
          <w:lang w:val="en-US" w:eastAsia="zh-CN"/>
        </w:rPr>
        <w:t>自甲乙</w:t>
      </w:r>
      <w:r>
        <w:rPr>
          <w:rFonts w:hint="default" w:ascii="Times New Roman" w:hAnsi="Times New Roman" w:eastAsia="宋体" w:cs="Times New Roman"/>
          <w:sz w:val="24"/>
          <w:szCs w:val="24"/>
          <w:highlight w:val="none"/>
        </w:rPr>
        <w:t>双方签字、盖章之日起生效。本合同效力及于双方之受让人、承受人、管理人及其法定继承人。</w:t>
      </w:r>
    </w:p>
    <w:p w14:paraId="3B58E09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本</w:t>
      </w:r>
      <w:r>
        <w:rPr>
          <w:rFonts w:hint="default" w:ascii="Times New Roman" w:hAnsi="Times New Roman" w:eastAsia="宋体" w:cs="Times New Roman"/>
          <w:sz w:val="24"/>
          <w:szCs w:val="24"/>
          <w:highlight w:val="none"/>
          <w:lang w:val="en-US" w:eastAsia="zh-CN"/>
        </w:rPr>
        <w:t>合同</w:t>
      </w:r>
      <w:r>
        <w:rPr>
          <w:rFonts w:hint="default" w:ascii="Times New Roman" w:hAnsi="Times New Roman" w:eastAsia="宋体" w:cs="Times New Roman"/>
          <w:sz w:val="24"/>
          <w:szCs w:val="24"/>
          <w:highlight w:val="none"/>
        </w:rPr>
        <w:t>的订立、生效、解释及争议，均适用中华人民共和国法律、法规。</w:t>
      </w:r>
    </w:p>
    <w:p w14:paraId="2940B2D5">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本协议履行过程中如发生争议，甲乙应双方协商解决；如协商不成或不愿协商时，任何一方可以向租赁房屋所在地人民法院提起诉讼。</w:t>
      </w:r>
    </w:p>
    <w:p w14:paraId="44746F39">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rPr>
        <w:t>甲乙双方的营业执照、组织机构代码等经营证照复印件、租赁房屋面积位置附图、附属设施设备清单以及双方在履行本合同中，以书面形式所发出的书面通告及</w:t>
      </w:r>
      <w:r>
        <w:rPr>
          <w:rFonts w:hint="default" w:ascii="Times New Roman" w:hAnsi="Times New Roman" w:eastAsia="宋体" w:cs="Times New Roman"/>
          <w:sz w:val="24"/>
          <w:szCs w:val="24"/>
          <w:highlight w:val="none"/>
          <w:lang w:val="en-US" w:eastAsia="zh-CN"/>
        </w:rPr>
        <w:t>其他</w:t>
      </w:r>
      <w:r>
        <w:rPr>
          <w:rFonts w:hint="default" w:ascii="Times New Roman" w:hAnsi="Times New Roman" w:eastAsia="宋体" w:cs="Times New Roman"/>
          <w:sz w:val="24"/>
          <w:szCs w:val="24"/>
          <w:highlight w:val="none"/>
        </w:rPr>
        <w:t>书面文件，作为协议附件。双方的住所地及办公地点如有变更，须及时以书面通知对方，否则对方按照协议所载明地点发送，视为送达，因此造成的后果及损失由责任方承担。</w:t>
      </w:r>
    </w:p>
    <w:p w14:paraId="6A8B133D">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5.</w:t>
      </w:r>
      <w:r>
        <w:rPr>
          <w:rFonts w:hint="default" w:ascii="Times New Roman" w:hAnsi="Times New Roman" w:eastAsia="宋体" w:cs="Times New Roman"/>
          <w:sz w:val="24"/>
          <w:szCs w:val="24"/>
          <w:highlight w:val="none"/>
        </w:rPr>
        <w:t>本合同一式6份，甲方执</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份</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成交服务商执</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份</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集中采购机构执1份</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政府采购监管机构备案1份。</w:t>
      </w:r>
    </w:p>
    <w:p w14:paraId="66BA3FD8">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6.</w:t>
      </w:r>
      <w:r>
        <w:rPr>
          <w:rFonts w:hint="default" w:ascii="Times New Roman" w:hAnsi="Times New Roman" w:eastAsia="宋体" w:cs="Times New Roman"/>
          <w:sz w:val="24"/>
          <w:szCs w:val="24"/>
          <w:highlight w:val="none"/>
        </w:rPr>
        <w:t>本合同未尽事宜，双方可通过友好协商订立补充协议。</w:t>
      </w:r>
    </w:p>
    <w:p w14:paraId="58C8024F">
      <w:pPr>
        <w:keepNext w:val="0"/>
        <w:keepLines w:val="0"/>
        <w:pageBreakBefore w:val="0"/>
        <w:widowControl w:val="0"/>
        <w:tabs>
          <w:tab w:val="left" w:pos="480"/>
        </w:tabs>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7.</w:t>
      </w:r>
      <w:r>
        <w:rPr>
          <w:rFonts w:hint="default" w:ascii="Times New Roman" w:hAnsi="Times New Roman" w:eastAsia="宋体" w:cs="Times New Roman"/>
          <w:sz w:val="24"/>
          <w:szCs w:val="24"/>
          <w:highlight w:val="none"/>
        </w:rPr>
        <w:t>本合同附件</w:t>
      </w:r>
      <w:r>
        <w:rPr>
          <w:rFonts w:hint="default" w:ascii="Times New Roman" w:hAnsi="Times New Roman" w:eastAsia="宋体" w:cs="Times New Roman"/>
          <w:sz w:val="24"/>
          <w:szCs w:val="24"/>
          <w:highlight w:val="none"/>
          <w:lang w:val="en-US" w:eastAsia="zh-CN"/>
        </w:rPr>
        <w:t>为</w:t>
      </w:r>
      <w:r>
        <w:rPr>
          <w:rFonts w:hint="default" w:ascii="Times New Roman" w:hAnsi="Times New Roman" w:eastAsia="宋体" w:cs="Times New Roman"/>
          <w:sz w:val="24"/>
          <w:szCs w:val="24"/>
          <w:highlight w:val="none"/>
        </w:rPr>
        <w:t>本合同不可分割的一部分，并与本合同具有同等效力。</w:t>
      </w:r>
    </w:p>
    <w:p w14:paraId="5F046990">
      <w:pPr>
        <w:pageBreakBefore w:val="0"/>
        <w:overflowPunct/>
        <w:bidi w:val="0"/>
        <w:spacing w:line="360" w:lineRule="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br w:type="page"/>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7"/>
        <w:gridCol w:w="4648"/>
      </w:tblGrid>
      <w:tr w14:paraId="2011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jc w:val="center"/>
        </w:trPr>
        <w:tc>
          <w:tcPr>
            <w:tcW w:w="2500" w:type="pct"/>
            <w:noWrap w:val="0"/>
            <w:vAlign w:val="top"/>
          </w:tcPr>
          <w:p w14:paraId="3540D839">
            <w:pPr>
              <w:widowControl w:val="0"/>
              <w:spacing w:before="58" w:line="218" w:lineRule="auto"/>
              <w:ind w:right="38"/>
              <w:jc w:val="center"/>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甲  方</w:t>
            </w:r>
          </w:p>
        </w:tc>
        <w:tc>
          <w:tcPr>
            <w:tcW w:w="2500" w:type="pct"/>
            <w:noWrap w:val="0"/>
            <w:vAlign w:val="top"/>
          </w:tcPr>
          <w:p w14:paraId="006EF31E">
            <w:pPr>
              <w:widowControl w:val="0"/>
              <w:spacing w:before="58" w:line="218" w:lineRule="auto"/>
              <w:ind w:right="38"/>
              <w:jc w:val="center"/>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乙  方</w:t>
            </w:r>
          </w:p>
        </w:tc>
      </w:tr>
      <w:tr w14:paraId="4727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2500" w:type="pct"/>
            <w:noWrap w:val="0"/>
            <w:vAlign w:val="center"/>
          </w:tcPr>
          <w:p w14:paraId="25238795">
            <w:pPr>
              <w:widowControl w:val="0"/>
              <w:spacing w:before="58" w:line="218" w:lineRule="auto"/>
              <w:ind w:right="38"/>
              <w:jc w:val="center"/>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（盖章）</w:t>
            </w:r>
          </w:p>
        </w:tc>
        <w:tc>
          <w:tcPr>
            <w:tcW w:w="2500" w:type="pct"/>
            <w:noWrap w:val="0"/>
            <w:vAlign w:val="center"/>
          </w:tcPr>
          <w:p w14:paraId="6CA4BB29">
            <w:pPr>
              <w:widowControl w:val="0"/>
              <w:spacing w:before="58" w:line="218" w:lineRule="auto"/>
              <w:ind w:right="38"/>
              <w:jc w:val="center"/>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（盖章）</w:t>
            </w:r>
          </w:p>
        </w:tc>
      </w:tr>
      <w:tr w14:paraId="2587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2500" w:type="pct"/>
            <w:noWrap w:val="0"/>
            <w:vAlign w:val="center"/>
          </w:tcPr>
          <w:p w14:paraId="396A0045">
            <w:pPr>
              <w:widowControl w:val="0"/>
              <w:spacing w:before="58" w:line="218" w:lineRule="auto"/>
              <w:ind w:right="38"/>
              <w:jc w:val="both"/>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住所：</w:t>
            </w:r>
          </w:p>
        </w:tc>
        <w:tc>
          <w:tcPr>
            <w:tcW w:w="2500" w:type="pct"/>
            <w:noWrap w:val="0"/>
            <w:vAlign w:val="center"/>
          </w:tcPr>
          <w:p w14:paraId="63D4DB66">
            <w:pPr>
              <w:widowControl w:val="0"/>
              <w:spacing w:before="58" w:line="218" w:lineRule="auto"/>
              <w:ind w:right="38"/>
              <w:jc w:val="both"/>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住所：</w:t>
            </w:r>
          </w:p>
        </w:tc>
      </w:tr>
      <w:tr w14:paraId="4E94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2500" w:type="pct"/>
            <w:noWrap w:val="0"/>
            <w:vAlign w:val="center"/>
          </w:tcPr>
          <w:p w14:paraId="65B263B2">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邮编：</w:t>
            </w:r>
          </w:p>
        </w:tc>
        <w:tc>
          <w:tcPr>
            <w:tcW w:w="2500" w:type="pct"/>
            <w:noWrap w:val="0"/>
            <w:vAlign w:val="center"/>
          </w:tcPr>
          <w:p w14:paraId="421167DC">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邮编：</w:t>
            </w:r>
          </w:p>
        </w:tc>
      </w:tr>
      <w:tr w14:paraId="282B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2500" w:type="pct"/>
            <w:noWrap w:val="0"/>
            <w:vAlign w:val="center"/>
          </w:tcPr>
          <w:p w14:paraId="4BBB2C70">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法定代表人：</w:t>
            </w:r>
          </w:p>
        </w:tc>
        <w:tc>
          <w:tcPr>
            <w:tcW w:w="2500" w:type="pct"/>
            <w:noWrap w:val="0"/>
            <w:vAlign w:val="center"/>
          </w:tcPr>
          <w:p w14:paraId="470244F0">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法定代表人：</w:t>
            </w:r>
          </w:p>
        </w:tc>
      </w:tr>
      <w:tr w14:paraId="2245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500" w:type="pct"/>
            <w:noWrap w:val="0"/>
            <w:vAlign w:val="center"/>
          </w:tcPr>
          <w:p w14:paraId="2542B19D">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授权代表人（签字）：</w:t>
            </w:r>
          </w:p>
        </w:tc>
        <w:tc>
          <w:tcPr>
            <w:tcW w:w="2500" w:type="pct"/>
            <w:noWrap w:val="0"/>
            <w:vAlign w:val="center"/>
          </w:tcPr>
          <w:p w14:paraId="645B5543">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授权代表人（签字）：</w:t>
            </w:r>
          </w:p>
        </w:tc>
      </w:tr>
      <w:tr w14:paraId="7D02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pct"/>
            <w:noWrap w:val="0"/>
            <w:vAlign w:val="center"/>
          </w:tcPr>
          <w:p w14:paraId="16DB11A6">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电话：</w:t>
            </w:r>
          </w:p>
        </w:tc>
        <w:tc>
          <w:tcPr>
            <w:tcW w:w="2500" w:type="pct"/>
            <w:noWrap w:val="0"/>
            <w:vAlign w:val="center"/>
          </w:tcPr>
          <w:p w14:paraId="39A45A3E">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 xml:space="preserve">电话： </w:t>
            </w:r>
          </w:p>
        </w:tc>
      </w:tr>
      <w:tr w14:paraId="6650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00" w:type="pct"/>
            <w:noWrap w:val="0"/>
            <w:vAlign w:val="center"/>
          </w:tcPr>
          <w:p w14:paraId="73149F26">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传真：</w:t>
            </w:r>
          </w:p>
        </w:tc>
        <w:tc>
          <w:tcPr>
            <w:tcW w:w="2500" w:type="pct"/>
            <w:noWrap w:val="0"/>
            <w:vAlign w:val="center"/>
          </w:tcPr>
          <w:p w14:paraId="2CC0276A">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传真</w:t>
            </w:r>
            <w:r>
              <w:rPr>
                <w:rFonts w:hint="default" w:ascii="Times New Roman" w:hAnsi="Times New Roman" w:cs="Times New Roman"/>
                <w:spacing w:val="-2"/>
                <w:sz w:val="24"/>
                <w:szCs w:val="24"/>
                <w:vertAlign w:val="baseline"/>
                <w:lang w:val="en-US" w:eastAsia="zh-CN"/>
              </w:rPr>
              <w:t>：</w:t>
            </w:r>
          </w:p>
        </w:tc>
      </w:tr>
      <w:tr w14:paraId="0FD5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4D12F012">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p>
        </w:tc>
        <w:tc>
          <w:tcPr>
            <w:tcW w:w="2500" w:type="pct"/>
            <w:noWrap w:val="0"/>
            <w:vAlign w:val="center"/>
          </w:tcPr>
          <w:p w14:paraId="7FC58492">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开户银行：</w:t>
            </w:r>
          </w:p>
        </w:tc>
      </w:tr>
      <w:tr w14:paraId="2918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56D4BA98">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p>
        </w:tc>
        <w:tc>
          <w:tcPr>
            <w:tcW w:w="2500" w:type="pct"/>
            <w:noWrap w:val="0"/>
            <w:vAlign w:val="center"/>
          </w:tcPr>
          <w:p w14:paraId="1B185964">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账号：</w:t>
            </w:r>
          </w:p>
        </w:tc>
      </w:tr>
      <w:tr w14:paraId="26BB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0679E90F">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日期：</w:t>
            </w:r>
          </w:p>
        </w:tc>
        <w:tc>
          <w:tcPr>
            <w:tcW w:w="2500" w:type="pct"/>
            <w:noWrap w:val="0"/>
            <w:vAlign w:val="center"/>
          </w:tcPr>
          <w:p w14:paraId="3808B212">
            <w:pPr>
              <w:widowControl w:val="0"/>
              <w:spacing w:before="58" w:line="218" w:lineRule="auto"/>
              <w:ind w:right="38"/>
              <w:jc w:val="left"/>
              <w:rPr>
                <w:rFonts w:hint="default" w:ascii="Times New Roman" w:hAnsi="Times New Roman" w:eastAsia="宋体" w:cs="Times New Roman"/>
                <w:spacing w:val="-2"/>
                <w:sz w:val="24"/>
                <w:szCs w:val="24"/>
                <w:vertAlign w:val="baseline"/>
                <w:lang w:val="en-US" w:eastAsia="zh-CN"/>
              </w:rPr>
            </w:pPr>
            <w:r>
              <w:rPr>
                <w:rFonts w:hint="default" w:ascii="Times New Roman" w:hAnsi="Times New Roman" w:eastAsia="宋体" w:cs="Times New Roman"/>
                <w:spacing w:val="-2"/>
                <w:sz w:val="24"/>
                <w:szCs w:val="24"/>
                <w:vertAlign w:val="baseline"/>
                <w:lang w:val="en-US" w:eastAsia="zh-CN"/>
              </w:rPr>
              <w:t>日期：</w:t>
            </w:r>
          </w:p>
        </w:tc>
      </w:tr>
    </w:tbl>
    <w:p w14:paraId="294C4EF4">
      <w:pPr>
        <w:pageBreakBefore w:val="0"/>
        <w:overflowPunct/>
        <w:bidi w:val="0"/>
        <w:spacing w:line="360" w:lineRule="auto"/>
        <w:rPr>
          <w:rFonts w:hint="default" w:ascii="Times New Roman" w:hAnsi="Times New Roman" w:eastAsia="宋体" w:cs="Times New Roman"/>
          <w:sz w:val="24"/>
          <w:szCs w:val="24"/>
          <w:highlight w:val="none"/>
        </w:rPr>
        <w:sectPr>
          <w:footerReference r:id="rId3" w:type="default"/>
          <w:pgSz w:w="11906" w:h="16839"/>
          <w:pgMar w:top="1118" w:right="1407" w:bottom="972" w:left="1418" w:header="878" w:footer="962" w:gutter="0"/>
          <w:pgBorders>
            <w:top w:val="none" w:sz="0" w:space="0"/>
            <w:left w:val="none" w:sz="0" w:space="0"/>
            <w:bottom w:val="none" w:sz="0" w:space="0"/>
            <w:right w:val="none" w:sz="0" w:space="0"/>
          </w:pgBorders>
          <w:pgNumType w:fmt="decimal"/>
          <w:cols w:space="720" w:num="1"/>
        </w:sectPr>
      </w:pPr>
    </w:p>
    <w:p w14:paraId="23B2386A">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rPr>
          <w:rFonts w:hint="eastAsia" w:ascii="方正小标宋简体" w:hAnsi="方正小标宋简体" w:eastAsia="方正小标宋简体" w:cs="方正小标宋简体"/>
          <w:b w:val="0"/>
          <w:bCs w:val="0"/>
          <w:color w:val="auto"/>
          <w:spacing w:val="-1"/>
          <w:sz w:val="40"/>
          <w:szCs w:val="40"/>
          <w:highlight w:val="none"/>
        </w:rPr>
      </w:pPr>
      <w:r>
        <w:rPr>
          <w:rFonts w:hint="eastAsia" w:ascii="方正小标宋简体" w:hAnsi="方正小标宋简体" w:eastAsia="方正小标宋简体" w:cs="方正小标宋简体"/>
          <w:b w:val="0"/>
          <w:bCs w:val="0"/>
          <w:color w:val="auto"/>
          <w:spacing w:val="-1"/>
          <w:sz w:val="40"/>
          <w:szCs w:val="40"/>
          <w:highlight w:val="none"/>
        </w:rPr>
        <w:t>西安市集中办公区综合管理中心</w:t>
      </w:r>
    </w:p>
    <w:p w14:paraId="02ED9A04">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firstLineChars="0"/>
        <w:jc w:val="center"/>
        <w:textAlignment w:val="baseline"/>
        <w:rPr>
          <w:rFonts w:hint="eastAsia" w:ascii="方正小标宋简体" w:hAnsi="方正小标宋简体" w:eastAsia="方正小标宋简体" w:cs="方正小标宋简体"/>
          <w:b w:val="0"/>
          <w:bCs w:val="0"/>
          <w:color w:val="auto"/>
          <w:sz w:val="40"/>
          <w:szCs w:val="40"/>
          <w:highlight w:val="none"/>
        </w:rPr>
      </w:pPr>
      <w:r>
        <w:rPr>
          <w:rFonts w:hint="eastAsia" w:ascii="方正小标宋简体" w:hAnsi="方正小标宋简体" w:eastAsia="方正小标宋简体" w:cs="方正小标宋简体"/>
          <w:b w:val="0"/>
          <w:bCs w:val="0"/>
          <w:color w:val="auto"/>
          <w:spacing w:val="-1"/>
          <w:sz w:val="40"/>
          <w:szCs w:val="40"/>
          <w:highlight w:val="none"/>
        </w:rPr>
        <w:t>房屋租赁考核实施办法</w:t>
      </w:r>
    </w:p>
    <w:p w14:paraId="06FB8280">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为规范市级机关各集中办公区办公及业务用房租赁活动，实现房屋租赁目标，维护甲乙双方的合法权益，根据《</w:t>
      </w:r>
      <w:r>
        <w:rPr>
          <w:rFonts w:hint="eastAsia" w:ascii="Times New Roman" w:hAnsi="Times New Roman" w:eastAsia="宋体" w:cs="Times New Roman"/>
          <w:sz w:val="24"/>
          <w:szCs w:val="24"/>
          <w:highlight w:val="none"/>
          <w:lang w:eastAsia="zh-CN"/>
        </w:rPr>
        <w:t>中华人民共和国民法典</w:t>
      </w:r>
      <w:r>
        <w:rPr>
          <w:rFonts w:hint="eastAsia" w:ascii="Times New Roman" w:hAnsi="Times New Roman" w:eastAsia="宋体" w:cs="Times New Roman"/>
          <w:sz w:val="24"/>
          <w:szCs w:val="24"/>
          <w:highlight w:val="none"/>
        </w:rPr>
        <w:t>》、《机关事务管理条例》、《西安市市级党政机关办公（业务）用房租用管理暂行规定》，结合各集中办公区房屋租赁实际，制定以下房屋租赁考核办法。</w:t>
      </w:r>
    </w:p>
    <w:p w14:paraId="4B7FC6A8">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一、考核目的</w:t>
      </w:r>
    </w:p>
    <w:p w14:paraId="13263604">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通过对房屋租赁企业的考核，调动房屋租赁企业的积极性、主动性、创造性，以达到规范房屋租赁企业行为，促进房屋租赁向规范化、精细化发展，为广大干部职工提供优质高效的服务保障，营造干净</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优质、舒适的办公环境。</w:t>
      </w:r>
    </w:p>
    <w:p w14:paraId="7FDA846C">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二、考核项目</w:t>
      </w:r>
    </w:p>
    <w:p w14:paraId="064657EA">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房屋租赁企业资质，租赁房屋区域内房屋主体结构、给排水管道、取暖设施设备、电力设施设备等相关配套设施设备的维修和保养，消防设施设备配备、维修、维护、管理，租赁房屋区域内办公家具配备、维修、更换</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软件资料收集、分类和管理，以及工作执行力、安全隐患处置、投诉处置等情况。</w:t>
      </w:r>
    </w:p>
    <w:p w14:paraId="29E258E0">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三、考核办法</w:t>
      </w:r>
    </w:p>
    <w:p w14:paraId="4D04F20B">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(一)责任单位</w:t>
      </w:r>
    </w:p>
    <w:p w14:paraId="1564DB23">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由西安市集中办公区综合管理中心(以下简称综合管理中心)负责组织考核工作。</w:t>
      </w:r>
    </w:p>
    <w:p w14:paraId="27F7D4D5">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(二)考核制度</w:t>
      </w:r>
    </w:p>
    <w:p w14:paraId="4C482935">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1.半年考核</w:t>
      </w:r>
    </w:p>
    <w:p w14:paraId="6F412127">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每半年组织一次考核，对照考核办法及评分标准进行考核,半年考核满分100分。达到服务要求项目</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根据对应评分标准得对应分值；未达到服务要求项目不得分，考核工作负责人填写扣分说明并签字确认</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每半年考核情况由考核工作负责人进行汇总并核算出当月最终分值。</w:t>
      </w:r>
    </w:p>
    <w:p w14:paraId="304CE884">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lang w:val="en-US" w:eastAsia="zh-CN"/>
        </w:rPr>
        <w:t>2.年度考核</w:t>
      </w:r>
    </w:p>
    <w:p w14:paraId="199EBE0A">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rPr>
        <w:t>每年组织一次考核</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根据租赁项目起始时间适时进行年度考核</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，对照考核办法及评分标准进行考核,年</w:t>
      </w:r>
      <w:r>
        <w:rPr>
          <w:rFonts w:hint="eastAsia" w:ascii="Times New Roman" w:hAnsi="Times New Roman" w:eastAsia="宋体" w:cs="Times New Roman"/>
          <w:sz w:val="24"/>
          <w:szCs w:val="24"/>
          <w:highlight w:val="none"/>
          <w:lang w:val="en-US" w:eastAsia="zh-CN"/>
        </w:rPr>
        <w:t>度</w:t>
      </w:r>
      <w:r>
        <w:rPr>
          <w:rFonts w:hint="eastAsia" w:ascii="Times New Roman" w:hAnsi="Times New Roman" w:eastAsia="宋体" w:cs="Times New Roman"/>
          <w:sz w:val="24"/>
          <w:szCs w:val="24"/>
          <w:highlight w:val="none"/>
        </w:rPr>
        <w:t>考核满分100分。达到服务要求项目</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根据对应评分标准得对应分值；未达到服务要求项目不得分，考核工作负责人填写扣分说明并签字确认</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年</w:t>
      </w:r>
      <w:r>
        <w:rPr>
          <w:rFonts w:hint="eastAsia" w:ascii="Times New Roman" w:hAnsi="Times New Roman" w:eastAsia="宋体" w:cs="Times New Roman"/>
          <w:sz w:val="24"/>
          <w:szCs w:val="24"/>
          <w:highlight w:val="none"/>
          <w:lang w:val="en-US" w:eastAsia="zh-CN"/>
        </w:rPr>
        <w:t>度</w:t>
      </w:r>
      <w:r>
        <w:rPr>
          <w:rFonts w:hint="eastAsia" w:ascii="Times New Roman" w:hAnsi="Times New Roman" w:eastAsia="宋体" w:cs="Times New Roman"/>
          <w:sz w:val="24"/>
          <w:szCs w:val="24"/>
          <w:highlight w:val="none"/>
        </w:rPr>
        <w:t>考核情况由考核工作负责人进行汇总并核算出当月最终分值。</w:t>
      </w:r>
    </w:p>
    <w:p w14:paraId="7D4E0257">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lang w:val="en-US" w:eastAsia="zh-CN"/>
        </w:rPr>
        <w:t>3.</w:t>
      </w:r>
      <w:r>
        <w:rPr>
          <w:rFonts w:hint="eastAsia" w:ascii="Times New Roman" w:hAnsi="Times New Roman" w:eastAsia="宋体" w:cs="Times New Roman"/>
          <w:sz w:val="24"/>
          <w:szCs w:val="24"/>
          <w:highlight w:val="none"/>
        </w:rPr>
        <w:t>年度综合考评得分计算方法：</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半年考核得分</w:t>
      </w:r>
      <w:r>
        <w:rPr>
          <w:rFonts w:hint="eastAsia" w:ascii="Times New Roman" w:hAnsi="Times New Roman" w:eastAsia="宋体" w:cs="Times New Roman"/>
          <w:sz w:val="24"/>
          <w:szCs w:val="24"/>
          <w:highlight w:val="none"/>
          <w:lang w:val="en-US" w:eastAsia="zh-CN"/>
        </w:rPr>
        <w:t>+年度考核得分）</w:t>
      </w:r>
      <w:r>
        <w:rPr>
          <w:rFonts w:hint="eastAsia" w:ascii="Times New Roman" w:hAnsi="Times New Roman" w:eastAsia="宋体" w:cs="Times New Roman"/>
          <w:sz w:val="24"/>
          <w:szCs w:val="24"/>
          <w:highlight w:val="none"/>
        </w:rPr>
        <w:t>÷2=年度</w:t>
      </w:r>
      <w:r>
        <w:rPr>
          <w:rFonts w:hint="eastAsia" w:ascii="Times New Roman" w:hAnsi="Times New Roman" w:eastAsia="宋体" w:cs="Times New Roman"/>
          <w:sz w:val="24"/>
          <w:szCs w:val="24"/>
          <w:highlight w:val="none"/>
          <w:lang w:val="en-US" w:eastAsia="zh-CN"/>
        </w:rPr>
        <w:t>综合</w:t>
      </w:r>
      <w:r>
        <w:rPr>
          <w:rFonts w:hint="eastAsia" w:ascii="Times New Roman" w:hAnsi="Times New Roman" w:eastAsia="宋体" w:cs="Times New Roman"/>
          <w:sz w:val="24"/>
          <w:szCs w:val="24"/>
          <w:highlight w:val="none"/>
        </w:rPr>
        <w:t>考</w:t>
      </w:r>
      <w:r>
        <w:rPr>
          <w:rFonts w:hint="eastAsia" w:ascii="Times New Roman" w:hAnsi="Times New Roman" w:eastAsia="宋体" w:cs="Times New Roman"/>
          <w:sz w:val="24"/>
          <w:szCs w:val="24"/>
          <w:highlight w:val="none"/>
          <w:lang w:val="en-US" w:eastAsia="zh-CN"/>
        </w:rPr>
        <w:t>评</w:t>
      </w:r>
      <w:r>
        <w:rPr>
          <w:rFonts w:hint="eastAsia" w:ascii="Times New Roman" w:hAnsi="Times New Roman" w:eastAsia="宋体" w:cs="Times New Roman"/>
          <w:sz w:val="24"/>
          <w:szCs w:val="24"/>
          <w:highlight w:val="none"/>
        </w:rPr>
        <w:t>得分。(服务期不满一年的按实际服务月数计)</w:t>
      </w:r>
    </w:p>
    <w:p w14:paraId="3C9DB927">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房屋租赁企业在出租本项目所在楼栋及其所在楼栋群其他楼栋房屋前，须将拟承租单位情况报西安市集中办公区综合管理中心审核备案。未经西安市集中办公区综合管理中心审核批准，擅自向其他单位（个人）出租本项目所在楼栋及其所在楼栋群其他楼栋房屋：视情扣当前服务周期考核分1-2分；对办公区管理造成不良影响的，视情扣当前服务周期考核分3-5分；对办公区管理造成严重影响的，视情扣除当前服务周期考核分6-10分；对办公区造成恶劣影响的，视情扣当前服务周期考核分11-20分，并终止租赁服务合同。</w:t>
      </w:r>
    </w:p>
    <w:p w14:paraId="672F83DD">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5.对西安市集中办公区综合管理中心安排的房屋租赁服务保障相关工作无故不落实或落实不力的，视情扣当前服务周期考核分1-5分。</w:t>
      </w:r>
    </w:p>
    <w:p w14:paraId="4B34EFC1">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6.对西安市集中办公区综合管理中心《房屋租赁考核实施办法》《房屋租赁考核表》及其他房屋租赁服务规章制度无故不执行或执行不力的，视情扣当前服务周期考核分1-10分。</w:t>
      </w:r>
    </w:p>
    <w:p w14:paraId="1296AD96">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(三)其他</w:t>
      </w:r>
    </w:p>
    <w:p w14:paraId="3A41174E">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rPr>
        <w:t>1.考核须保留原始资料(文字、表格、图片、视频)，所有资料均由甲方统一保管，存储时间为一年</w:t>
      </w:r>
      <w:r>
        <w:rPr>
          <w:rFonts w:hint="eastAsia" w:ascii="Times New Roman" w:hAnsi="Times New Roman" w:eastAsia="宋体" w:cs="Times New Roman"/>
          <w:sz w:val="24"/>
          <w:szCs w:val="24"/>
          <w:highlight w:val="none"/>
          <w:lang w:eastAsia="zh-CN"/>
        </w:rPr>
        <w:t>。</w:t>
      </w:r>
    </w:p>
    <w:p w14:paraId="281414C7">
      <w:pPr>
        <w:pStyle w:val="11"/>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2.综合考核成绩应</w:t>
      </w:r>
      <w:r>
        <w:rPr>
          <w:rFonts w:hint="eastAsia" w:ascii="Times New Roman" w:hAnsi="Times New Roman" w:eastAsia="宋体" w:cs="Times New Roman"/>
          <w:sz w:val="24"/>
          <w:szCs w:val="24"/>
          <w:highlight w:val="none"/>
          <w:lang w:eastAsia="zh-CN"/>
        </w:rPr>
        <w:t>及时通知</w:t>
      </w:r>
      <w:r>
        <w:rPr>
          <w:rFonts w:hint="eastAsia" w:ascii="Times New Roman" w:hAnsi="Times New Roman" w:eastAsia="宋体" w:cs="Times New Roman"/>
          <w:sz w:val="24"/>
          <w:szCs w:val="24"/>
          <w:highlight w:val="none"/>
        </w:rPr>
        <w:t>乙方，如有异议，须在24小时内书面报甲方，经核实后报送</w:t>
      </w:r>
      <w:r>
        <w:rPr>
          <w:rFonts w:hint="eastAsia" w:ascii="Times New Roman" w:hAnsi="Times New Roman" w:eastAsia="宋体" w:cs="Times New Roman"/>
          <w:sz w:val="24"/>
          <w:szCs w:val="24"/>
          <w:highlight w:val="none"/>
          <w:lang w:val="en-US" w:eastAsia="zh-CN"/>
        </w:rPr>
        <w:t>西安市集中办公区综合管理中心</w:t>
      </w:r>
      <w:r>
        <w:rPr>
          <w:rFonts w:hint="eastAsia" w:ascii="Times New Roman" w:hAnsi="Times New Roman" w:eastAsia="宋体" w:cs="Times New Roman"/>
          <w:sz w:val="24"/>
          <w:szCs w:val="24"/>
          <w:highlight w:val="none"/>
        </w:rPr>
        <w:t>领导审定。</w:t>
      </w:r>
    </w:p>
    <w:p w14:paraId="3FC0625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4" w:firstLineChars="200"/>
        <w:jc w:val="left"/>
        <w:textAlignment w:val="baseline"/>
        <w:rPr>
          <w:rFonts w:hint="eastAsia" w:ascii="宋体" w:hAnsi="宋体" w:eastAsia="宋体" w:cs="宋体"/>
          <w:b/>
          <w:bCs/>
          <w:color w:val="auto"/>
          <w:spacing w:val="-2"/>
          <w:sz w:val="24"/>
          <w:szCs w:val="24"/>
          <w:highlight w:val="none"/>
        </w:rPr>
      </w:pPr>
      <w:r>
        <w:rPr>
          <w:rFonts w:hint="eastAsia" w:ascii="宋体" w:hAnsi="宋体" w:eastAsia="宋体" w:cs="宋体"/>
          <w:b/>
          <w:bCs/>
          <w:color w:val="auto"/>
          <w:spacing w:val="-2"/>
          <w:sz w:val="24"/>
          <w:szCs w:val="24"/>
          <w:highlight w:val="none"/>
        </w:rPr>
        <w:t>四、考核结果运用</w:t>
      </w:r>
    </w:p>
    <w:p w14:paraId="7EBFEFA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由于房屋租赁费每半年支付一次，且在每个服务期开始前支付租赁费，甲方应在服务期开始前组织人员对乙方进行考核，考核完成后，甲方应依据考核扣分情况从乙方租金中扣除</w:t>
      </w:r>
      <w:r>
        <w:rPr>
          <w:rFonts w:hint="eastAsia" w:ascii="宋体" w:hAnsi="宋体" w:eastAsia="宋体" w:cs="宋体"/>
          <w:color w:val="auto"/>
          <w:spacing w:val="-2"/>
          <w:sz w:val="24"/>
          <w:szCs w:val="24"/>
          <w:highlight w:val="none"/>
          <w:lang w:val="en-US" w:eastAsia="zh-CN"/>
        </w:rPr>
        <w:t>相应</w:t>
      </w:r>
      <w:r>
        <w:rPr>
          <w:rFonts w:hint="eastAsia" w:ascii="宋体" w:hAnsi="宋体" w:eastAsia="宋体" w:cs="宋体"/>
          <w:color w:val="auto"/>
          <w:spacing w:val="-2"/>
          <w:sz w:val="24"/>
          <w:szCs w:val="24"/>
          <w:highlight w:val="none"/>
        </w:rPr>
        <w:t>金额后（甲方扣除的为当前服务期所扣分数乘以1分所对应的房屋租赁费金额)</w:t>
      </w:r>
      <w:r>
        <w:rPr>
          <w:rFonts w:hint="eastAsia" w:ascii="宋体" w:hAnsi="宋体" w:eastAsia="宋体" w:cs="宋体"/>
          <w:color w:val="auto"/>
          <w:spacing w:val="-2"/>
          <w:sz w:val="24"/>
          <w:szCs w:val="24"/>
          <w:highlight w:val="none"/>
          <w:lang w:eastAsia="zh-CN"/>
        </w:rPr>
        <w:t>向乙方支付相应租赁费，实际支付金额</w:t>
      </w:r>
      <w:r>
        <w:rPr>
          <w:rFonts w:hint="eastAsia" w:ascii="宋体" w:hAnsi="宋体" w:eastAsia="宋体" w:cs="宋体"/>
          <w:color w:val="auto"/>
          <w:spacing w:val="-2"/>
          <w:sz w:val="24"/>
          <w:szCs w:val="24"/>
          <w:highlight w:val="none"/>
          <w:lang w:val="en-US" w:eastAsia="zh-CN"/>
        </w:rPr>
        <w:t>=合同约定金额-考核扣除分数对应金额</w:t>
      </w:r>
      <w:r>
        <w:rPr>
          <w:rFonts w:hint="eastAsia" w:ascii="宋体" w:hAnsi="宋体" w:eastAsia="宋体" w:cs="宋体"/>
          <w:color w:val="auto"/>
          <w:spacing w:val="-2"/>
          <w:sz w:val="24"/>
          <w:szCs w:val="24"/>
          <w:highlight w:val="none"/>
        </w:rPr>
        <w:t>。</w:t>
      </w:r>
    </w:p>
    <w:p w14:paraId="6FF9E37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472" w:firstLineChars="200"/>
        <w:jc w:val="left"/>
        <w:textAlignment w:val="baseline"/>
        <w:rPr>
          <w:rFonts w:hint="eastAsia" w:ascii="宋体" w:hAnsi="宋体" w:eastAsia="宋体" w:cs="宋体"/>
          <w:color w:val="auto"/>
          <w:spacing w:val="-2"/>
          <w:sz w:val="24"/>
          <w:szCs w:val="24"/>
          <w:highlight w:val="none"/>
          <w:lang w:eastAsia="zh-CN"/>
        </w:rPr>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2"/>
          <w:sz w:val="24"/>
          <w:szCs w:val="24"/>
          <w:highlight w:val="none"/>
        </w:rPr>
        <w:t>此房屋租赁考核实施</w:t>
      </w:r>
      <w:r>
        <w:rPr>
          <w:rFonts w:hint="eastAsia" w:ascii="宋体" w:hAnsi="宋体" w:eastAsia="宋体" w:cs="宋体"/>
          <w:color w:val="auto"/>
          <w:spacing w:val="-2"/>
          <w:sz w:val="24"/>
          <w:szCs w:val="24"/>
          <w:highlight w:val="none"/>
          <w:lang w:val="en-US" w:eastAsia="zh-CN"/>
        </w:rPr>
        <w:t>办法</w:t>
      </w:r>
      <w:r>
        <w:rPr>
          <w:rFonts w:hint="eastAsia" w:ascii="宋体" w:hAnsi="宋体" w:eastAsia="宋体" w:cs="宋体"/>
          <w:color w:val="auto"/>
          <w:spacing w:val="-2"/>
          <w:sz w:val="24"/>
          <w:szCs w:val="24"/>
          <w:highlight w:val="none"/>
        </w:rPr>
        <w:t>最终解释权</w:t>
      </w:r>
      <w:r>
        <w:rPr>
          <w:rFonts w:hint="eastAsia" w:ascii="宋体" w:hAnsi="宋体" w:eastAsia="宋体" w:cs="宋体"/>
          <w:color w:val="auto"/>
          <w:spacing w:val="-2"/>
          <w:sz w:val="24"/>
          <w:szCs w:val="24"/>
          <w:highlight w:val="none"/>
          <w:lang w:val="en-US" w:eastAsia="zh-CN"/>
        </w:rPr>
        <w:t>归</w:t>
      </w:r>
      <w:r>
        <w:rPr>
          <w:rFonts w:hint="eastAsia" w:ascii="宋体" w:hAnsi="宋体" w:eastAsia="宋体" w:cs="宋体"/>
          <w:color w:val="auto"/>
          <w:spacing w:val="-2"/>
          <w:sz w:val="24"/>
          <w:szCs w:val="24"/>
          <w:highlight w:val="none"/>
        </w:rPr>
        <w:t>西安市集中办公区综合管理中心，西安市集中办公区综合管理中心有权根据实际工作需要适时对本《考核办法》及附属《考核评分表》进行修订完善</w:t>
      </w:r>
      <w:r>
        <w:rPr>
          <w:rFonts w:hint="eastAsia" w:ascii="宋体" w:hAnsi="宋体" w:eastAsia="宋体" w:cs="宋体"/>
          <w:color w:val="auto"/>
          <w:spacing w:val="-2"/>
          <w:sz w:val="24"/>
          <w:szCs w:val="24"/>
          <w:highlight w:val="none"/>
          <w:lang w:eastAsia="zh-CN"/>
        </w:rPr>
        <w:t>。</w:t>
      </w:r>
    </w:p>
    <w:p w14:paraId="357237A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 w:hAnsi="仿宋" w:eastAsia="仿宋" w:cs="仿宋"/>
          <w:color w:val="auto"/>
          <w:spacing w:val="-2"/>
          <w:sz w:val="32"/>
          <w:szCs w:val="32"/>
          <w:highlight w:val="none"/>
          <w:lang w:eastAsia="zh-CN"/>
        </w:rPr>
      </w:pPr>
    </w:p>
    <w:p w14:paraId="04D43A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方正小标宋简体" w:hAnsi="方正小标宋简体" w:eastAsia="方正小标宋简体" w:cs="方正小标宋简体"/>
          <w:b w:val="0"/>
          <w:bCs w:val="0"/>
          <w:color w:val="auto"/>
          <w:w w:val="100"/>
          <w:sz w:val="32"/>
          <w:szCs w:val="32"/>
          <w:highlight w:val="none"/>
        </w:rPr>
      </w:pPr>
      <w:r>
        <w:rPr>
          <w:rFonts w:hint="eastAsia" w:ascii="方正小标宋简体" w:hAnsi="方正小标宋简体" w:eastAsia="方正小标宋简体" w:cs="方正小标宋简体"/>
          <w:b w:val="0"/>
          <w:bCs w:val="0"/>
          <w:color w:val="auto"/>
          <w:spacing w:val="-2"/>
          <w:w w:val="100"/>
          <w:sz w:val="32"/>
          <w:szCs w:val="32"/>
          <w:highlight w:val="none"/>
        </w:rPr>
        <w:t>西安市集中办公区综合管理中心</w:t>
      </w:r>
    </w:p>
    <w:p w14:paraId="1E2E28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bCs/>
          <w:color w:val="auto"/>
          <w:w w:val="100"/>
          <w:sz w:val="28"/>
          <w:szCs w:val="28"/>
          <w:highlight w:val="none"/>
        </w:rPr>
      </w:pPr>
      <w:r>
        <w:rPr>
          <w:rFonts w:hint="eastAsia" w:ascii="仿宋" w:hAnsi="仿宋" w:eastAsia="仿宋" w:cs="仿宋"/>
          <w:b/>
          <w:bCs/>
          <w:color w:val="auto"/>
          <w:spacing w:val="-2"/>
          <w:w w:val="100"/>
          <w:sz w:val="28"/>
          <w:szCs w:val="28"/>
          <w:highlight w:val="none"/>
        </w:rPr>
        <w:t>20</w:t>
      </w:r>
      <w:r>
        <w:rPr>
          <w:rFonts w:hint="eastAsia" w:ascii="仿宋" w:hAnsi="仿宋" w:eastAsia="仿宋" w:cs="仿宋"/>
          <w:b/>
          <w:bCs/>
          <w:color w:val="auto"/>
          <w:spacing w:val="-2"/>
          <w:w w:val="100"/>
          <w:sz w:val="28"/>
          <w:szCs w:val="28"/>
          <w:highlight w:val="none"/>
          <w:lang w:val="en-US" w:eastAsia="zh-CN"/>
        </w:rPr>
        <w:t>26</w:t>
      </w:r>
      <w:r>
        <w:rPr>
          <w:rFonts w:hint="eastAsia" w:ascii="仿宋" w:hAnsi="仿宋" w:eastAsia="仿宋" w:cs="仿宋"/>
          <w:b/>
          <w:bCs/>
          <w:color w:val="auto"/>
          <w:spacing w:val="-2"/>
          <w:w w:val="100"/>
          <w:sz w:val="28"/>
          <w:szCs w:val="28"/>
          <w:highlight w:val="none"/>
        </w:rPr>
        <w:t>年</w:t>
      </w:r>
      <w:r>
        <w:rPr>
          <w:rFonts w:hint="eastAsia" w:ascii="仿宋" w:hAnsi="仿宋" w:eastAsia="仿宋" w:cs="仿宋"/>
          <w:b/>
          <w:bCs/>
          <w:color w:val="auto"/>
          <w:spacing w:val="-2"/>
          <w:w w:val="100"/>
          <w:sz w:val="28"/>
          <w:szCs w:val="28"/>
          <w:highlight w:val="none"/>
          <w:lang w:val="en-US" w:eastAsia="zh-CN"/>
        </w:rPr>
        <w:t xml:space="preserve"> </w:t>
      </w:r>
      <w:r>
        <w:rPr>
          <w:rFonts w:hint="eastAsia" w:ascii="仿宋" w:hAnsi="仿宋" w:eastAsia="仿宋" w:cs="仿宋"/>
          <w:b/>
          <w:bCs/>
          <w:color w:val="auto"/>
          <w:spacing w:val="-2"/>
          <w:w w:val="100"/>
          <w:sz w:val="28"/>
          <w:szCs w:val="28"/>
          <w:highlight w:val="none"/>
          <w:u w:val="single" w:color="auto"/>
        </w:rPr>
        <w:t xml:space="preserve">  </w:t>
      </w:r>
      <w:r>
        <w:rPr>
          <w:rFonts w:hint="eastAsia" w:ascii="仿宋" w:hAnsi="仿宋" w:eastAsia="仿宋" w:cs="仿宋"/>
          <w:b/>
          <w:bCs/>
          <w:color w:val="auto"/>
          <w:spacing w:val="-2"/>
          <w:w w:val="100"/>
          <w:sz w:val="28"/>
          <w:szCs w:val="28"/>
          <w:highlight w:val="none"/>
          <w:u w:val="single" w:color="auto"/>
          <w:lang w:val="en-US" w:eastAsia="zh-CN"/>
        </w:rPr>
        <w:t xml:space="preserve">      </w:t>
      </w:r>
      <w:r>
        <w:rPr>
          <w:rFonts w:hint="eastAsia" w:ascii="仿宋" w:hAnsi="仿宋" w:eastAsia="仿宋" w:cs="仿宋"/>
          <w:b/>
          <w:bCs/>
          <w:color w:val="auto"/>
          <w:spacing w:val="-2"/>
          <w:w w:val="100"/>
          <w:sz w:val="28"/>
          <w:szCs w:val="28"/>
          <w:highlight w:val="none"/>
          <w:u w:val="single" w:color="auto"/>
        </w:rPr>
        <w:t xml:space="preserve">  </w:t>
      </w:r>
      <w:r>
        <w:rPr>
          <w:rFonts w:hint="eastAsia" w:ascii="仿宋" w:hAnsi="仿宋" w:eastAsia="仿宋" w:cs="仿宋"/>
          <w:b/>
          <w:bCs/>
          <w:color w:val="auto"/>
          <w:spacing w:val="-105"/>
          <w:w w:val="100"/>
          <w:sz w:val="28"/>
          <w:szCs w:val="28"/>
          <w:highlight w:val="none"/>
        </w:rPr>
        <w:t xml:space="preserve"> </w:t>
      </w:r>
      <w:r>
        <w:rPr>
          <w:rFonts w:hint="eastAsia" w:ascii="仿宋" w:hAnsi="仿宋" w:eastAsia="仿宋" w:cs="仿宋"/>
          <w:b/>
          <w:bCs/>
          <w:color w:val="auto"/>
          <w:spacing w:val="-2"/>
          <w:w w:val="100"/>
          <w:sz w:val="28"/>
          <w:szCs w:val="28"/>
          <w:highlight w:val="none"/>
        </w:rPr>
        <w:t>月</w:t>
      </w:r>
      <w:r>
        <w:rPr>
          <w:rFonts w:hint="eastAsia" w:ascii="仿宋" w:hAnsi="仿宋" w:eastAsia="仿宋" w:cs="仿宋"/>
          <w:b/>
          <w:bCs/>
          <w:color w:val="auto"/>
          <w:spacing w:val="-2"/>
          <w:w w:val="100"/>
          <w:sz w:val="28"/>
          <w:szCs w:val="28"/>
          <w:highlight w:val="none"/>
          <w:u w:val="single"/>
          <w:lang w:val="en-US" w:eastAsia="zh-CN"/>
        </w:rPr>
        <w:t xml:space="preserve">             </w:t>
      </w:r>
      <w:r>
        <w:rPr>
          <w:rFonts w:hint="eastAsia" w:ascii="仿宋" w:hAnsi="仿宋" w:eastAsia="仿宋" w:cs="仿宋"/>
          <w:b/>
          <w:bCs/>
          <w:color w:val="auto"/>
          <w:spacing w:val="-110"/>
          <w:w w:val="100"/>
          <w:sz w:val="28"/>
          <w:szCs w:val="28"/>
          <w:highlight w:val="none"/>
        </w:rPr>
        <w:t xml:space="preserve"> </w:t>
      </w:r>
      <w:r>
        <w:rPr>
          <w:rFonts w:hint="eastAsia" w:ascii="仿宋" w:hAnsi="仿宋" w:eastAsia="仿宋" w:cs="仿宋"/>
          <w:b/>
          <w:bCs/>
          <w:color w:val="auto"/>
          <w:spacing w:val="-2"/>
          <w:w w:val="100"/>
          <w:sz w:val="28"/>
          <w:szCs w:val="28"/>
          <w:highlight w:val="none"/>
        </w:rPr>
        <w:t>房屋租赁考核评分表</w:t>
      </w:r>
    </w:p>
    <w:p w14:paraId="67FBE5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outlineLvl w:val="0"/>
        <w:rPr>
          <w:rFonts w:hint="eastAsia" w:ascii="仿宋" w:hAnsi="仿宋" w:eastAsia="仿宋" w:cs="仿宋"/>
          <w:b/>
          <w:bCs/>
          <w:color w:val="auto"/>
          <w:spacing w:val="-1"/>
          <w:sz w:val="28"/>
          <w:szCs w:val="28"/>
          <w:highlight w:val="none"/>
        </w:rPr>
      </w:pPr>
      <w:r>
        <w:rPr>
          <w:rFonts w:hint="eastAsia" w:ascii="仿宋" w:hAnsi="仿宋" w:eastAsia="仿宋" w:cs="仿宋"/>
          <w:b/>
          <w:bCs/>
          <w:color w:val="auto"/>
          <w:sz w:val="28"/>
          <w:szCs w:val="28"/>
          <w:highlight w:val="none"/>
        </w:rPr>
        <w:t>考核负责人：</w:t>
      </w:r>
      <w:r>
        <w:rPr>
          <w:rFonts w:hint="eastAsia" w:ascii="仿宋" w:hAnsi="仿宋" w:eastAsia="仿宋" w:cs="仿宋"/>
          <w:b/>
          <w:bCs/>
          <w:color w:val="auto"/>
          <w:sz w:val="28"/>
          <w:szCs w:val="28"/>
          <w:highlight w:val="none"/>
          <w:u w:val="single" w:color="auto"/>
        </w:rPr>
        <w:t xml:space="preserve">               </w:t>
      </w:r>
      <w:r>
        <w:rPr>
          <w:rFonts w:hint="eastAsia" w:ascii="仿宋" w:hAnsi="仿宋" w:eastAsia="仿宋" w:cs="仿宋"/>
          <w:b/>
          <w:bCs/>
          <w:color w:val="auto"/>
          <w:spacing w:val="-1"/>
          <w:sz w:val="28"/>
          <w:szCs w:val="28"/>
          <w:highlight w:val="none"/>
        </w:rPr>
        <w:t xml:space="preserve">    </w:t>
      </w:r>
      <w:r>
        <w:rPr>
          <w:rFonts w:hint="eastAsia" w:ascii="仿宋" w:hAnsi="仿宋" w:eastAsia="仿宋" w:cs="仿宋"/>
          <w:b/>
          <w:bCs/>
          <w:color w:val="auto"/>
          <w:spacing w:val="-1"/>
          <w:sz w:val="28"/>
          <w:szCs w:val="28"/>
          <w:highlight w:val="none"/>
          <w:lang w:val="en-US" w:eastAsia="zh-CN"/>
        </w:rPr>
        <w:t xml:space="preserve">   </w:t>
      </w:r>
      <w:r>
        <w:rPr>
          <w:rFonts w:hint="eastAsia" w:ascii="仿宋" w:hAnsi="仿宋" w:eastAsia="仿宋" w:cs="仿宋"/>
          <w:b/>
          <w:bCs/>
          <w:color w:val="auto"/>
          <w:spacing w:val="-1"/>
          <w:sz w:val="28"/>
          <w:szCs w:val="28"/>
          <w:highlight w:val="none"/>
        </w:rPr>
        <w:t>项目经理：</w:t>
      </w:r>
      <w:r>
        <w:rPr>
          <w:rFonts w:hint="eastAsia" w:ascii="仿宋" w:hAnsi="仿宋" w:eastAsia="仿宋" w:cs="仿宋"/>
          <w:b/>
          <w:bCs/>
          <w:color w:val="auto"/>
          <w:spacing w:val="-1"/>
          <w:sz w:val="28"/>
          <w:szCs w:val="28"/>
          <w:highlight w:val="none"/>
          <w:u w:val="single" w:color="auto"/>
        </w:rPr>
        <w:t xml:space="preserve">                 </w:t>
      </w:r>
    </w:p>
    <w:p w14:paraId="7B3A44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outlineLvl w:val="0"/>
        <w:rPr>
          <w:rFonts w:hint="eastAsia" w:ascii="仿宋" w:hAnsi="仿宋" w:eastAsia="仿宋" w:cs="仿宋"/>
          <w:b/>
          <w:bCs/>
          <w:color w:val="auto"/>
          <w:sz w:val="28"/>
          <w:szCs w:val="28"/>
          <w:highlight w:val="none"/>
        </w:rPr>
      </w:pPr>
      <w:r>
        <w:rPr>
          <w:rFonts w:hint="eastAsia" w:ascii="仿宋" w:hAnsi="仿宋" w:eastAsia="仿宋" w:cs="仿宋"/>
          <w:b/>
          <w:bCs/>
          <w:color w:val="auto"/>
          <w:spacing w:val="-1"/>
          <w:sz w:val="28"/>
          <w:szCs w:val="28"/>
          <w:highlight w:val="none"/>
        </w:rPr>
        <w:t>办公区负责人：</w:t>
      </w:r>
      <w:r>
        <w:rPr>
          <w:rFonts w:hint="eastAsia" w:ascii="仿宋" w:hAnsi="仿宋" w:eastAsia="仿宋" w:cs="仿宋"/>
          <w:b/>
          <w:bCs/>
          <w:color w:val="auto"/>
          <w:sz w:val="28"/>
          <w:szCs w:val="28"/>
          <w:highlight w:val="none"/>
          <w:u w:val="single" w:color="auto"/>
        </w:rPr>
        <w:t xml:space="preserve">             </w:t>
      </w:r>
      <w:r>
        <w:rPr>
          <w:rFonts w:hint="eastAsia" w:ascii="仿宋" w:hAnsi="仿宋" w:eastAsia="仿宋" w:cs="仿宋"/>
          <w:b/>
          <w:bCs/>
          <w:color w:val="auto"/>
          <w:spacing w:val="-1"/>
          <w:sz w:val="28"/>
          <w:szCs w:val="28"/>
          <w:highlight w:val="none"/>
        </w:rPr>
        <w:t xml:space="preserve">    </w:t>
      </w:r>
      <w:r>
        <w:rPr>
          <w:rFonts w:hint="eastAsia" w:ascii="仿宋" w:hAnsi="仿宋" w:eastAsia="仿宋" w:cs="仿宋"/>
          <w:b/>
          <w:bCs/>
          <w:color w:val="auto"/>
          <w:spacing w:val="-1"/>
          <w:sz w:val="28"/>
          <w:szCs w:val="28"/>
          <w:highlight w:val="none"/>
          <w:lang w:val="en-US" w:eastAsia="zh-CN"/>
        </w:rPr>
        <w:t xml:space="preserve">   </w:t>
      </w:r>
      <w:r>
        <w:rPr>
          <w:rFonts w:hint="eastAsia" w:ascii="仿宋" w:hAnsi="仿宋" w:eastAsia="仿宋" w:cs="仿宋"/>
          <w:b/>
          <w:bCs/>
          <w:color w:val="auto"/>
          <w:spacing w:val="-1"/>
          <w:sz w:val="28"/>
          <w:szCs w:val="28"/>
          <w:highlight w:val="none"/>
        </w:rPr>
        <w:t>考核评分：</w:t>
      </w:r>
      <w:r>
        <w:rPr>
          <w:rFonts w:hint="eastAsia" w:ascii="仿宋" w:hAnsi="仿宋" w:eastAsia="仿宋" w:cs="仿宋"/>
          <w:b/>
          <w:bCs/>
          <w:color w:val="auto"/>
          <w:spacing w:val="1"/>
          <w:sz w:val="28"/>
          <w:szCs w:val="28"/>
          <w:highlight w:val="none"/>
          <w:u w:val="single" w:color="auto"/>
        </w:rPr>
        <w:t xml:space="preserve">   </w:t>
      </w:r>
      <w:r>
        <w:rPr>
          <w:rFonts w:hint="eastAsia" w:ascii="仿宋" w:hAnsi="仿宋" w:eastAsia="仿宋" w:cs="仿宋"/>
          <w:b/>
          <w:bCs/>
          <w:color w:val="auto"/>
          <w:spacing w:val="1"/>
          <w:sz w:val="28"/>
          <w:szCs w:val="28"/>
          <w:highlight w:val="none"/>
          <w:u w:val="single" w:color="auto"/>
          <w:lang w:val="en-US" w:eastAsia="zh-CN"/>
        </w:rPr>
        <w:t xml:space="preserve">    </w:t>
      </w:r>
      <w:r>
        <w:rPr>
          <w:rFonts w:hint="eastAsia" w:ascii="仿宋" w:hAnsi="仿宋" w:eastAsia="仿宋" w:cs="仿宋"/>
          <w:b/>
          <w:bCs/>
          <w:color w:val="auto"/>
          <w:spacing w:val="1"/>
          <w:sz w:val="28"/>
          <w:szCs w:val="28"/>
          <w:highlight w:val="none"/>
          <w:u w:val="single" w:color="auto"/>
        </w:rPr>
        <w:t xml:space="preserve">          </w:t>
      </w:r>
    </w:p>
    <w:tbl>
      <w:tblPr>
        <w:tblStyle w:val="13"/>
        <w:tblpPr w:leftFromText="180" w:rightFromText="180" w:vertAnchor="text" w:horzAnchor="page" w:tblpXSpec="center" w:tblpY="94"/>
        <w:tblOverlap w:val="never"/>
        <w:tblW w:w="504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20"/>
        <w:gridCol w:w="745"/>
        <w:gridCol w:w="1151"/>
        <w:gridCol w:w="2372"/>
        <w:gridCol w:w="809"/>
        <w:gridCol w:w="1558"/>
        <w:gridCol w:w="1135"/>
      </w:tblGrid>
      <w:tr w14:paraId="74CFE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noWrap w:val="0"/>
            <w:vAlign w:val="center"/>
          </w:tcPr>
          <w:p w14:paraId="7034DED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序号</w:t>
            </w:r>
          </w:p>
        </w:tc>
        <w:tc>
          <w:tcPr>
            <w:tcW w:w="1130" w:type="pct"/>
            <w:gridSpan w:val="2"/>
            <w:noWrap w:val="0"/>
            <w:vAlign w:val="center"/>
          </w:tcPr>
          <w:p w14:paraId="03510EB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项目</w:t>
            </w:r>
          </w:p>
        </w:tc>
        <w:tc>
          <w:tcPr>
            <w:tcW w:w="1413" w:type="pct"/>
            <w:noWrap w:val="0"/>
            <w:vAlign w:val="center"/>
          </w:tcPr>
          <w:p w14:paraId="595FB0F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考核内容</w:t>
            </w:r>
          </w:p>
        </w:tc>
        <w:tc>
          <w:tcPr>
            <w:tcW w:w="482" w:type="pct"/>
            <w:noWrap w:val="0"/>
            <w:vAlign w:val="center"/>
          </w:tcPr>
          <w:p w14:paraId="4FDC1F4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分值</w:t>
            </w:r>
          </w:p>
        </w:tc>
        <w:tc>
          <w:tcPr>
            <w:tcW w:w="928" w:type="pct"/>
            <w:noWrap w:val="0"/>
            <w:vAlign w:val="center"/>
          </w:tcPr>
          <w:p w14:paraId="496A18EB">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考核方式</w:t>
            </w:r>
          </w:p>
        </w:tc>
        <w:tc>
          <w:tcPr>
            <w:tcW w:w="675" w:type="pct"/>
            <w:noWrap w:val="0"/>
            <w:vAlign w:val="center"/>
          </w:tcPr>
          <w:p w14:paraId="0753C4A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考核</w:t>
            </w:r>
          </w:p>
          <w:p w14:paraId="23642C1A">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标准</w:t>
            </w:r>
          </w:p>
        </w:tc>
      </w:tr>
      <w:tr w14:paraId="5E274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restart"/>
            <w:tcBorders>
              <w:bottom w:val="nil"/>
            </w:tcBorders>
            <w:noWrap w:val="0"/>
            <w:vAlign w:val="center"/>
          </w:tcPr>
          <w:p w14:paraId="1DA70E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p w14:paraId="55C1459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44" w:type="pct"/>
            <w:vMerge w:val="restart"/>
            <w:tcBorders>
              <w:bottom w:val="nil"/>
            </w:tcBorders>
            <w:noWrap w:val="0"/>
            <w:vAlign w:val="center"/>
          </w:tcPr>
          <w:p w14:paraId="2D00BD6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房屋主体结构</w:t>
            </w:r>
          </w:p>
        </w:tc>
        <w:tc>
          <w:tcPr>
            <w:tcW w:w="686" w:type="pct"/>
            <w:noWrap w:val="0"/>
            <w:vAlign w:val="center"/>
          </w:tcPr>
          <w:p w14:paraId="3F62CA1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地面基础</w:t>
            </w:r>
          </w:p>
        </w:tc>
        <w:tc>
          <w:tcPr>
            <w:tcW w:w="1413" w:type="pct"/>
            <w:noWrap w:val="0"/>
            <w:vAlign w:val="center"/>
          </w:tcPr>
          <w:p w14:paraId="6EC42C3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rPr>
              <w:t>公区、户内地面无损坏</w:t>
            </w:r>
          </w:p>
        </w:tc>
        <w:tc>
          <w:tcPr>
            <w:tcW w:w="482" w:type="pct"/>
            <w:noWrap w:val="0"/>
            <w:vAlign w:val="center"/>
          </w:tcPr>
          <w:p w14:paraId="7FF88F9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928" w:type="pct"/>
            <w:vMerge w:val="restart"/>
            <w:tcBorders>
              <w:bottom w:val="nil"/>
            </w:tcBorders>
            <w:noWrap w:val="0"/>
            <w:vAlign w:val="center"/>
          </w:tcPr>
          <w:p w14:paraId="7CDCBC4E">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194044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71C38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26A211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123212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noWrap w:val="0"/>
            <w:vAlign w:val="center"/>
          </w:tcPr>
          <w:p w14:paraId="6C66F81E">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屋面防水</w:t>
            </w:r>
          </w:p>
        </w:tc>
        <w:tc>
          <w:tcPr>
            <w:tcW w:w="1413" w:type="pct"/>
            <w:noWrap w:val="0"/>
            <w:vAlign w:val="center"/>
          </w:tcPr>
          <w:p w14:paraId="3AB39412">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房屋无漏水情况</w:t>
            </w:r>
          </w:p>
        </w:tc>
        <w:tc>
          <w:tcPr>
            <w:tcW w:w="482" w:type="pct"/>
            <w:noWrap w:val="0"/>
            <w:vAlign w:val="center"/>
          </w:tcPr>
          <w:p w14:paraId="1D07A34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928" w:type="pct"/>
            <w:vMerge w:val="continue"/>
            <w:tcBorders>
              <w:top w:val="nil"/>
              <w:bottom w:val="nil"/>
            </w:tcBorders>
            <w:noWrap w:val="0"/>
            <w:vAlign w:val="center"/>
          </w:tcPr>
          <w:p w14:paraId="0D0FE7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4047C2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7044C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tcBorders>
            <w:noWrap w:val="0"/>
            <w:vAlign w:val="center"/>
          </w:tcPr>
          <w:p w14:paraId="1208C9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tcBorders>
            <w:noWrap w:val="0"/>
            <w:vAlign w:val="center"/>
          </w:tcPr>
          <w:p w14:paraId="5A27EC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noWrap w:val="0"/>
            <w:vAlign w:val="center"/>
          </w:tcPr>
          <w:p w14:paraId="5EE158A9">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墙柱梁</w:t>
            </w:r>
          </w:p>
        </w:tc>
        <w:tc>
          <w:tcPr>
            <w:tcW w:w="1413" w:type="pct"/>
            <w:noWrap w:val="0"/>
            <w:vAlign w:val="center"/>
          </w:tcPr>
          <w:p w14:paraId="18AD8EF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房屋墙面、梁柱无损坏</w:t>
            </w:r>
          </w:p>
        </w:tc>
        <w:tc>
          <w:tcPr>
            <w:tcW w:w="482" w:type="pct"/>
            <w:noWrap w:val="0"/>
            <w:vAlign w:val="center"/>
          </w:tcPr>
          <w:p w14:paraId="0CD9FDBC">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928" w:type="pct"/>
            <w:vMerge w:val="continue"/>
            <w:tcBorders>
              <w:top w:val="nil"/>
            </w:tcBorders>
            <w:noWrap w:val="0"/>
            <w:vAlign w:val="center"/>
          </w:tcPr>
          <w:p w14:paraId="0364BF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28EB3A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1CAB5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restart"/>
            <w:tcBorders>
              <w:bottom w:val="nil"/>
            </w:tcBorders>
            <w:noWrap w:val="0"/>
            <w:vAlign w:val="center"/>
          </w:tcPr>
          <w:p w14:paraId="4992722B">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44" w:type="pct"/>
            <w:vMerge w:val="restart"/>
            <w:tcBorders>
              <w:bottom w:val="nil"/>
            </w:tcBorders>
            <w:noWrap w:val="0"/>
            <w:vAlign w:val="center"/>
          </w:tcPr>
          <w:p w14:paraId="7985493C">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设施设 备管理</w:t>
            </w:r>
          </w:p>
        </w:tc>
        <w:tc>
          <w:tcPr>
            <w:tcW w:w="686" w:type="pct"/>
            <w:vMerge w:val="restart"/>
            <w:tcBorders>
              <w:bottom w:val="nil"/>
            </w:tcBorders>
            <w:noWrap w:val="0"/>
            <w:vAlign w:val="center"/>
          </w:tcPr>
          <w:p w14:paraId="745F7F6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给排水</w:t>
            </w:r>
          </w:p>
          <w:p w14:paraId="0762FD4F">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管路</w:t>
            </w:r>
          </w:p>
        </w:tc>
        <w:tc>
          <w:tcPr>
            <w:tcW w:w="1413" w:type="pct"/>
            <w:noWrap w:val="0"/>
            <w:vAlign w:val="center"/>
          </w:tcPr>
          <w:p w14:paraId="1441D151">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给排水管路配备齐全</w:t>
            </w:r>
          </w:p>
        </w:tc>
        <w:tc>
          <w:tcPr>
            <w:tcW w:w="482" w:type="pct"/>
            <w:noWrap w:val="0"/>
            <w:vAlign w:val="center"/>
          </w:tcPr>
          <w:p w14:paraId="14E73099">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928" w:type="pct"/>
            <w:noWrap w:val="0"/>
            <w:vAlign w:val="center"/>
          </w:tcPr>
          <w:p w14:paraId="71D988E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0B394B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4B3D5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22D2F7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1B1DCF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nil"/>
            </w:tcBorders>
            <w:noWrap w:val="0"/>
            <w:vAlign w:val="center"/>
          </w:tcPr>
          <w:p w14:paraId="37704A6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31FC435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图纸齐全</w:t>
            </w:r>
          </w:p>
        </w:tc>
        <w:tc>
          <w:tcPr>
            <w:tcW w:w="482" w:type="pct"/>
            <w:noWrap w:val="0"/>
            <w:vAlign w:val="center"/>
          </w:tcPr>
          <w:p w14:paraId="59ED02F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restart"/>
            <w:tcBorders>
              <w:bottom w:val="nil"/>
            </w:tcBorders>
            <w:noWrap w:val="0"/>
            <w:vAlign w:val="center"/>
          </w:tcPr>
          <w:p w14:paraId="5ABDDC6E">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查看登记记录</w:t>
            </w:r>
          </w:p>
        </w:tc>
        <w:tc>
          <w:tcPr>
            <w:tcW w:w="675" w:type="pct"/>
            <w:noWrap w:val="0"/>
            <w:vAlign w:val="center"/>
          </w:tcPr>
          <w:p w14:paraId="61E987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2AB32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168097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26552D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nil"/>
            </w:tcBorders>
            <w:noWrap w:val="0"/>
            <w:vAlign w:val="center"/>
          </w:tcPr>
          <w:p w14:paraId="3353624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4AE55ACB">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发生故障时，一天之内</w:t>
            </w:r>
            <w:r>
              <w:rPr>
                <w:rFonts w:hint="eastAsia" w:ascii="宋体" w:hAnsi="宋体" w:eastAsia="宋体" w:cs="宋体"/>
                <w:color w:val="auto"/>
                <w:spacing w:val="-3"/>
                <w:sz w:val="24"/>
                <w:szCs w:val="24"/>
                <w:highlight w:val="none"/>
              </w:rPr>
              <w:t>完成维修</w:t>
            </w:r>
          </w:p>
        </w:tc>
        <w:tc>
          <w:tcPr>
            <w:tcW w:w="482" w:type="pct"/>
            <w:noWrap w:val="0"/>
            <w:vAlign w:val="center"/>
          </w:tcPr>
          <w:p w14:paraId="7AAE43C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bottom w:val="nil"/>
            </w:tcBorders>
            <w:noWrap w:val="0"/>
            <w:vAlign w:val="center"/>
          </w:tcPr>
          <w:p w14:paraId="5D6799B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7ED261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C29A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033247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503A4B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tcBorders>
            <w:noWrap w:val="0"/>
            <w:vAlign w:val="center"/>
          </w:tcPr>
          <w:p w14:paraId="060DD4B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040233D9">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5"/>
                <w:sz w:val="24"/>
                <w:szCs w:val="24"/>
                <w:highlight w:val="none"/>
              </w:rPr>
              <w:t>日常维保记录详实、准</w:t>
            </w:r>
            <w:r>
              <w:rPr>
                <w:rFonts w:hint="eastAsia" w:ascii="宋体" w:hAnsi="宋体" w:eastAsia="宋体" w:cs="宋体"/>
                <w:color w:val="auto"/>
                <w:sz w:val="24"/>
                <w:szCs w:val="24"/>
                <w:highlight w:val="none"/>
              </w:rPr>
              <w:t>确</w:t>
            </w:r>
          </w:p>
        </w:tc>
        <w:tc>
          <w:tcPr>
            <w:tcW w:w="482" w:type="pct"/>
            <w:noWrap w:val="0"/>
            <w:vAlign w:val="center"/>
          </w:tcPr>
          <w:p w14:paraId="347D557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tcBorders>
            <w:noWrap w:val="0"/>
            <w:vAlign w:val="center"/>
          </w:tcPr>
          <w:p w14:paraId="4657240C">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18571D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582373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18F4C4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574E13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restart"/>
            <w:tcBorders>
              <w:bottom w:val="nil"/>
            </w:tcBorders>
            <w:noWrap w:val="0"/>
            <w:vAlign w:val="center"/>
          </w:tcPr>
          <w:p w14:paraId="66C13B6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取暖设备</w:t>
            </w:r>
          </w:p>
        </w:tc>
        <w:tc>
          <w:tcPr>
            <w:tcW w:w="1413" w:type="pct"/>
            <w:noWrap w:val="0"/>
            <w:vAlign w:val="center"/>
          </w:tcPr>
          <w:p w14:paraId="75B22052">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取暖设施设备配备齐</w:t>
            </w:r>
            <w:r>
              <w:rPr>
                <w:rFonts w:hint="eastAsia" w:ascii="宋体" w:hAnsi="宋体" w:eastAsia="宋体" w:cs="宋体"/>
                <w:color w:val="auto"/>
                <w:sz w:val="24"/>
                <w:szCs w:val="24"/>
                <w:highlight w:val="none"/>
              </w:rPr>
              <w:t>全</w:t>
            </w:r>
          </w:p>
        </w:tc>
        <w:tc>
          <w:tcPr>
            <w:tcW w:w="482" w:type="pct"/>
            <w:noWrap w:val="0"/>
            <w:vAlign w:val="center"/>
          </w:tcPr>
          <w:p w14:paraId="1F87FFD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928" w:type="pct"/>
            <w:noWrap w:val="0"/>
            <w:vAlign w:val="center"/>
          </w:tcPr>
          <w:p w14:paraId="67234A9A">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68F1CC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25F57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371BC3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267DC9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nil"/>
            </w:tcBorders>
            <w:noWrap w:val="0"/>
            <w:vAlign w:val="center"/>
          </w:tcPr>
          <w:p w14:paraId="235726E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7FC59672">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图纸齐全</w:t>
            </w:r>
          </w:p>
        </w:tc>
        <w:tc>
          <w:tcPr>
            <w:tcW w:w="482" w:type="pct"/>
            <w:noWrap w:val="0"/>
            <w:vAlign w:val="center"/>
          </w:tcPr>
          <w:p w14:paraId="0E8F8A7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restart"/>
            <w:tcBorders>
              <w:bottom w:val="nil"/>
            </w:tcBorders>
            <w:noWrap w:val="0"/>
            <w:vAlign w:val="center"/>
          </w:tcPr>
          <w:p w14:paraId="26E3D16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查看登记记录</w:t>
            </w:r>
          </w:p>
        </w:tc>
        <w:tc>
          <w:tcPr>
            <w:tcW w:w="675" w:type="pct"/>
            <w:noWrap w:val="0"/>
            <w:vAlign w:val="center"/>
          </w:tcPr>
          <w:p w14:paraId="3F01AD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B450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053033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3D3D8A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nil"/>
            </w:tcBorders>
            <w:noWrap w:val="0"/>
            <w:vAlign w:val="center"/>
          </w:tcPr>
          <w:p w14:paraId="09506D74">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4F01E6DA">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发生故障时，能在一天</w:t>
            </w:r>
            <w:r>
              <w:rPr>
                <w:rFonts w:hint="eastAsia" w:ascii="宋体" w:hAnsi="宋体" w:eastAsia="宋体" w:cs="宋体"/>
                <w:color w:val="auto"/>
                <w:spacing w:val="-2"/>
                <w:sz w:val="24"/>
                <w:szCs w:val="24"/>
                <w:highlight w:val="none"/>
              </w:rPr>
              <w:t>之内完成维修</w:t>
            </w:r>
          </w:p>
        </w:tc>
        <w:tc>
          <w:tcPr>
            <w:tcW w:w="482" w:type="pct"/>
            <w:noWrap w:val="0"/>
            <w:vAlign w:val="center"/>
          </w:tcPr>
          <w:p w14:paraId="5361B1A2">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bottom w:val="nil"/>
            </w:tcBorders>
            <w:noWrap w:val="0"/>
            <w:vAlign w:val="center"/>
          </w:tcPr>
          <w:p w14:paraId="2C99D8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7DD7EC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2422F2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20A376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6DAE7E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tcBorders>
            <w:noWrap w:val="0"/>
            <w:vAlign w:val="center"/>
          </w:tcPr>
          <w:p w14:paraId="29B71ED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06D6AB51">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5"/>
                <w:sz w:val="24"/>
                <w:szCs w:val="24"/>
                <w:highlight w:val="none"/>
              </w:rPr>
              <w:t>日常维保记录详实、准</w:t>
            </w:r>
            <w:r>
              <w:rPr>
                <w:rFonts w:hint="eastAsia" w:ascii="宋体" w:hAnsi="宋体" w:eastAsia="宋体" w:cs="宋体"/>
                <w:color w:val="auto"/>
                <w:sz w:val="24"/>
                <w:szCs w:val="24"/>
                <w:highlight w:val="none"/>
              </w:rPr>
              <w:t>确</w:t>
            </w:r>
          </w:p>
        </w:tc>
        <w:tc>
          <w:tcPr>
            <w:tcW w:w="482" w:type="pct"/>
            <w:noWrap w:val="0"/>
            <w:vAlign w:val="center"/>
          </w:tcPr>
          <w:p w14:paraId="287140F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tcBorders>
            <w:noWrap w:val="0"/>
            <w:vAlign w:val="center"/>
          </w:tcPr>
          <w:p w14:paraId="594A59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7EAC4E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5A60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1B504E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0CA794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restart"/>
            <w:tcBorders>
              <w:bottom w:val="nil"/>
            </w:tcBorders>
            <w:noWrap w:val="0"/>
            <w:vAlign w:val="center"/>
          </w:tcPr>
          <w:p w14:paraId="367BF51F">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电力设</w:t>
            </w:r>
          </w:p>
          <w:p w14:paraId="7455E6E1">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施设备</w:t>
            </w:r>
          </w:p>
        </w:tc>
        <w:tc>
          <w:tcPr>
            <w:tcW w:w="1413" w:type="pct"/>
            <w:noWrap w:val="0"/>
            <w:vAlign w:val="center"/>
          </w:tcPr>
          <w:p w14:paraId="3E8B1FA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电力设施设备配备齐</w:t>
            </w:r>
            <w:r>
              <w:rPr>
                <w:rFonts w:hint="eastAsia" w:ascii="宋体" w:hAnsi="宋体" w:eastAsia="宋体" w:cs="宋体"/>
                <w:color w:val="auto"/>
                <w:sz w:val="24"/>
                <w:szCs w:val="24"/>
                <w:highlight w:val="none"/>
              </w:rPr>
              <w:t>全</w:t>
            </w:r>
          </w:p>
        </w:tc>
        <w:tc>
          <w:tcPr>
            <w:tcW w:w="482" w:type="pct"/>
            <w:noWrap w:val="0"/>
            <w:vAlign w:val="center"/>
          </w:tcPr>
          <w:p w14:paraId="5AAD521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928" w:type="pct"/>
            <w:noWrap w:val="0"/>
            <w:vAlign w:val="center"/>
          </w:tcPr>
          <w:p w14:paraId="0179E02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2EC562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43E29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378DE9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0A916B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nil"/>
            </w:tcBorders>
            <w:noWrap w:val="0"/>
            <w:vAlign w:val="center"/>
          </w:tcPr>
          <w:p w14:paraId="0332369B">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02F886E8">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图纸齐全</w:t>
            </w:r>
          </w:p>
        </w:tc>
        <w:tc>
          <w:tcPr>
            <w:tcW w:w="482" w:type="pct"/>
            <w:noWrap w:val="0"/>
            <w:vAlign w:val="center"/>
          </w:tcPr>
          <w:p w14:paraId="3B29EF82">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restart"/>
            <w:tcBorders>
              <w:bottom w:val="nil"/>
            </w:tcBorders>
            <w:noWrap w:val="0"/>
            <w:vAlign w:val="center"/>
          </w:tcPr>
          <w:p w14:paraId="50324CFC">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查看登记记录</w:t>
            </w:r>
          </w:p>
        </w:tc>
        <w:tc>
          <w:tcPr>
            <w:tcW w:w="675" w:type="pct"/>
            <w:noWrap w:val="0"/>
            <w:vAlign w:val="center"/>
          </w:tcPr>
          <w:p w14:paraId="1E2D50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68125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nil"/>
            </w:tcBorders>
            <w:noWrap w:val="0"/>
            <w:vAlign w:val="center"/>
          </w:tcPr>
          <w:p w14:paraId="295D4C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nil"/>
            </w:tcBorders>
            <w:noWrap w:val="0"/>
            <w:vAlign w:val="center"/>
          </w:tcPr>
          <w:p w14:paraId="182406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nil"/>
            </w:tcBorders>
            <w:noWrap w:val="0"/>
            <w:vAlign w:val="center"/>
          </w:tcPr>
          <w:p w14:paraId="68C4EFB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6DDE128F">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发生故障时，能在一天</w:t>
            </w:r>
            <w:r>
              <w:rPr>
                <w:rFonts w:hint="eastAsia" w:ascii="宋体" w:hAnsi="宋体" w:eastAsia="宋体" w:cs="宋体"/>
                <w:color w:val="auto"/>
                <w:spacing w:val="-2"/>
                <w:sz w:val="24"/>
                <w:szCs w:val="24"/>
                <w:highlight w:val="none"/>
              </w:rPr>
              <w:t>之内完成维修</w:t>
            </w:r>
          </w:p>
        </w:tc>
        <w:tc>
          <w:tcPr>
            <w:tcW w:w="482" w:type="pct"/>
            <w:noWrap w:val="0"/>
            <w:vAlign w:val="center"/>
          </w:tcPr>
          <w:p w14:paraId="1C7AF53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bottom w:val="nil"/>
            </w:tcBorders>
            <w:noWrap w:val="0"/>
            <w:vAlign w:val="center"/>
          </w:tcPr>
          <w:p w14:paraId="2F0E41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7C474B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3667E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tcBorders>
            <w:noWrap w:val="0"/>
            <w:vAlign w:val="center"/>
          </w:tcPr>
          <w:p w14:paraId="27E204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tcBorders>
            <w:noWrap w:val="0"/>
            <w:vAlign w:val="center"/>
          </w:tcPr>
          <w:p w14:paraId="1BAC41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tcBorders>
            <w:noWrap w:val="0"/>
            <w:vAlign w:val="center"/>
          </w:tcPr>
          <w:p w14:paraId="1A2F4D6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1413" w:type="pct"/>
            <w:noWrap w:val="0"/>
            <w:vAlign w:val="center"/>
          </w:tcPr>
          <w:p w14:paraId="2756BB6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5"/>
                <w:sz w:val="24"/>
                <w:szCs w:val="24"/>
                <w:highlight w:val="none"/>
              </w:rPr>
              <w:t>日常维保记录详实、准</w:t>
            </w:r>
            <w:r>
              <w:rPr>
                <w:rFonts w:hint="eastAsia" w:ascii="宋体" w:hAnsi="宋体" w:eastAsia="宋体" w:cs="宋体"/>
                <w:color w:val="auto"/>
                <w:sz w:val="24"/>
                <w:szCs w:val="24"/>
                <w:highlight w:val="none"/>
              </w:rPr>
              <w:t>确</w:t>
            </w:r>
          </w:p>
        </w:tc>
        <w:tc>
          <w:tcPr>
            <w:tcW w:w="482" w:type="pct"/>
            <w:noWrap w:val="0"/>
            <w:vAlign w:val="center"/>
          </w:tcPr>
          <w:p w14:paraId="3057A2F2">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tcBorders>
            <w:noWrap w:val="0"/>
            <w:vAlign w:val="center"/>
          </w:tcPr>
          <w:p w14:paraId="324CCF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2C4DCD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45F64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restart"/>
            <w:tcBorders>
              <w:bottom w:val="nil"/>
            </w:tcBorders>
            <w:noWrap w:val="0"/>
            <w:vAlign w:val="center"/>
          </w:tcPr>
          <w:p w14:paraId="4181A804">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44" w:type="pct"/>
            <w:vMerge w:val="restart"/>
            <w:tcBorders>
              <w:bottom w:val="nil"/>
            </w:tcBorders>
            <w:noWrap w:val="0"/>
            <w:vAlign w:val="center"/>
          </w:tcPr>
          <w:p w14:paraId="260F44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p w14:paraId="1ED28C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p>
          <w:p w14:paraId="291A99BF">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消防设</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3"/>
                <w:sz w:val="24"/>
                <w:szCs w:val="24"/>
                <w:highlight w:val="none"/>
              </w:rPr>
              <w:t>施设备</w:t>
            </w:r>
          </w:p>
        </w:tc>
        <w:tc>
          <w:tcPr>
            <w:tcW w:w="686" w:type="pct"/>
            <w:vMerge w:val="restart"/>
            <w:tcBorders>
              <w:bottom w:val="nil"/>
            </w:tcBorders>
            <w:noWrap w:val="0"/>
            <w:vAlign w:val="center"/>
          </w:tcPr>
          <w:p w14:paraId="629BA86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pacing w:val="-3"/>
                <w:sz w:val="24"/>
                <w:szCs w:val="24"/>
                <w:highlight w:val="none"/>
              </w:rPr>
            </w:pPr>
          </w:p>
          <w:p w14:paraId="7F0643F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自动火灾</w:t>
            </w:r>
          </w:p>
          <w:p w14:paraId="477280A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报警系统</w:t>
            </w:r>
          </w:p>
        </w:tc>
        <w:tc>
          <w:tcPr>
            <w:tcW w:w="1413" w:type="pct"/>
            <w:noWrap w:val="0"/>
            <w:vAlign w:val="center"/>
          </w:tcPr>
          <w:p w14:paraId="78FBD10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烟感报警器使用状态</w:t>
            </w:r>
            <w:r>
              <w:rPr>
                <w:rFonts w:hint="eastAsia" w:ascii="宋体" w:hAnsi="宋体" w:eastAsia="宋体" w:cs="宋体"/>
                <w:color w:val="auto"/>
                <w:spacing w:val="-8"/>
                <w:sz w:val="24"/>
                <w:szCs w:val="24"/>
                <w:highlight w:val="none"/>
              </w:rPr>
              <w:t>正常</w:t>
            </w:r>
          </w:p>
        </w:tc>
        <w:tc>
          <w:tcPr>
            <w:tcW w:w="482" w:type="pct"/>
            <w:noWrap w:val="0"/>
            <w:vAlign w:val="center"/>
          </w:tcPr>
          <w:p w14:paraId="508C8451">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restart"/>
            <w:tcBorders>
              <w:bottom w:val="nil"/>
            </w:tcBorders>
            <w:noWrap w:val="0"/>
            <w:vAlign w:val="center"/>
          </w:tcPr>
          <w:p w14:paraId="74D20024">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060D82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08AE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single" w:color="auto" w:sz="4" w:space="0"/>
            </w:tcBorders>
            <w:noWrap w:val="0"/>
            <w:vAlign w:val="center"/>
          </w:tcPr>
          <w:p w14:paraId="1947C24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single" w:color="auto" w:sz="4" w:space="0"/>
            </w:tcBorders>
            <w:noWrap w:val="0"/>
            <w:vAlign w:val="center"/>
          </w:tcPr>
          <w:p w14:paraId="1553CE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single" w:color="auto" w:sz="4" w:space="0"/>
            </w:tcBorders>
            <w:noWrap w:val="0"/>
            <w:vAlign w:val="center"/>
          </w:tcPr>
          <w:p w14:paraId="1BBB2D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tcBorders>
              <w:bottom w:val="single" w:color="auto" w:sz="4" w:space="0"/>
            </w:tcBorders>
            <w:noWrap w:val="0"/>
            <w:vAlign w:val="center"/>
          </w:tcPr>
          <w:p w14:paraId="04EA951E">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温感报警器使用状态</w:t>
            </w:r>
            <w:r>
              <w:rPr>
                <w:rFonts w:hint="eastAsia" w:ascii="宋体" w:hAnsi="宋体" w:eastAsia="宋体" w:cs="宋体"/>
                <w:color w:val="auto"/>
                <w:spacing w:val="-8"/>
                <w:sz w:val="24"/>
                <w:szCs w:val="24"/>
                <w:highlight w:val="none"/>
              </w:rPr>
              <w:t>正常</w:t>
            </w:r>
          </w:p>
        </w:tc>
        <w:tc>
          <w:tcPr>
            <w:tcW w:w="482" w:type="pct"/>
            <w:tcBorders>
              <w:bottom w:val="single" w:color="auto" w:sz="4" w:space="0"/>
            </w:tcBorders>
            <w:noWrap w:val="0"/>
            <w:vAlign w:val="center"/>
          </w:tcPr>
          <w:p w14:paraId="1A76FD7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nil"/>
              <w:bottom w:val="single" w:color="auto" w:sz="4" w:space="0"/>
            </w:tcBorders>
            <w:noWrap w:val="0"/>
            <w:vAlign w:val="center"/>
          </w:tcPr>
          <w:p w14:paraId="3419C2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4362E7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1DA33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single" w:color="auto" w:sz="4" w:space="0"/>
              <w:bottom w:val="nil"/>
            </w:tcBorders>
            <w:noWrap w:val="0"/>
            <w:vAlign w:val="center"/>
          </w:tcPr>
          <w:p w14:paraId="303A96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single" w:color="auto" w:sz="4" w:space="0"/>
              <w:bottom w:val="nil"/>
            </w:tcBorders>
            <w:noWrap w:val="0"/>
            <w:vAlign w:val="center"/>
          </w:tcPr>
          <w:p w14:paraId="1D2270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single" w:color="auto" w:sz="4" w:space="0"/>
              <w:bottom w:val="nil"/>
            </w:tcBorders>
            <w:noWrap w:val="0"/>
            <w:vAlign w:val="center"/>
          </w:tcPr>
          <w:p w14:paraId="3ED331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tcBorders>
              <w:top w:val="single" w:color="auto" w:sz="4" w:space="0"/>
            </w:tcBorders>
            <w:noWrap w:val="0"/>
            <w:vAlign w:val="center"/>
          </w:tcPr>
          <w:p w14:paraId="014CE2D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火灾报警器使用状态</w:t>
            </w:r>
            <w:r>
              <w:rPr>
                <w:rFonts w:hint="eastAsia" w:ascii="宋体" w:hAnsi="宋体" w:eastAsia="宋体" w:cs="宋体"/>
                <w:color w:val="auto"/>
                <w:spacing w:val="-8"/>
                <w:sz w:val="24"/>
                <w:szCs w:val="24"/>
                <w:highlight w:val="none"/>
              </w:rPr>
              <w:t>正常</w:t>
            </w:r>
          </w:p>
        </w:tc>
        <w:tc>
          <w:tcPr>
            <w:tcW w:w="482" w:type="pct"/>
            <w:tcBorders>
              <w:top w:val="single" w:color="auto" w:sz="4" w:space="0"/>
            </w:tcBorders>
            <w:noWrap w:val="0"/>
            <w:vAlign w:val="center"/>
          </w:tcPr>
          <w:p w14:paraId="36673F8A">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928" w:type="pct"/>
            <w:vMerge w:val="continue"/>
            <w:tcBorders>
              <w:top w:val="single" w:color="auto" w:sz="4" w:space="0"/>
            </w:tcBorders>
            <w:noWrap w:val="0"/>
            <w:vAlign w:val="center"/>
          </w:tcPr>
          <w:p w14:paraId="3312D6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75" w:type="pct"/>
            <w:noWrap w:val="0"/>
            <w:vAlign w:val="center"/>
          </w:tcPr>
          <w:p w14:paraId="25D720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6768F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top w:val="nil"/>
              <w:bottom w:val="single" w:color="auto" w:sz="4" w:space="0"/>
            </w:tcBorders>
            <w:noWrap w:val="0"/>
            <w:vAlign w:val="center"/>
          </w:tcPr>
          <w:p w14:paraId="372577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top w:val="nil"/>
              <w:bottom w:val="single" w:color="auto" w:sz="4" w:space="0"/>
            </w:tcBorders>
            <w:noWrap w:val="0"/>
            <w:vAlign w:val="center"/>
          </w:tcPr>
          <w:p w14:paraId="015F0E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vMerge w:val="continue"/>
            <w:tcBorders>
              <w:top w:val="nil"/>
              <w:bottom w:val="single" w:color="auto" w:sz="4" w:space="0"/>
            </w:tcBorders>
            <w:noWrap w:val="0"/>
            <w:vAlign w:val="center"/>
          </w:tcPr>
          <w:p w14:paraId="2B1E86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044E591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自动火灾报警系统按</w:t>
            </w:r>
          </w:p>
          <w:p w14:paraId="1E923559">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color w:val="auto"/>
                <w:spacing w:val="-6"/>
                <w:sz w:val="24"/>
                <w:szCs w:val="24"/>
                <w:highlight w:val="none"/>
              </w:rPr>
            </w:pPr>
            <w:r>
              <w:rPr>
                <w:rFonts w:hint="eastAsia" w:ascii="宋体" w:hAnsi="宋体" w:eastAsia="宋体" w:cs="宋体"/>
                <w:color w:val="auto"/>
                <w:spacing w:val="-2"/>
                <w:sz w:val="24"/>
                <w:szCs w:val="24"/>
                <w:highlight w:val="none"/>
              </w:rPr>
              <w:t>规定定期进行维保</w:t>
            </w:r>
          </w:p>
        </w:tc>
        <w:tc>
          <w:tcPr>
            <w:tcW w:w="482" w:type="pct"/>
            <w:noWrap w:val="0"/>
            <w:vAlign w:val="center"/>
          </w:tcPr>
          <w:p w14:paraId="54CBE1F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928" w:type="pct"/>
            <w:noWrap w:val="0"/>
            <w:vAlign w:val="center"/>
          </w:tcPr>
          <w:p w14:paraId="2B9521B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查看登记记录</w:t>
            </w:r>
          </w:p>
        </w:tc>
        <w:tc>
          <w:tcPr>
            <w:tcW w:w="675" w:type="pct"/>
            <w:noWrap w:val="0"/>
            <w:vAlign w:val="center"/>
          </w:tcPr>
          <w:p w14:paraId="305272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7222E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single" w:color="auto" w:sz="4" w:space="0"/>
              <w:bottom w:val="nil"/>
            </w:tcBorders>
            <w:noWrap w:val="0"/>
            <w:vAlign w:val="center"/>
          </w:tcPr>
          <w:p w14:paraId="736E3C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tcBorders>
              <w:top w:val="single" w:color="auto" w:sz="4" w:space="0"/>
              <w:bottom w:val="nil"/>
            </w:tcBorders>
            <w:noWrap w:val="0"/>
            <w:vAlign w:val="center"/>
          </w:tcPr>
          <w:p w14:paraId="665A92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single" w:color="auto" w:sz="4" w:space="0"/>
              <w:bottom w:val="nil"/>
            </w:tcBorders>
            <w:noWrap w:val="0"/>
            <w:vAlign w:val="center"/>
          </w:tcPr>
          <w:p w14:paraId="224F99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7AE1BD76">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消防系统使用状态正</w:t>
            </w:r>
            <w:r>
              <w:rPr>
                <w:rFonts w:hint="eastAsia" w:ascii="宋体" w:hAnsi="宋体" w:eastAsia="宋体" w:cs="宋体"/>
                <w:color w:val="auto"/>
                <w:sz w:val="24"/>
                <w:szCs w:val="24"/>
                <w:highlight w:val="none"/>
              </w:rPr>
              <w:t>常</w:t>
            </w:r>
          </w:p>
        </w:tc>
        <w:tc>
          <w:tcPr>
            <w:tcW w:w="482" w:type="pct"/>
            <w:noWrap w:val="0"/>
            <w:vAlign w:val="center"/>
          </w:tcPr>
          <w:p w14:paraId="039A6288">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restart"/>
            <w:noWrap w:val="0"/>
            <w:vAlign w:val="center"/>
          </w:tcPr>
          <w:p w14:paraId="5D90EED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2AA3F7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4CF51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nil"/>
              <w:bottom w:val="nil"/>
            </w:tcBorders>
            <w:noWrap w:val="0"/>
            <w:vAlign w:val="center"/>
          </w:tcPr>
          <w:p w14:paraId="5AA592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tcBorders>
              <w:top w:val="nil"/>
              <w:bottom w:val="nil"/>
            </w:tcBorders>
            <w:noWrap w:val="0"/>
            <w:vAlign w:val="center"/>
          </w:tcPr>
          <w:p w14:paraId="7B7AE1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nil"/>
            </w:tcBorders>
            <w:noWrap w:val="0"/>
            <w:vAlign w:val="center"/>
          </w:tcPr>
          <w:p w14:paraId="77F032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046C7676">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消火栓使用状态正常</w:t>
            </w:r>
          </w:p>
        </w:tc>
        <w:tc>
          <w:tcPr>
            <w:tcW w:w="482" w:type="pct"/>
            <w:noWrap w:val="0"/>
            <w:vAlign w:val="center"/>
          </w:tcPr>
          <w:p w14:paraId="0294EE11">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77082543">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44BDF7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1FD31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nil"/>
              <w:bottom w:val="nil"/>
            </w:tcBorders>
            <w:noWrap w:val="0"/>
            <w:vAlign w:val="center"/>
          </w:tcPr>
          <w:p w14:paraId="262121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restart"/>
            <w:tcBorders>
              <w:top w:val="nil"/>
            </w:tcBorders>
            <w:noWrap w:val="0"/>
            <w:vAlign w:val="center"/>
          </w:tcPr>
          <w:p w14:paraId="5A0CE1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消防设</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3"/>
                <w:sz w:val="24"/>
                <w:szCs w:val="24"/>
                <w:highlight w:val="none"/>
              </w:rPr>
              <w:t>施设备</w:t>
            </w:r>
          </w:p>
        </w:tc>
        <w:tc>
          <w:tcPr>
            <w:tcW w:w="686" w:type="pct"/>
            <w:tcBorders>
              <w:top w:val="nil"/>
              <w:bottom w:val="nil"/>
            </w:tcBorders>
            <w:noWrap w:val="0"/>
            <w:vAlign w:val="center"/>
          </w:tcPr>
          <w:p w14:paraId="03C6DC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728EB187">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湿式报警阀使用状态</w:t>
            </w:r>
            <w:r>
              <w:rPr>
                <w:rFonts w:hint="eastAsia" w:ascii="宋体" w:hAnsi="宋体" w:eastAsia="宋体" w:cs="宋体"/>
                <w:color w:val="auto"/>
                <w:spacing w:val="-8"/>
                <w:sz w:val="24"/>
                <w:szCs w:val="24"/>
                <w:highlight w:val="none"/>
              </w:rPr>
              <w:t>正常</w:t>
            </w:r>
          </w:p>
        </w:tc>
        <w:tc>
          <w:tcPr>
            <w:tcW w:w="482" w:type="pct"/>
            <w:noWrap w:val="0"/>
            <w:vAlign w:val="center"/>
          </w:tcPr>
          <w:p w14:paraId="341CE35B">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4D552B74">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0A8000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2FABE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nil"/>
              <w:bottom w:val="nil"/>
            </w:tcBorders>
            <w:noWrap w:val="0"/>
            <w:vAlign w:val="center"/>
          </w:tcPr>
          <w:p w14:paraId="7B4271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15A651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nil"/>
            </w:tcBorders>
            <w:noWrap w:val="0"/>
            <w:vAlign w:val="center"/>
          </w:tcPr>
          <w:p w14:paraId="247120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消防水</w:t>
            </w:r>
          </w:p>
          <w:p w14:paraId="64EC6F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灭火系统</w:t>
            </w:r>
          </w:p>
        </w:tc>
        <w:tc>
          <w:tcPr>
            <w:tcW w:w="1413" w:type="pct"/>
            <w:noWrap w:val="0"/>
            <w:vAlign w:val="center"/>
          </w:tcPr>
          <w:p w14:paraId="141FAF9C">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sz w:val="24"/>
                <w:szCs w:val="24"/>
                <w:highlight w:val="none"/>
              </w:rPr>
              <w:t>干式报警阀等使用状</w:t>
            </w:r>
            <w:r>
              <w:rPr>
                <w:rFonts w:hint="eastAsia" w:ascii="宋体" w:hAnsi="宋体" w:eastAsia="宋体" w:cs="宋体"/>
                <w:color w:val="auto"/>
                <w:spacing w:val="-4"/>
                <w:sz w:val="24"/>
                <w:szCs w:val="24"/>
                <w:highlight w:val="none"/>
              </w:rPr>
              <w:t>态正常</w:t>
            </w:r>
          </w:p>
        </w:tc>
        <w:tc>
          <w:tcPr>
            <w:tcW w:w="482" w:type="pct"/>
            <w:noWrap w:val="0"/>
            <w:vAlign w:val="center"/>
          </w:tcPr>
          <w:p w14:paraId="6D6DA39E">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003195ED">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3836C2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67253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restart"/>
            <w:tcBorders>
              <w:top w:val="nil"/>
            </w:tcBorders>
            <w:noWrap w:val="0"/>
            <w:vAlign w:val="center"/>
          </w:tcPr>
          <w:p w14:paraId="0CC9B2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26468F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nil"/>
            </w:tcBorders>
            <w:noWrap w:val="0"/>
            <w:vAlign w:val="center"/>
          </w:tcPr>
          <w:p w14:paraId="67D86C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465E4509">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
                <w:sz w:val="24"/>
                <w:szCs w:val="24"/>
                <w:highlight w:val="none"/>
              </w:rPr>
              <w:t>干式报警阀等使用状</w:t>
            </w:r>
            <w:r>
              <w:rPr>
                <w:rFonts w:hint="eastAsia" w:ascii="宋体" w:hAnsi="宋体" w:eastAsia="宋体" w:cs="宋体"/>
                <w:color w:val="auto"/>
                <w:spacing w:val="-4"/>
                <w:sz w:val="24"/>
                <w:szCs w:val="24"/>
                <w:highlight w:val="none"/>
              </w:rPr>
              <w:t>态正常</w:t>
            </w:r>
          </w:p>
        </w:tc>
        <w:tc>
          <w:tcPr>
            <w:tcW w:w="482" w:type="pct"/>
            <w:noWrap w:val="0"/>
            <w:vAlign w:val="center"/>
          </w:tcPr>
          <w:p w14:paraId="268E5C32">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39DD2D23">
            <w:pPr>
              <w:keepNext w:val="0"/>
              <w:keepLines w:val="0"/>
              <w:pageBreakBefore w:val="0"/>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p>
        </w:tc>
        <w:tc>
          <w:tcPr>
            <w:tcW w:w="675" w:type="pct"/>
            <w:noWrap w:val="0"/>
            <w:vAlign w:val="center"/>
          </w:tcPr>
          <w:p w14:paraId="6A5CEC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31B59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1EF0B9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72128E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single" w:color="auto" w:sz="4" w:space="0"/>
            </w:tcBorders>
            <w:noWrap w:val="0"/>
            <w:vAlign w:val="center"/>
          </w:tcPr>
          <w:p w14:paraId="0C8EE5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tcBorders>
              <w:bottom w:val="single" w:color="auto" w:sz="4" w:space="0"/>
            </w:tcBorders>
            <w:noWrap w:val="0"/>
            <w:vAlign w:val="center"/>
          </w:tcPr>
          <w:p w14:paraId="0BE8D004">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消防水灭火系统按规</w:t>
            </w:r>
            <w:r>
              <w:rPr>
                <w:rFonts w:hint="eastAsia" w:ascii="宋体" w:hAnsi="宋体" w:eastAsia="宋体" w:cs="宋体"/>
                <w:color w:val="auto"/>
                <w:spacing w:val="-3"/>
                <w:sz w:val="24"/>
                <w:szCs w:val="24"/>
                <w:highlight w:val="none"/>
              </w:rPr>
              <w:t>定定期进行维保</w:t>
            </w:r>
          </w:p>
        </w:tc>
        <w:tc>
          <w:tcPr>
            <w:tcW w:w="482" w:type="pct"/>
            <w:noWrap w:val="0"/>
            <w:vAlign w:val="center"/>
          </w:tcPr>
          <w:p w14:paraId="2AD85B16">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3</w:t>
            </w:r>
          </w:p>
        </w:tc>
        <w:tc>
          <w:tcPr>
            <w:tcW w:w="928" w:type="pct"/>
            <w:noWrap w:val="0"/>
            <w:vAlign w:val="center"/>
          </w:tcPr>
          <w:p w14:paraId="2411F1A5">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查看登记记录</w:t>
            </w:r>
          </w:p>
        </w:tc>
        <w:tc>
          <w:tcPr>
            <w:tcW w:w="675" w:type="pct"/>
            <w:noWrap w:val="0"/>
            <w:vAlign w:val="center"/>
          </w:tcPr>
          <w:p w14:paraId="5A7B59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1FCCA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2E66DB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53FA71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single" w:color="auto" w:sz="4" w:space="0"/>
              <w:bottom w:val="single" w:color="auto" w:sz="4" w:space="0"/>
            </w:tcBorders>
            <w:noWrap w:val="0"/>
            <w:vAlign w:val="top"/>
          </w:tcPr>
          <w:p w14:paraId="57DE643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应急照明</w:t>
            </w:r>
          </w:p>
          <w:p w14:paraId="3B33CAEB">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灯与疏散</w:t>
            </w:r>
          </w:p>
          <w:p w14:paraId="03A7831C">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指灯</w:t>
            </w:r>
          </w:p>
        </w:tc>
        <w:tc>
          <w:tcPr>
            <w:tcW w:w="1413" w:type="pct"/>
            <w:tcBorders>
              <w:top w:val="single" w:color="auto" w:sz="4" w:space="0"/>
              <w:bottom w:val="single" w:color="auto" w:sz="4" w:space="0"/>
            </w:tcBorders>
            <w:noWrap w:val="0"/>
            <w:vAlign w:val="center"/>
          </w:tcPr>
          <w:p w14:paraId="36F72C34">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1"/>
                <w:sz w:val="24"/>
                <w:szCs w:val="24"/>
                <w:highlight w:val="none"/>
              </w:rPr>
              <w:t>应急照明灯、疏散指灯配备齐全</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rPr>
              <w:t>且使用状态</w:t>
            </w:r>
            <w:r>
              <w:rPr>
                <w:rFonts w:hint="eastAsia" w:ascii="宋体" w:hAnsi="宋体" w:eastAsia="宋体" w:cs="宋体"/>
                <w:color w:val="auto"/>
                <w:spacing w:val="-5"/>
                <w:sz w:val="24"/>
                <w:szCs w:val="24"/>
                <w:highlight w:val="none"/>
              </w:rPr>
              <w:t>正常</w:t>
            </w:r>
          </w:p>
        </w:tc>
        <w:tc>
          <w:tcPr>
            <w:tcW w:w="482" w:type="pct"/>
            <w:noWrap w:val="0"/>
            <w:vAlign w:val="center"/>
          </w:tcPr>
          <w:p w14:paraId="08F76770">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3</w:t>
            </w:r>
          </w:p>
        </w:tc>
        <w:tc>
          <w:tcPr>
            <w:tcW w:w="928" w:type="pct"/>
            <w:noWrap w:val="0"/>
            <w:vAlign w:val="center"/>
          </w:tcPr>
          <w:p w14:paraId="0F2CC423">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467A0C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A43A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59385C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314D52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single" w:color="auto" w:sz="4" w:space="0"/>
              <w:bottom w:val="nil"/>
            </w:tcBorders>
            <w:noWrap w:val="0"/>
            <w:vAlign w:val="center"/>
          </w:tcPr>
          <w:p w14:paraId="79D5819B">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灭火器</w:t>
            </w:r>
          </w:p>
        </w:tc>
        <w:tc>
          <w:tcPr>
            <w:tcW w:w="1413" w:type="pct"/>
            <w:tcBorders>
              <w:top w:val="single" w:color="auto" w:sz="4" w:space="0"/>
            </w:tcBorders>
            <w:noWrap w:val="0"/>
            <w:vAlign w:val="center"/>
          </w:tcPr>
          <w:p w14:paraId="1B44600B">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按消防规定配备足够数量的灭火器</w:t>
            </w:r>
          </w:p>
        </w:tc>
        <w:tc>
          <w:tcPr>
            <w:tcW w:w="482" w:type="pct"/>
            <w:noWrap w:val="0"/>
            <w:vAlign w:val="center"/>
          </w:tcPr>
          <w:p w14:paraId="2F9860A0">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restart"/>
            <w:noWrap w:val="0"/>
            <w:vAlign w:val="center"/>
          </w:tcPr>
          <w:p w14:paraId="4B3F0A31">
            <w:pPr>
              <w:keepNext w:val="0"/>
              <w:keepLines w:val="0"/>
              <w:pageBreakBefore w:val="0"/>
              <w:kinsoku w:val="0"/>
              <w:wordWrap/>
              <w:overflowPunct/>
              <w:topLinePunct w:val="0"/>
              <w:bidi w:val="0"/>
              <w:spacing w:line="360" w:lineRule="auto"/>
              <w:ind w:left="0" w:right="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40552D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1BA7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474185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176E53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nil"/>
            </w:tcBorders>
            <w:noWrap w:val="0"/>
            <w:vAlign w:val="center"/>
          </w:tcPr>
          <w:p w14:paraId="724656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65621DD7">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配备的灭火器使用状</w:t>
            </w:r>
            <w:r>
              <w:rPr>
                <w:rFonts w:hint="eastAsia" w:ascii="宋体" w:hAnsi="宋体" w:eastAsia="宋体" w:cs="宋体"/>
                <w:color w:val="auto"/>
                <w:spacing w:val="-4"/>
                <w:sz w:val="24"/>
                <w:szCs w:val="24"/>
                <w:highlight w:val="none"/>
              </w:rPr>
              <w:t>态正常</w:t>
            </w:r>
          </w:p>
        </w:tc>
        <w:tc>
          <w:tcPr>
            <w:tcW w:w="482" w:type="pct"/>
            <w:noWrap w:val="0"/>
            <w:vAlign w:val="center"/>
          </w:tcPr>
          <w:p w14:paraId="15606DCE">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1CA12C6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63A84B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2ED87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33B29D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526FFF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nil"/>
            </w:tcBorders>
            <w:noWrap w:val="0"/>
            <w:vAlign w:val="center"/>
          </w:tcPr>
          <w:p w14:paraId="3EC42B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1FDDBE75">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按照消防规定对灭火器进行年检</w:t>
            </w:r>
          </w:p>
        </w:tc>
        <w:tc>
          <w:tcPr>
            <w:tcW w:w="482" w:type="pct"/>
            <w:noWrap w:val="0"/>
            <w:vAlign w:val="center"/>
          </w:tcPr>
          <w:p w14:paraId="7619EAFC">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533816E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32C1F2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7E69F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5F4DD5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00E8AD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nil"/>
            </w:tcBorders>
            <w:noWrap w:val="0"/>
            <w:vAlign w:val="center"/>
          </w:tcPr>
          <w:p w14:paraId="4D1361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7B961EC3">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配电室配备二氧化碳</w:t>
            </w:r>
            <w:r>
              <w:rPr>
                <w:rFonts w:hint="eastAsia" w:ascii="宋体" w:hAnsi="宋体" w:eastAsia="宋体" w:cs="宋体"/>
                <w:color w:val="auto"/>
                <w:spacing w:val="-5"/>
                <w:sz w:val="24"/>
                <w:szCs w:val="24"/>
                <w:highlight w:val="none"/>
              </w:rPr>
              <w:t>灭火器</w:t>
            </w:r>
          </w:p>
        </w:tc>
        <w:tc>
          <w:tcPr>
            <w:tcW w:w="482" w:type="pct"/>
            <w:noWrap w:val="0"/>
            <w:vAlign w:val="center"/>
          </w:tcPr>
          <w:p w14:paraId="55D20378">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vMerge w:val="continue"/>
            <w:noWrap w:val="0"/>
            <w:vAlign w:val="center"/>
          </w:tcPr>
          <w:p w14:paraId="75EAFC7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p>
        </w:tc>
        <w:tc>
          <w:tcPr>
            <w:tcW w:w="675" w:type="pct"/>
            <w:noWrap w:val="0"/>
            <w:vAlign w:val="center"/>
          </w:tcPr>
          <w:p w14:paraId="2067D1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6DF40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24F44B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7345D6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nil"/>
              <w:bottom w:val="single" w:color="auto" w:sz="4" w:space="0"/>
            </w:tcBorders>
            <w:noWrap w:val="0"/>
            <w:vAlign w:val="center"/>
          </w:tcPr>
          <w:p w14:paraId="7CD83C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1413" w:type="pct"/>
            <w:noWrap w:val="0"/>
            <w:vAlign w:val="center"/>
          </w:tcPr>
          <w:p w14:paraId="3F6A3627">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灭火器按规定定期进</w:t>
            </w:r>
            <w:r>
              <w:rPr>
                <w:rFonts w:hint="eastAsia" w:ascii="宋体" w:hAnsi="宋体" w:eastAsia="宋体" w:cs="宋体"/>
                <w:color w:val="auto"/>
                <w:spacing w:val="-5"/>
                <w:sz w:val="24"/>
                <w:szCs w:val="24"/>
                <w:highlight w:val="none"/>
              </w:rPr>
              <w:t>行维保</w:t>
            </w:r>
          </w:p>
        </w:tc>
        <w:tc>
          <w:tcPr>
            <w:tcW w:w="482" w:type="pct"/>
            <w:noWrap w:val="0"/>
            <w:vAlign w:val="center"/>
          </w:tcPr>
          <w:p w14:paraId="28405501">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3</w:t>
            </w:r>
          </w:p>
        </w:tc>
        <w:tc>
          <w:tcPr>
            <w:tcW w:w="928" w:type="pct"/>
            <w:noWrap w:val="0"/>
            <w:vAlign w:val="center"/>
          </w:tcPr>
          <w:p w14:paraId="1E9DD18B">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查看登记记录</w:t>
            </w:r>
          </w:p>
        </w:tc>
        <w:tc>
          <w:tcPr>
            <w:tcW w:w="675" w:type="pct"/>
            <w:noWrap w:val="0"/>
            <w:vAlign w:val="center"/>
          </w:tcPr>
          <w:p w14:paraId="11A49C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6A254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noWrap w:val="0"/>
            <w:vAlign w:val="center"/>
          </w:tcPr>
          <w:p w14:paraId="78C483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noWrap w:val="0"/>
            <w:vAlign w:val="center"/>
          </w:tcPr>
          <w:p w14:paraId="24D91B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single" w:color="auto" w:sz="4" w:space="0"/>
              <w:bottom w:val="single" w:color="auto" w:sz="4" w:space="0"/>
            </w:tcBorders>
            <w:noWrap w:val="0"/>
            <w:vAlign w:val="top"/>
          </w:tcPr>
          <w:p w14:paraId="121B8C9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防排烟</w:t>
            </w:r>
          </w:p>
          <w:p w14:paraId="03D070E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系统</w:t>
            </w:r>
          </w:p>
        </w:tc>
        <w:tc>
          <w:tcPr>
            <w:tcW w:w="1413" w:type="pct"/>
            <w:noWrap w:val="0"/>
            <w:vAlign w:val="center"/>
          </w:tcPr>
          <w:p w14:paraId="2A3B258F">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防排烟系统使用状态</w:t>
            </w:r>
            <w:r>
              <w:rPr>
                <w:rFonts w:hint="eastAsia" w:ascii="宋体" w:hAnsi="宋体" w:eastAsia="宋体" w:cs="宋体"/>
                <w:color w:val="auto"/>
                <w:spacing w:val="-8"/>
                <w:sz w:val="24"/>
                <w:szCs w:val="24"/>
                <w:highlight w:val="none"/>
              </w:rPr>
              <w:t>正常</w:t>
            </w:r>
          </w:p>
        </w:tc>
        <w:tc>
          <w:tcPr>
            <w:tcW w:w="482" w:type="pct"/>
            <w:noWrap w:val="0"/>
            <w:vAlign w:val="center"/>
          </w:tcPr>
          <w:p w14:paraId="7812B51F">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3</w:t>
            </w:r>
          </w:p>
        </w:tc>
        <w:tc>
          <w:tcPr>
            <w:tcW w:w="928" w:type="pct"/>
            <w:noWrap w:val="0"/>
            <w:vAlign w:val="center"/>
          </w:tcPr>
          <w:p w14:paraId="2ECE530A">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220049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E43F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vMerge w:val="continue"/>
            <w:tcBorders>
              <w:bottom w:val="single" w:color="auto" w:sz="4" w:space="0"/>
            </w:tcBorders>
            <w:noWrap w:val="0"/>
            <w:vAlign w:val="center"/>
          </w:tcPr>
          <w:p w14:paraId="251F45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bottom w:val="single" w:color="auto" w:sz="4" w:space="0"/>
            </w:tcBorders>
            <w:noWrap w:val="0"/>
            <w:vAlign w:val="center"/>
          </w:tcPr>
          <w:p w14:paraId="13D9E0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686" w:type="pct"/>
            <w:tcBorders>
              <w:top w:val="single" w:color="auto" w:sz="4" w:space="0"/>
              <w:bottom w:val="single" w:color="auto" w:sz="4" w:space="0"/>
            </w:tcBorders>
            <w:noWrap w:val="0"/>
            <w:vAlign w:val="top"/>
          </w:tcPr>
          <w:p w14:paraId="04BC413C">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其他附属</w:t>
            </w:r>
          </w:p>
          <w:p w14:paraId="4900885E">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设施</w:t>
            </w:r>
          </w:p>
        </w:tc>
        <w:tc>
          <w:tcPr>
            <w:tcW w:w="1413" w:type="pct"/>
            <w:noWrap w:val="0"/>
            <w:vAlign w:val="center"/>
          </w:tcPr>
          <w:p w14:paraId="6D60E72A">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2"/>
                <w:sz w:val="24"/>
                <w:szCs w:val="24"/>
                <w:highlight w:val="none"/>
              </w:rPr>
              <w:t>水泵、阀门、防火卷帘</w:t>
            </w:r>
            <w:r>
              <w:rPr>
                <w:rFonts w:hint="eastAsia" w:ascii="宋体" w:hAnsi="宋体" w:eastAsia="宋体" w:cs="宋体"/>
                <w:color w:val="auto"/>
                <w:spacing w:val="-25"/>
                <w:sz w:val="24"/>
                <w:szCs w:val="24"/>
                <w:highlight w:val="none"/>
              </w:rPr>
              <w:t>门、防火门，疏散通道、</w:t>
            </w:r>
            <w:r>
              <w:rPr>
                <w:rFonts w:hint="eastAsia" w:ascii="宋体" w:hAnsi="宋体" w:eastAsia="宋体" w:cs="宋体"/>
                <w:color w:val="auto"/>
                <w:spacing w:val="-2"/>
                <w:sz w:val="24"/>
                <w:szCs w:val="24"/>
                <w:highlight w:val="none"/>
              </w:rPr>
              <w:t>应急通道等</w:t>
            </w:r>
          </w:p>
        </w:tc>
        <w:tc>
          <w:tcPr>
            <w:tcW w:w="482" w:type="pct"/>
            <w:noWrap w:val="0"/>
            <w:vAlign w:val="center"/>
          </w:tcPr>
          <w:p w14:paraId="3EC2FB5A">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pacing w:val="-2"/>
                <w:sz w:val="24"/>
                <w:szCs w:val="24"/>
                <w:highlight w:val="none"/>
              </w:rPr>
            </w:pPr>
          </w:p>
          <w:p w14:paraId="6DBD3427">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noWrap w:val="0"/>
            <w:vAlign w:val="center"/>
          </w:tcPr>
          <w:p w14:paraId="46D88B2D">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现场考核</w:t>
            </w:r>
          </w:p>
        </w:tc>
        <w:tc>
          <w:tcPr>
            <w:tcW w:w="675" w:type="pct"/>
            <w:noWrap w:val="0"/>
            <w:vAlign w:val="center"/>
          </w:tcPr>
          <w:p w14:paraId="5C5C32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54017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single" w:color="auto" w:sz="4" w:space="0"/>
              <w:bottom w:val="nil"/>
            </w:tcBorders>
            <w:noWrap w:val="0"/>
            <w:vAlign w:val="center"/>
          </w:tcPr>
          <w:p w14:paraId="32F18CA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4"/>
                <w:kern w:val="2"/>
                <w:sz w:val="24"/>
                <w:szCs w:val="24"/>
                <w:highlight w:val="none"/>
                <w:lang w:val="en-US" w:eastAsia="zh-CN" w:bidi="ar-SA"/>
              </w:rPr>
            </w:pPr>
            <w:r>
              <w:rPr>
                <w:rFonts w:hint="eastAsia" w:ascii="宋体" w:hAnsi="宋体" w:eastAsia="宋体" w:cs="宋体"/>
                <w:color w:val="auto"/>
                <w:spacing w:val="-4"/>
                <w:sz w:val="24"/>
                <w:szCs w:val="24"/>
                <w:highlight w:val="none"/>
              </w:rPr>
              <w:t>4</w:t>
            </w:r>
          </w:p>
        </w:tc>
        <w:tc>
          <w:tcPr>
            <w:tcW w:w="444" w:type="pct"/>
            <w:vMerge w:val="restart"/>
            <w:tcBorders>
              <w:top w:val="single" w:color="auto" w:sz="4" w:space="0"/>
            </w:tcBorders>
            <w:noWrap w:val="0"/>
            <w:vAlign w:val="center"/>
          </w:tcPr>
          <w:p w14:paraId="7D8DE3B5">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装饰</w:t>
            </w:r>
          </w:p>
          <w:p w14:paraId="0DF1B307">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装修</w:t>
            </w:r>
          </w:p>
        </w:tc>
        <w:tc>
          <w:tcPr>
            <w:tcW w:w="686" w:type="pct"/>
            <w:tcBorders>
              <w:top w:val="single" w:color="auto" w:sz="4" w:space="0"/>
              <w:bottom w:val="single" w:color="auto" w:sz="4" w:space="0"/>
            </w:tcBorders>
            <w:noWrap w:val="0"/>
            <w:vAlign w:val="center"/>
          </w:tcPr>
          <w:p w14:paraId="6B0FA24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装修设计</w:t>
            </w:r>
          </w:p>
        </w:tc>
        <w:tc>
          <w:tcPr>
            <w:tcW w:w="1413" w:type="pct"/>
            <w:tcBorders>
              <w:bottom w:val="single" w:color="auto" w:sz="4" w:space="0"/>
            </w:tcBorders>
            <w:noWrap w:val="0"/>
            <w:vAlign w:val="center"/>
          </w:tcPr>
          <w:p w14:paraId="2C021BD0">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按照入住单位要求进行装修设计、施工</w:t>
            </w:r>
          </w:p>
        </w:tc>
        <w:tc>
          <w:tcPr>
            <w:tcW w:w="482" w:type="pct"/>
            <w:noWrap w:val="0"/>
            <w:vAlign w:val="center"/>
          </w:tcPr>
          <w:p w14:paraId="71386A28">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noWrap w:val="0"/>
            <w:vAlign w:val="center"/>
          </w:tcPr>
          <w:p w14:paraId="606F89AA">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现场考核</w:t>
            </w:r>
          </w:p>
        </w:tc>
        <w:tc>
          <w:tcPr>
            <w:tcW w:w="675" w:type="pct"/>
            <w:noWrap w:val="0"/>
            <w:vAlign w:val="top"/>
          </w:tcPr>
          <w:p w14:paraId="48D4BDF5">
            <w:pPr>
              <w:keepNext w:val="0"/>
              <w:keepLines w:val="0"/>
              <w:pageBreakBefore w:val="0"/>
              <w:kinsoku w:val="0"/>
              <w:wordWrap/>
              <w:overflowPunct/>
              <w:topLinePunct w:val="0"/>
              <w:bidi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p>
        </w:tc>
      </w:tr>
      <w:tr w14:paraId="31B0C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nil"/>
              <w:bottom w:val="single" w:color="auto" w:sz="4" w:space="0"/>
            </w:tcBorders>
            <w:noWrap w:val="0"/>
            <w:vAlign w:val="center"/>
          </w:tcPr>
          <w:p w14:paraId="7842B0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c>
          <w:tcPr>
            <w:tcW w:w="444" w:type="pct"/>
            <w:vMerge w:val="continue"/>
            <w:tcBorders>
              <w:bottom w:val="single" w:color="auto" w:sz="4" w:space="0"/>
            </w:tcBorders>
            <w:noWrap w:val="0"/>
            <w:vAlign w:val="center"/>
          </w:tcPr>
          <w:p w14:paraId="5438BF40">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color w:val="auto"/>
                <w:spacing w:val="-3"/>
                <w:kern w:val="2"/>
                <w:sz w:val="24"/>
                <w:szCs w:val="24"/>
                <w:highlight w:val="none"/>
                <w:lang w:val="en-US" w:eastAsia="zh-CN" w:bidi="ar-SA"/>
              </w:rPr>
            </w:pPr>
          </w:p>
        </w:tc>
        <w:tc>
          <w:tcPr>
            <w:tcW w:w="686" w:type="pct"/>
            <w:tcBorders>
              <w:top w:val="single" w:color="auto" w:sz="4" w:space="0"/>
              <w:bottom w:val="single" w:color="auto" w:sz="4" w:space="0"/>
            </w:tcBorders>
            <w:noWrap w:val="0"/>
            <w:vAlign w:val="center"/>
          </w:tcPr>
          <w:p w14:paraId="56F4F016">
            <w:pPr>
              <w:pStyle w:val="12"/>
              <w:keepNext w:val="0"/>
              <w:keepLines w:val="0"/>
              <w:pageBreakBefore w:val="0"/>
              <w:widowControl/>
              <w:tabs>
                <w:tab w:val="decimal" w:pos="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3"/>
                <w:kern w:val="2"/>
                <w:sz w:val="24"/>
                <w:szCs w:val="24"/>
                <w:highlight w:val="none"/>
                <w:lang w:val="en-US" w:eastAsia="zh-CN" w:bidi="ar-SA"/>
              </w:rPr>
            </w:pPr>
            <w:r>
              <w:rPr>
                <w:rFonts w:hint="eastAsia" w:ascii="宋体" w:hAnsi="宋体" w:eastAsia="宋体" w:cs="宋体"/>
                <w:color w:val="auto"/>
                <w:spacing w:val="-3"/>
                <w:sz w:val="24"/>
                <w:szCs w:val="24"/>
                <w:highlight w:val="none"/>
              </w:rPr>
              <w:t>装修质量</w:t>
            </w:r>
          </w:p>
        </w:tc>
        <w:tc>
          <w:tcPr>
            <w:tcW w:w="1413" w:type="pct"/>
            <w:tcBorders>
              <w:top w:val="single" w:color="auto" w:sz="4" w:space="0"/>
            </w:tcBorders>
            <w:noWrap w:val="0"/>
            <w:vAlign w:val="center"/>
          </w:tcPr>
          <w:p w14:paraId="0DF3B3C1">
            <w:pPr>
              <w:keepNext w:val="0"/>
              <w:keepLines w:val="0"/>
              <w:pageBreakBefore w:val="0"/>
              <w:kinsoku w:val="0"/>
              <w:wordWrap/>
              <w:overflowPunct/>
              <w:topLinePunct w:val="0"/>
              <w:bidi w:val="0"/>
              <w:spacing w:line="360" w:lineRule="auto"/>
              <w:ind w:left="0" w:right="0" w:firstLine="0" w:firstLineChars="0"/>
              <w:jc w:val="both"/>
              <w:rPr>
                <w:rFonts w:hint="eastAsia" w:ascii="宋体" w:hAnsi="宋体" w:eastAsia="宋体" w:cs="宋体"/>
                <w:color w:val="auto"/>
                <w:sz w:val="24"/>
                <w:szCs w:val="24"/>
                <w:highlight w:val="none"/>
              </w:rPr>
            </w:pPr>
          </w:p>
          <w:p w14:paraId="54CF1EFE">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1"/>
                <w:sz w:val="24"/>
                <w:szCs w:val="24"/>
                <w:highlight w:val="none"/>
              </w:rPr>
              <w:t>装修质量良好、使用材</w:t>
            </w:r>
            <w:r>
              <w:rPr>
                <w:rFonts w:hint="eastAsia" w:ascii="宋体" w:hAnsi="宋体" w:eastAsia="宋体" w:cs="宋体"/>
                <w:color w:val="auto"/>
                <w:spacing w:val="-2"/>
                <w:sz w:val="24"/>
                <w:szCs w:val="24"/>
                <w:highlight w:val="none"/>
              </w:rPr>
              <w:t>料符合相关规定</w:t>
            </w:r>
          </w:p>
        </w:tc>
        <w:tc>
          <w:tcPr>
            <w:tcW w:w="482" w:type="pct"/>
            <w:noWrap w:val="0"/>
            <w:vAlign w:val="center"/>
          </w:tcPr>
          <w:p w14:paraId="5876AEFB">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pacing w:val="-2"/>
                <w:sz w:val="24"/>
                <w:szCs w:val="24"/>
                <w:highlight w:val="none"/>
              </w:rPr>
            </w:pPr>
          </w:p>
          <w:p w14:paraId="0382B41E">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pacing w:val="-2"/>
                <w:sz w:val="24"/>
                <w:szCs w:val="24"/>
                <w:highlight w:val="none"/>
              </w:rPr>
            </w:pPr>
          </w:p>
          <w:p w14:paraId="715DF689">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noWrap w:val="0"/>
            <w:vAlign w:val="center"/>
          </w:tcPr>
          <w:p w14:paraId="3FCA876D">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现场考核、查</w:t>
            </w:r>
          </w:p>
          <w:p w14:paraId="1073559A">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看装修施工资</w:t>
            </w:r>
          </w:p>
          <w:p w14:paraId="3980A3F6">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料、装修所用</w:t>
            </w:r>
          </w:p>
          <w:p w14:paraId="54E890C1">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产品质检报告</w:t>
            </w:r>
          </w:p>
          <w:p w14:paraId="50651C6B">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及合格证</w:t>
            </w:r>
          </w:p>
        </w:tc>
        <w:tc>
          <w:tcPr>
            <w:tcW w:w="675" w:type="pct"/>
            <w:noWrap w:val="0"/>
            <w:vAlign w:val="top"/>
          </w:tcPr>
          <w:p w14:paraId="071701C8">
            <w:pPr>
              <w:keepNext w:val="0"/>
              <w:keepLines w:val="0"/>
              <w:pageBreakBefore w:val="0"/>
              <w:kinsoku w:val="0"/>
              <w:wordWrap/>
              <w:overflowPunct/>
              <w:topLinePunct w:val="0"/>
              <w:bidi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p>
        </w:tc>
      </w:tr>
      <w:tr w14:paraId="76444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single" w:color="auto" w:sz="4" w:space="0"/>
              <w:bottom w:val="single" w:color="auto" w:sz="4" w:space="0"/>
            </w:tcBorders>
            <w:noWrap w:val="0"/>
            <w:vAlign w:val="center"/>
          </w:tcPr>
          <w:p w14:paraId="58892860">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5</w:t>
            </w:r>
          </w:p>
        </w:tc>
        <w:tc>
          <w:tcPr>
            <w:tcW w:w="1130" w:type="pct"/>
            <w:gridSpan w:val="2"/>
            <w:tcBorders>
              <w:top w:val="single" w:color="auto" w:sz="4" w:space="0"/>
              <w:bottom w:val="single" w:color="auto" w:sz="4" w:space="0"/>
            </w:tcBorders>
            <w:noWrap w:val="0"/>
            <w:vAlign w:val="center"/>
          </w:tcPr>
          <w:p w14:paraId="11C41C07">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家具配备</w:t>
            </w:r>
          </w:p>
        </w:tc>
        <w:tc>
          <w:tcPr>
            <w:tcW w:w="1413" w:type="pct"/>
            <w:tcBorders>
              <w:bottom w:val="single" w:color="auto" w:sz="4" w:space="0"/>
            </w:tcBorders>
            <w:noWrap w:val="0"/>
            <w:vAlign w:val="center"/>
          </w:tcPr>
          <w:p w14:paraId="640F35DC">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按照入住单位需求配</w:t>
            </w:r>
            <w:r>
              <w:rPr>
                <w:rFonts w:hint="eastAsia" w:ascii="宋体" w:hAnsi="宋体" w:eastAsia="宋体" w:cs="宋体"/>
                <w:color w:val="auto"/>
                <w:spacing w:val="-11"/>
                <w:sz w:val="24"/>
                <w:szCs w:val="24"/>
                <w:highlight w:val="none"/>
              </w:rPr>
              <w:t>备家具，并能及时对损</w:t>
            </w:r>
            <w:r>
              <w:rPr>
                <w:rFonts w:hint="eastAsia" w:ascii="宋体" w:hAnsi="宋体" w:eastAsia="宋体" w:cs="宋体"/>
                <w:color w:val="auto"/>
                <w:spacing w:val="-2"/>
                <w:sz w:val="24"/>
                <w:szCs w:val="24"/>
                <w:highlight w:val="none"/>
              </w:rPr>
              <w:t>坏家具进行维修</w:t>
            </w:r>
          </w:p>
        </w:tc>
        <w:tc>
          <w:tcPr>
            <w:tcW w:w="482" w:type="pct"/>
            <w:noWrap w:val="0"/>
            <w:vAlign w:val="center"/>
          </w:tcPr>
          <w:p w14:paraId="1F9BBC41">
            <w:pPr>
              <w:pStyle w:val="12"/>
              <w:keepNext w:val="0"/>
              <w:keepLines w:val="0"/>
              <w:pageBreakBefore w:val="0"/>
              <w:tabs>
                <w:tab w:val="decimal" w:pos="0"/>
              </w:tabs>
              <w:kinsoku w:val="0"/>
              <w:wordWrap/>
              <w:overflowPunct/>
              <w:topLinePunct w:val="0"/>
              <w:bidi w:val="0"/>
              <w:spacing w:line="360" w:lineRule="auto"/>
              <w:ind w:left="0" w:right="0" w:firstLine="0" w:firstLineChars="0"/>
              <w:jc w:val="center"/>
              <w:rPr>
                <w:rFonts w:hint="eastAsia" w:ascii="宋体" w:hAnsi="宋体" w:eastAsia="宋体" w:cs="宋体"/>
                <w:color w:val="auto"/>
                <w:spacing w:val="-2"/>
                <w:sz w:val="24"/>
                <w:szCs w:val="24"/>
                <w:highlight w:val="none"/>
              </w:rPr>
            </w:pPr>
          </w:p>
          <w:p w14:paraId="31B0AB7F">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2</w:t>
            </w:r>
          </w:p>
        </w:tc>
        <w:tc>
          <w:tcPr>
            <w:tcW w:w="928" w:type="pct"/>
            <w:noWrap w:val="0"/>
            <w:vAlign w:val="center"/>
          </w:tcPr>
          <w:p w14:paraId="42C3397C">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现场考核、查</w:t>
            </w:r>
          </w:p>
          <w:p w14:paraId="28482FB7">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2"/>
                <w:sz w:val="24"/>
                <w:szCs w:val="24"/>
                <w:highlight w:val="none"/>
              </w:rPr>
              <w:t>看维修记录</w:t>
            </w:r>
          </w:p>
        </w:tc>
        <w:tc>
          <w:tcPr>
            <w:tcW w:w="675" w:type="pct"/>
            <w:noWrap w:val="0"/>
            <w:vAlign w:val="center"/>
          </w:tcPr>
          <w:p w14:paraId="1CDEF0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3A8A1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70" w:type="pct"/>
            <w:tcBorders>
              <w:top w:val="single" w:color="auto" w:sz="4" w:space="0"/>
              <w:bottom w:val="single" w:color="auto" w:sz="4" w:space="0"/>
            </w:tcBorders>
            <w:noWrap w:val="0"/>
            <w:vAlign w:val="center"/>
          </w:tcPr>
          <w:p w14:paraId="2B576968">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6</w:t>
            </w:r>
          </w:p>
        </w:tc>
        <w:tc>
          <w:tcPr>
            <w:tcW w:w="1130" w:type="pct"/>
            <w:gridSpan w:val="2"/>
            <w:tcBorders>
              <w:top w:val="single" w:color="auto" w:sz="4" w:space="0"/>
              <w:bottom w:val="single" w:color="auto" w:sz="4" w:space="0"/>
            </w:tcBorders>
            <w:noWrap w:val="0"/>
            <w:vAlign w:val="center"/>
          </w:tcPr>
          <w:p w14:paraId="3F33BFBA">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照明设施</w:t>
            </w:r>
          </w:p>
        </w:tc>
        <w:tc>
          <w:tcPr>
            <w:tcW w:w="1413" w:type="pct"/>
            <w:tcBorders>
              <w:top w:val="single" w:color="auto" w:sz="4" w:space="0"/>
              <w:bottom w:val="single" w:color="auto" w:sz="4" w:space="0"/>
            </w:tcBorders>
            <w:noWrap w:val="0"/>
            <w:vAlign w:val="center"/>
          </w:tcPr>
          <w:p w14:paraId="714AF98B">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both"/>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租赁区内照明设施完</w:t>
            </w:r>
            <w:r>
              <w:rPr>
                <w:rFonts w:hint="eastAsia" w:ascii="宋体" w:hAnsi="宋体" w:eastAsia="宋体" w:cs="宋体"/>
                <w:color w:val="auto"/>
                <w:spacing w:val="-3"/>
                <w:sz w:val="24"/>
                <w:szCs w:val="24"/>
                <w:highlight w:val="none"/>
              </w:rPr>
              <w:t>好率不低于</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3"/>
                <w:sz w:val="24"/>
                <w:szCs w:val="24"/>
                <w:highlight w:val="none"/>
              </w:rPr>
              <w:t>95%</w:t>
            </w:r>
          </w:p>
        </w:tc>
        <w:tc>
          <w:tcPr>
            <w:tcW w:w="482" w:type="pct"/>
            <w:tcBorders>
              <w:bottom w:val="single" w:color="auto" w:sz="4" w:space="0"/>
            </w:tcBorders>
            <w:noWrap w:val="0"/>
            <w:vAlign w:val="center"/>
          </w:tcPr>
          <w:p w14:paraId="3F7B36B5">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spacing w:val="-2"/>
                <w:kern w:val="2"/>
                <w:sz w:val="24"/>
                <w:szCs w:val="24"/>
                <w:highlight w:val="none"/>
                <w:lang w:val="en-US" w:eastAsia="zh-CN" w:bidi="ar-SA"/>
              </w:rPr>
            </w:pPr>
            <w:r>
              <w:rPr>
                <w:rFonts w:hint="eastAsia" w:ascii="宋体" w:hAnsi="宋体" w:eastAsia="宋体" w:cs="宋体"/>
                <w:color w:val="auto"/>
                <w:spacing w:val="-2"/>
                <w:sz w:val="24"/>
                <w:szCs w:val="24"/>
                <w:highlight w:val="none"/>
              </w:rPr>
              <w:t>4</w:t>
            </w:r>
          </w:p>
        </w:tc>
        <w:tc>
          <w:tcPr>
            <w:tcW w:w="928" w:type="pct"/>
            <w:tcBorders>
              <w:bottom w:val="single" w:color="auto" w:sz="4" w:space="0"/>
            </w:tcBorders>
            <w:noWrap w:val="0"/>
            <w:vAlign w:val="center"/>
          </w:tcPr>
          <w:p w14:paraId="4D61109C">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3"/>
                <w:sz w:val="24"/>
                <w:szCs w:val="24"/>
                <w:highlight w:val="none"/>
              </w:rPr>
              <w:t>现场考核</w:t>
            </w:r>
          </w:p>
        </w:tc>
        <w:tc>
          <w:tcPr>
            <w:tcW w:w="675" w:type="pct"/>
            <w:tcBorders>
              <w:bottom w:val="single" w:color="auto" w:sz="4" w:space="0"/>
            </w:tcBorders>
            <w:noWrap w:val="0"/>
            <w:vAlign w:val="center"/>
          </w:tcPr>
          <w:p w14:paraId="2750D3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p>
        </w:tc>
      </w:tr>
      <w:tr w14:paraId="09F3C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814" w:type="pct"/>
            <w:gridSpan w:val="2"/>
            <w:tcBorders>
              <w:top w:val="single" w:color="auto" w:sz="4" w:space="0"/>
              <w:bottom w:val="single" w:color="auto" w:sz="4" w:space="0"/>
            </w:tcBorders>
            <w:noWrap w:val="0"/>
            <w:vAlign w:val="center"/>
          </w:tcPr>
          <w:p w14:paraId="31C7AF0E">
            <w:pPr>
              <w:pStyle w:val="12"/>
              <w:keepNext w:val="0"/>
              <w:keepLines w:val="0"/>
              <w:pageBreakBefore w:val="0"/>
              <w:tabs>
                <w:tab w:val="decimal" w:pos="0"/>
              </w:tabs>
              <w:kinsoku w:val="0"/>
              <w:wordWrap/>
              <w:overflowPunct/>
              <w:topLinePunct w:val="0"/>
              <w:bidi w:val="0"/>
              <w:spacing w:line="360" w:lineRule="auto"/>
              <w:ind w:left="0" w:leftChars="0" w:right="0" w:rightChars="0" w:firstLine="0" w:firstLineChars="0"/>
              <w:jc w:val="center"/>
              <w:rPr>
                <w:rFonts w:hint="eastAsia" w:ascii="宋体" w:hAnsi="宋体" w:eastAsia="宋体" w:cs="宋体"/>
                <w:snapToGrid w:val="0"/>
                <w:color w:val="auto"/>
                <w:spacing w:val="-11"/>
                <w:kern w:val="0"/>
                <w:sz w:val="24"/>
                <w:szCs w:val="24"/>
                <w:highlight w:val="none"/>
                <w:lang w:val="en-US" w:eastAsia="zh-CN" w:bidi="ar-SA"/>
              </w:rPr>
            </w:pPr>
            <w:r>
              <w:rPr>
                <w:rFonts w:hint="eastAsia" w:ascii="宋体" w:hAnsi="宋体" w:eastAsia="宋体" w:cs="宋体"/>
                <w:b/>
                <w:bCs/>
                <w:snapToGrid w:val="0"/>
                <w:color w:val="auto"/>
                <w:spacing w:val="-11"/>
                <w:kern w:val="0"/>
                <w:sz w:val="24"/>
                <w:szCs w:val="24"/>
                <w:highlight w:val="none"/>
                <w:lang w:val="en-US" w:eastAsia="zh-CN" w:bidi="ar-SA"/>
              </w:rPr>
              <w:t>备  注</w:t>
            </w:r>
          </w:p>
          <w:p w14:paraId="5EE8BA5F">
            <w:pPr>
              <w:pStyle w:val="6"/>
              <w:keepNext w:val="0"/>
              <w:keepLines w:val="0"/>
              <w:pageBreakBefore w:val="0"/>
              <w:wordWrap/>
              <w:overflowPunct/>
              <w:topLinePunct w:val="0"/>
              <w:bidi w:val="0"/>
              <w:spacing w:line="360" w:lineRule="auto"/>
              <w:ind w:left="0" w:leftChars="0" w:firstLine="482"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b/>
                <w:bCs/>
                <w:sz w:val="24"/>
                <w:szCs w:val="24"/>
                <w:highlight w:val="none"/>
                <w:lang w:val="en-US" w:eastAsia="zh-CN"/>
              </w:rPr>
              <w:tab/>
            </w:r>
          </w:p>
        </w:tc>
        <w:tc>
          <w:tcPr>
            <w:tcW w:w="4185" w:type="pct"/>
            <w:gridSpan w:val="5"/>
            <w:tcBorders>
              <w:top w:val="single" w:color="auto" w:sz="4" w:space="0"/>
              <w:bottom w:val="single" w:color="auto" w:sz="4" w:space="0"/>
            </w:tcBorders>
            <w:noWrap w:val="0"/>
            <w:vAlign w:val="center"/>
          </w:tcPr>
          <w:p w14:paraId="34414F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b/>
                <w:bCs/>
                <w:snapToGrid w:val="0"/>
                <w:color w:val="auto"/>
                <w:spacing w:val="-11"/>
                <w:kern w:val="0"/>
                <w:sz w:val="24"/>
                <w:szCs w:val="24"/>
                <w:highlight w:val="none"/>
                <w:lang w:val="en-US" w:eastAsia="zh-CN" w:bidi="ar-SA"/>
              </w:rPr>
            </w:pPr>
            <w:r>
              <w:rPr>
                <w:rFonts w:hint="eastAsia" w:ascii="宋体" w:hAnsi="宋体" w:eastAsia="宋体" w:cs="宋体"/>
                <w:b/>
                <w:bCs/>
                <w:snapToGrid w:val="0"/>
                <w:color w:val="auto"/>
                <w:spacing w:val="-11"/>
                <w:kern w:val="0"/>
                <w:sz w:val="24"/>
                <w:szCs w:val="24"/>
                <w:highlight w:val="none"/>
                <w:lang w:val="en-US" w:eastAsia="zh-CN" w:bidi="ar-SA"/>
              </w:rPr>
              <w:t>扣分及执行标准：</w:t>
            </w:r>
          </w:p>
          <w:p w14:paraId="43348D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宋体" w:hAnsi="宋体" w:eastAsia="宋体" w:cs="宋体"/>
                <w:color w:val="auto"/>
                <w:sz w:val="24"/>
                <w:szCs w:val="24"/>
                <w:highlight w:val="none"/>
              </w:rPr>
            </w:pPr>
            <w:r>
              <w:rPr>
                <w:rFonts w:hint="eastAsia" w:ascii="宋体" w:hAnsi="宋体" w:eastAsia="宋体" w:cs="宋体"/>
                <w:b/>
                <w:bCs/>
                <w:snapToGrid w:val="0"/>
                <w:color w:val="auto"/>
                <w:spacing w:val="-11"/>
                <w:kern w:val="0"/>
                <w:sz w:val="24"/>
                <w:szCs w:val="24"/>
                <w:highlight w:val="none"/>
                <w:lang w:val="en-US" w:eastAsia="zh-CN" w:bidi="ar-SA"/>
              </w:rPr>
              <w:t>考核扣分执行标准采用递增方式：①考核扣费0-2分，每分扣除当前服务周期租赁费用的0.5‰考核金；②考核扣费0-5分，0-2分每分扣除当前服务周期租赁费用的0.5‰考核金，3-5分每分扣除当前服务周期租赁费用的1‰考核金，两项费用相加即为需扣除的考核金；③考核扣费0-10分，0-2分每分扣除当前服务周期租赁费用的0.5‰考核金，3-5分每分扣除当前服务周期租赁费用的1‰考核金，6-10分每分扣除当前服务周期租赁费用的2‰考核金，三项费用相加即为需扣除的考核金；④考核扣费0-20分，0-2分每分扣除当前服务周期租赁费用的0.5‰考核金，3-5分每分扣除当前服务周期租赁费用的1‰考核金，6-10分每分扣除当前服务周期租赁费用的2‰考核金，11-20分每分扣除当前服务周期租赁费用的5‰考核金，四项费用相加即为需扣除的考核金；⑤考核扣费0-21分以上，0-2分每分扣除当前服务周期租赁费用的0.5‰考核金，3-5分每分扣除当前服务周期租赁费用的1‰考核金，6-10分每分扣除当前服务周期租赁费用的2‰考核金，11-20分每分扣除当前服务周期租赁费用的5‰考核金，20分以上每分扣除当前服务周期租赁费用的1%考核金，五项费用相加即为需扣除的考核金。</w:t>
            </w:r>
          </w:p>
        </w:tc>
      </w:tr>
    </w:tbl>
    <w:p w14:paraId="7FC4ED6D">
      <w:pPr>
        <w:pStyle w:val="6"/>
        <w:ind w:left="0" w:leftChars="0" w:firstLine="0" w:firstLineChars="0"/>
        <w:rPr>
          <w:rFonts w:hint="eastAsia"/>
          <w:highlight w:val="none"/>
          <w:lang w:val="en-US" w:eastAsia="zh-Hans"/>
        </w:rPr>
      </w:pPr>
    </w:p>
    <w:p w14:paraId="154942E3">
      <w:pPr>
        <w:pStyle w:val="10"/>
        <w:rPr>
          <w:rFonts w:hint="default" w:ascii="Times New Roman" w:hAnsi="Times New Roman" w:eastAsia="宋体" w:cs="Times New Roman"/>
          <w:lang w:val="en-US" w:eastAsia="zh-Hans"/>
        </w:rPr>
        <w:sectPr>
          <w:pgSz w:w="11906" w:h="16838"/>
          <w:pgMar w:top="1440" w:right="1800" w:bottom="1440" w:left="1800" w:header="851" w:footer="992" w:gutter="0"/>
          <w:pgNumType w:fmt="decimal"/>
          <w:cols w:space="720" w:num="1"/>
          <w:docGrid w:type="lines" w:linePitch="312" w:charSpace="0"/>
        </w:sectPr>
      </w:pPr>
    </w:p>
    <w:tbl>
      <w:tblPr>
        <w:tblStyle w:val="7"/>
        <w:tblW w:w="112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19"/>
        <w:gridCol w:w="1064"/>
        <w:gridCol w:w="1229"/>
        <w:gridCol w:w="1274"/>
        <w:gridCol w:w="1459"/>
        <w:gridCol w:w="2264"/>
        <w:gridCol w:w="1076"/>
        <w:gridCol w:w="1446"/>
      </w:tblGrid>
      <w:tr w14:paraId="32721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1251" w:type="dxa"/>
            <w:gridSpan w:val="9"/>
            <w:tcBorders>
              <w:top w:val="nil"/>
              <w:left w:val="nil"/>
              <w:bottom w:val="single" w:color="000000" w:sz="4" w:space="0"/>
              <w:right w:val="nil"/>
            </w:tcBorders>
            <w:noWrap w:val="0"/>
            <w:vAlign w:val="center"/>
          </w:tcPr>
          <w:p w14:paraId="584A1B48">
            <w:pPr>
              <w:keepNext w:val="0"/>
              <w:keepLines w:val="0"/>
              <w:widowControl/>
              <w:suppressLineNumbers w:val="0"/>
              <w:jc w:val="left"/>
              <w:textAlignment w:val="center"/>
              <w:rPr>
                <w:rFonts w:hint="eastAsia" w:ascii="宋体" w:hAnsi="宋体" w:eastAsia="宋体" w:cs="宋体"/>
                <w:b/>
                <w:bCs/>
                <w:i w:val="0"/>
                <w:iCs w:val="0"/>
                <w:color w:val="000000"/>
                <w:kern w:val="0"/>
                <w:sz w:val="36"/>
                <w:szCs w:val="36"/>
                <w:highlight w:val="none"/>
                <w:u w:val="none"/>
                <w:lang w:val="en-US" w:eastAsia="zh-CN" w:bidi="ar"/>
              </w:rPr>
            </w:pPr>
            <w:r>
              <w:rPr>
                <w:rFonts w:hint="eastAsia" w:ascii="宋体" w:hAnsi="宋体" w:eastAsia="宋体" w:cs="宋体"/>
                <w:b/>
                <w:bCs/>
                <w:i w:val="0"/>
                <w:iCs w:val="0"/>
                <w:color w:val="000000"/>
                <w:kern w:val="0"/>
                <w:sz w:val="36"/>
                <w:szCs w:val="36"/>
                <w:highlight w:val="none"/>
                <w:u w:val="none"/>
                <w:lang w:val="en-US" w:eastAsia="zh-CN" w:bidi="ar"/>
              </w:rPr>
              <w:t>附件一</w:t>
            </w:r>
          </w:p>
          <w:p w14:paraId="7C0B2B93">
            <w:pPr>
              <w:keepNext w:val="0"/>
              <w:keepLines w:val="0"/>
              <w:widowControl/>
              <w:suppressLineNumbers w:val="0"/>
              <w:jc w:val="left"/>
              <w:textAlignment w:val="center"/>
              <w:rPr>
                <w:rFonts w:hint="eastAsia" w:ascii="宋体" w:hAnsi="宋体" w:eastAsia="宋体" w:cs="宋体"/>
                <w:b/>
                <w:bCs/>
                <w:i w:val="0"/>
                <w:iCs w:val="0"/>
                <w:color w:val="000000"/>
                <w:kern w:val="0"/>
                <w:sz w:val="36"/>
                <w:szCs w:val="36"/>
                <w:highlight w:val="none"/>
                <w:u w:val="none"/>
                <w:lang w:val="en-US" w:eastAsia="zh-CN" w:bidi="ar"/>
              </w:rPr>
            </w:pPr>
          </w:p>
        </w:tc>
      </w:tr>
      <w:tr w14:paraId="6F035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1251" w:type="dxa"/>
            <w:gridSpan w:val="9"/>
            <w:tcBorders>
              <w:top w:val="single" w:color="000000" w:sz="4" w:space="0"/>
              <w:left w:val="single" w:color="000000" w:sz="4" w:space="0"/>
              <w:bottom w:val="single" w:color="000000" w:sz="4" w:space="0"/>
              <w:right w:val="single" w:color="000000" w:sz="4" w:space="0"/>
            </w:tcBorders>
            <w:noWrap w:val="0"/>
            <w:vAlign w:val="center"/>
          </w:tcPr>
          <w:p w14:paraId="2A9333AF">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highlight w:val="none"/>
                <w:u w:val="none"/>
                <w:lang w:val="en-US" w:eastAsia="zh-CN" w:bidi="ar"/>
              </w:rPr>
            </w:pPr>
            <w:r>
              <w:rPr>
                <w:rFonts w:hint="eastAsia" w:ascii="宋体" w:hAnsi="宋体" w:eastAsia="宋体" w:cs="宋体"/>
                <w:b/>
                <w:bCs/>
                <w:i w:val="0"/>
                <w:iCs w:val="0"/>
                <w:color w:val="000000"/>
                <w:kern w:val="0"/>
                <w:sz w:val="36"/>
                <w:szCs w:val="36"/>
                <w:highlight w:val="none"/>
                <w:u w:val="none"/>
                <w:lang w:val="en-US" w:eastAsia="zh-CN" w:bidi="ar"/>
              </w:rPr>
              <w:t>西安市公共资源交易中心设备清单</w:t>
            </w:r>
          </w:p>
        </w:tc>
      </w:tr>
      <w:tr w14:paraId="0F3FE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06C6AC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F8164B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机柜</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B2BA5D8">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机架</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7030E6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设备类型</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4CE528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设备品牌</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B0EA95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设备型号</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CCE9DFA">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业务系统</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10AB41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业务负责单位</w:t>
            </w: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B876077">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搬迁到新机房</w:t>
            </w:r>
            <w:r>
              <w:rPr>
                <w:rFonts w:hint="eastAsia" w:ascii="宋体" w:hAnsi="宋体" w:eastAsia="宋体" w:cs="宋体"/>
                <w:b/>
                <w:bCs/>
                <w:i w:val="0"/>
                <w:iCs w:val="0"/>
                <w:color w:val="000000"/>
                <w:kern w:val="0"/>
                <w:sz w:val="24"/>
                <w:szCs w:val="24"/>
                <w:highlight w:val="none"/>
                <w:u w:val="none"/>
                <w:lang w:val="en-US" w:eastAsia="zh-CN" w:bidi="ar"/>
              </w:rPr>
              <w:br w:type="textWrapping"/>
            </w:r>
            <w:r>
              <w:rPr>
                <w:rFonts w:hint="eastAsia" w:ascii="宋体" w:hAnsi="宋体" w:eastAsia="宋体" w:cs="宋体"/>
                <w:b/>
                <w:bCs/>
                <w:i w:val="0"/>
                <w:iCs w:val="0"/>
                <w:color w:val="000000"/>
                <w:kern w:val="0"/>
                <w:sz w:val="24"/>
                <w:szCs w:val="24"/>
                <w:highlight w:val="none"/>
                <w:u w:val="none"/>
                <w:lang w:val="en-US" w:eastAsia="zh-CN" w:bidi="ar"/>
              </w:rPr>
              <w:t>是/否</w:t>
            </w:r>
          </w:p>
        </w:tc>
      </w:tr>
      <w:tr w14:paraId="645B6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4579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3CA3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969A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31U-32U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194A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8802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曙光</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0A4C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I620-G20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4FCEF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电子档案存储服务器</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7FABD6">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380E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FD3C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35B74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F4E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1D40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28U-29U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789D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19CE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曙光</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904B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I620-G20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8FDEC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电话语音系统录音服务器</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2FDAFF">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BB11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189F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4C919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371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6998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33-34U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5910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E8FA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中孚信息</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745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zf04d-02</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15626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中孚互联网接入口检测器系统</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095CD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保密局自行负责维护</w:t>
            </w: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2D2D7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保密局设备</w:t>
            </w:r>
          </w:p>
        </w:tc>
      </w:tr>
      <w:tr w14:paraId="2CC05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58B63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AE6CD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F7852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23U-24U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EF144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0AADA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28EFF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UISR390XG2</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78E20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互联网网管服务器</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41DD7DC">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E9D46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5A7C3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1EC01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1A0D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ED32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37U-38U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1F6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35A8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B4BE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AC-6080-PA</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E1810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外网出口上网行为管理</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9B2FF0">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C1637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A46A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3996B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864FB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F4090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DD4F8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A41A4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962A4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S5560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73B5E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互联网机电口接入交换机</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94DFB33">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8E9E3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1AE4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AC05F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7CCE6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2CF36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38U后</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61D75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413DC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A9F2B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S5130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0FAE4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云桌面管理接入交换机1</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28FBE9D">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6EAC0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C358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E16B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FC9B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8155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5355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5771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8E8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VDC-2600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7F67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云桌面虚拟化管理平台</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D84D33">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10A29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3ECE6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0D6EB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9CF2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48C4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27U-30U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D63F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AB2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4B1F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92B77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云桌面-虚拟化服务器1</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71FB9">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F8E3E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3A88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C7501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36F7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6A75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22U-25U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39B2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78A5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79BD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1F94E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云桌面-虚拟化服务器2</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5FED9D">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1F908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CD7E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7B13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0CB7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188F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17U-20U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4FC6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F77F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237A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EFECD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云桌面-虚拟化服务器3</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DF64B0">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52E0A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FF47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C422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59D0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E3FE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12U-15U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4C20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43A3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7024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FF544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云桌面-虚拟化服务器4</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C8A91D">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8CBE1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5FAD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B6CFF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00A4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8E2F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7U-10U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D153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F4E8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266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49A6E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云桌面-虚拟化服务器5</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F1849">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9544E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2E71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79006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74EE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4F29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2U-5U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2033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188A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DAFF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4AD5C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云桌面-虚拟化服务器6</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74055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446A7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2CFE5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21E7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66073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DAD3B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38U后</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C134C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557FE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7E69A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S5130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F139F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云桌面虚拟化服务器管理接入交换机2</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3F057E3">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29C9B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2AAC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31D9C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D1E2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5027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32U-33U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4DDF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8E0E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5A9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1CB7D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服务器-3（外）</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352A5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D2028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7754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6BCD8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71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F3DF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11B2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27U-30U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FCF6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7DC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50CF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B740B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旧-交易系统web服务器</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CC8C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06113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BF82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5BAA36D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6C5C3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202D3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22U-25U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63D060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3635BD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0CD9DB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7644D9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旧-交易系统数据库服务器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61465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BF0C7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0F54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20838D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1F287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24CFF5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17U-20U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7BC817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40E268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7FDCCF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3C69F1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云桌面-内网虚拟化服务器4</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D071F68">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6AF95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01BD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7605A3D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270AB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404ED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12U-15U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479802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0351CE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6D5337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050C6C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云桌面-内网虚拟化服务器3</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A617F07">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8B9FD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F9A3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9A559B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21</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49406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9A716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7U-10U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3D274F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3786B7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9A8B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323EE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云桌面-内网虚拟化服务器2</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E10C94">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6D3E2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A9D5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66EAB44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BE0FA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4835FF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2U-5U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20B12A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4963B3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CD4B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NF8460M4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BC879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云桌面-内网虚拟化服务器1</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372664">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99AE0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561E9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090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23</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60C31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C286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23U-24U</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13E1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4CEC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9D7CA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UISR390XG2</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8CE19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电子政务网网管服务器</w:t>
            </w:r>
          </w:p>
        </w:tc>
        <w:tc>
          <w:tcPr>
            <w:tcW w:w="10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D984750">
            <w:pPr>
              <w:jc w:val="center"/>
              <w:rPr>
                <w:rFonts w:hint="eastAsia" w:ascii="宋体" w:hAnsi="宋体" w:eastAsia="宋体" w:cs="宋体"/>
                <w:i w:val="0"/>
                <w:iCs w:val="0"/>
                <w:color w:val="000000"/>
                <w:sz w:val="22"/>
                <w:szCs w:val="22"/>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429F4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5F9F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FF8754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23A1E2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14:paraId="078326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37U</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539530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23F537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noWrap w:val="0"/>
            <w:vAlign w:val="center"/>
          </w:tcPr>
          <w:p w14:paraId="4D806B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S5560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54B867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电子政务网机房电口接入交换机</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2CBD4543">
            <w:pPr>
              <w:jc w:val="center"/>
              <w:rPr>
                <w:rFonts w:hint="eastAsia" w:ascii="宋体" w:hAnsi="宋体" w:eastAsia="宋体" w:cs="宋体"/>
                <w:i w:val="0"/>
                <w:iCs w:val="0"/>
                <w:color w:val="000000"/>
                <w:sz w:val="22"/>
                <w:szCs w:val="22"/>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3259C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87DC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36D4FB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25</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3C3C0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6158E9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1B952D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50EC40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HUAWEI</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0A4852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S5329C-EI</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6DA16A7D">
            <w:pPr>
              <w:jc w:val="center"/>
              <w:rPr>
                <w:rFonts w:hint="eastAsia" w:ascii="宋体" w:hAnsi="宋体" w:eastAsia="宋体" w:cs="宋体"/>
                <w:i w:val="0"/>
                <w:iCs w:val="0"/>
                <w:color w:val="000000"/>
                <w:sz w:val="20"/>
                <w:szCs w:val="20"/>
                <w:highlight w:val="none"/>
                <w:u w:val="none"/>
              </w:rPr>
            </w:pP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27A41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622C3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758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604A64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26</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6BCEC6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14:paraId="481490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37U</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2EAB7C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4E81F0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H3C</w:t>
            </w:r>
          </w:p>
        </w:tc>
        <w:tc>
          <w:tcPr>
            <w:tcW w:w="1459" w:type="dxa"/>
            <w:tcBorders>
              <w:top w:val="single" w:color="000000" w:sz="4" w:space="0"/>
              <w:left w:val="single" w:color="000000" w:sz="4" w:space="0"/>
              <w:bottom w:val="single" w:color="000000" w:sz="4" w:space="0"/>
              <w:right w:val="single" w:color="000000" w:sz="4" w:space="0"/>
            </w:tcBorders>
            <w:noWrap w:val="0"/>
            <w:vAlign w:val="center"/>
          </w:tcPr>
          <w:p w14:paraId="436739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S5500V2</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13B8E3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8958F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ED790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21CEC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6163ABE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A9290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0AD84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34U后</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24EE86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5A17CD9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博科</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1CCC48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74CCC1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存储交换机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231E9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31E8A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FFA2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C11932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28</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BC34E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4CAD8C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31U-32U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77574A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3A8222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477095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DS2200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5F8608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旧交易系统存储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59F19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BB2FB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BFDB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2501204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29</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5DA8C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6D6515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28U-29U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157057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20C0DA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1DEE37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3636D3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招投标</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D4C3B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E2AA4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23780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6E65707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DCFB5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49EB88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25U-26U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5E8D46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3DCF0D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3E6E10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3A842A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诚信平台</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D553C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C2611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2CC5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5B80F8F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31</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7EA614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2E4EC0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23U-24U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6D1E3D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534168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2530BE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6662EB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数据采集</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8418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A7550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5A53D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99D57C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32</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2E057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30B9A7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555E74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6869F4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2E6F6F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X3250M2</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403DBE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指纹系统</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279CB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23EF0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06D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69DDA09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33</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732719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3E4934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40280F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网络设备</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66D1A7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睿讯</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15FDF5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LCD KVM SWITCH</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59968F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切换器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0F72C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E26A9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35AC3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213110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34</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BF96E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270C40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11U-14U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43A302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31031D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241710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NP3060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7E9C5D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专家抽取 拨号服务器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BEC13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5ACA8E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6F51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35E58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35</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7E887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44BE8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0E3E52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306B81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东进</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140BD3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AN2</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557933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多功能语音箱</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6EF96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AB975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6695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2D252B0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36</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C6273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793028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35U</w:t>
            </w:r>
          </w:p>
        </w:tc>
        <w:tc>
          <w:tcPr>
            <w:tcW w:w="1229" w:type="dxa"/>
            <w:tcBorders>
              <w:top w:val="single" w:color="000000" w:sz="4" w:space="0"/>
              <w:left w:val="single" w:color="000000" w:sz="4" w:space="0"/>
              <w:bottom w:val="single" w:color="000000" w:sz="4" w:space="0"/>
              <w:right w:val="single" w:color="000000" w:sz="4" w:space="0"/>
            </w:tcBorders>
            <w:noWrap/>
            <w:vAlign w:val="center"/>
          </w:tcPr>
          <w:p w14:paraId="58AED0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noWrap/>
            <w:vAlign w:val="center"/>
          </w:tcPr>
          <w:p w14:paraId="7FB427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noWrap/>
            <w:vAlign w:val="center"/>
          </w:tcPr>
          <w:p w14:paraId="3CDA1B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AF-1520</w:t>
            </w:r>
          </w:p>
        </w:tc>
        <w:tc>
          <w:tcPr>
            <w:tcW w:w="2264" w:type="dxa"/>
            <w:tcBorders>
              <w:top w:val="single" w:color="000000" w:sz="4" w:space="0"/>
              <w:left w:val="single" w:color="000000" w:sz="4" w:space="0"/>
              <w:bottom w:val="single" w:color="000000" w:sz="4" w:space="0"/>
              <w:right w:val="single" w:color="000000" w:sz="4" w:space="0"/>
            </w:tcBorders>
            <w:noWrap w:val="0"/>
            <w:vAlign w:val="center"/>
          </w:tcPr>
          <w:p w14:paraId="17A634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服务器区防火墙</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90F85D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2CB02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1C6F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44F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37</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15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DA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28U后</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A4C2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0697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华为</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8168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S5735S-L24P4S-A2</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8DD27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新点服务器接入交换机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EA7F4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405E9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71E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B15A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38</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CF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0D0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2D0D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F0DD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09C097">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5672A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智能呼叫调度管理机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1CD36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CEA6D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53A0B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F6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39</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97A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AB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908C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28AA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192AB5">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73C9F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视音频录制管理机1</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1946A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194C6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EA9A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09F6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38D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533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4AFD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F2C6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3A43A2">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ABBF4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视音频录制管理机2</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6D0C9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C238C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1DF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848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41</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FCD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D58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9144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9685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0D5E6F">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17658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开评标视音频管理机1</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12D39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1218C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24AD4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7082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42</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E4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D0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F860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8BD1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18E267">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97F7AC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开评标视音频管理机2</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EFB55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3EA97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281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0A4C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43</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155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908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7DE8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19C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8B1C23">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2068A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分散评标场地管理机主机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DBCBC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19031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8523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361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44</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61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E9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8U-9U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846A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F6C2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B048EA">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8A02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分散评标场地管理机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6C5AE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西安建设工程交易中心有限公司自行负责维护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2B79D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9934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00D6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45</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32130">
            <w:pPr>
              <w:jc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F8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新设备</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A314EF">
            <w:pPr>
              <w:jc w:val="center"/>
              <w:rPr>
                <w:rFonts w:hint="eastAsia" w:ascii="宋体" w:hAnsi="宋体" w:eastAsia="宋体" w:cs="宋体"/>
                <w:i w:val="0"/>
                <w:iCs w:val="0"/>
                <w:color w:val="000000"/>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1131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5B36C6">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679D8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分散席位新增设备1</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92D0F2C">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CF277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0B5C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E20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7F9F">
            <w:pPr>
              <w:jc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B2A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新设备</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D05B9">
            <w:pPr>
              <w:jc w:val="center"/>
              <w:rPr>
                <w:rFonts w:hint="eastAsia" w:ascii="宋体" w:hAnsi="宋体" w:eastAsia="宋体" w:cs="宋体"/>
                <w:i w:val="0"/>
                <w:iCs w:val="0"/>
                <w:color w:val="000000"/>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6A84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AC4452">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452AC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分散席位新增设备2</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1FFE748">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EEB98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549BB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ED3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47</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D0BF">
            <w:pPr>
              <w:jc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6E7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新设备</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106CC2">
            <w:pPr>
              <w:jc w:val="center"/>
              <w:rPr>
                <w:rFonts w:hint="eastAsia" w:ascii="宋体" w:hAnsi="宋体" w:eastAsia="宋体" w:cs="宋体"/>
                <w:i w:val="0"/>
                <w:iCs w:val="0"/>
                <w:color w:val="000000"/>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9126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C67504">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E619D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分散席位新增设备3</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086A7D3">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1933B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2B9C6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56B0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48</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9B47">
            <w:pPr>
              <w:jc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8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新设备</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679004">
            <w:pPr>
              <w:jc w:val="center"/>
              <w:rPr>
                <w:rFonts w:hint="eastAsia" w:ascii="宋体" w:hAnsi="宋体" w:eastAsia="宋体" w:cs="宋体"/>
                <w:i w:val="0"/>
                <w:iCs w:val="0"/>
                <w:color w:val="000000"/>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BF8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D67BE9">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A35A9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分散席位新增设备4</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64BDFFD">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04C4E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35F3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2C2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49</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AB01">
            <w:pPr>
              <w:jc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37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新设备</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DE0B02">
            <w:pPr>
              <w:jc w:val="center"/>
              <w:rPr>
                <w:rFonts w:hint="eastAsia" w:ascii="宋体" w:hAnsi="宋体" w:eastAsia="宋体" w:cs="宋体"/>
                <w:i w:val="0"/>
                <w:iCs w:val="0"/>
                <w:color w:val="000000"/>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5BE7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8E4FC6">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6B558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分散席位新增设备5</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49895E2">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CECD5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C9FA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00E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50</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33F30">
            <w:pPr>
              <w:jc w:val="center"/>
              <w:rPr>
                <w:rFonts w:hint="eastAsia" w:ascii="宋体" w:hAnsi="宋体" w:eastAsia="宋体" w:cs="宋体"/>
                <w:i w:val="0"/>
                <w:iCs w:val="0"/>
                <w:color w:val="000000"/>
                <w:sz w:val="20"/>
                <w:szCs w:val="20"/>
                <w:highlight w:val="none"/>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81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新设备</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98C351">
            <w:pPr>
              <w:jc w:val="center"/>
              <w:rPr>
                <w:rFonts w:hint="eastAsia" w:ascii="宋体" w:hAnsi="宋体" w:eastAsia="宋体" w:cs="宋体"/>
                <w:i w:val="0"/>
                <w:iCs w:val="0"/>
                <w:color w:val="000000"/>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6E41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国泰新点</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0E1FB6">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42661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分散席位新增设备6</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0025754">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9F41B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06B3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081391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51</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01E05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6A2546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25U-26U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DD8D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C102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7A7B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FC3E4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广联达测试服务器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7101A02">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9FB57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2D0E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F4A599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52</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E6F17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5CBAC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22U-23U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97BC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013B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DA84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AF-1000-FA40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817E0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政务网接入防火墙</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99534A1">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94D23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4654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85C0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53</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5B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7C6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15U-16U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CB69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C51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D877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911F2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西安app后台管理</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2ACDC6D">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D8720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ABCE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E55CC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54</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57E88A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30F51E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40U-41U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17BB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0A0F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三未信安</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D66CF5">
            <w:pPr>
              <w:jc w:val="center"/>
              <w:rPr>
                <w:rFonts w:hint="eastAsia" w:ascii="宋体" w:hAnsi="宋体" w:eastAsia="宋体" w:cs="宋体"/>
                <w:i w:val="0"/>
                <w:iCs w:val="0"/>
                <w:color w:val="000000"/>
                <w:sz w:val="20"/>
                <w:szCs w:val="20"/>
                <w:highlight w:val="none"/>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4AAAD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陕西CA数字签章</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7C4E0F0">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ABCE0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E604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415862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08923B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8F6FB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27U-30U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C25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E1C1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61B3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Aserver-P-4000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26CBA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超融合A集群服务器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3F9B483">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65625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A1B7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7DDD41D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56</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F961C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27C0CD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22U-25U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9A4A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DC66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E463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Aserver-P-4000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31695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超融合A集群服务器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B1869C1">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6AA49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104B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E770E4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57</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B8EA1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68115E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17U-20U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B9B4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929F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E484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Aserver-P-4000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D0B62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超融合A集群服务器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BC44727">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221C1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11A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703212F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58</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5766A6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583A8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12U-15U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2A7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6A76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908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Aserver-P-4000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81B30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超融合A集群服务器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0C6DF57">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0EB96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A2FB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60B22A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59</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A40FA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74E283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7U-10U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B9D6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BF0B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65EC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Aserver-P-4000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8F9D7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超融合A集群服务器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54ED34C">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78292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3059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AA21A2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88577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8965E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2U-5U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2CAAA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DBD7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84DE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Aserver-P-4000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38976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超融合A集群服务器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ADEBCCA">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3DB74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0728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5B4C71C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61</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D7293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665CD3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73C9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C490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信锐</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D8CB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RS6500-54Q-EI-48X</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DDF65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存储交换机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D7046B5">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33ADC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2FEF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E2788F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62</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CA8B3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42F85A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3B61D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EB45D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信锐</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F396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RS6500-54Q-EI-48X</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76013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存储交换机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EFAA4C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326BE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C79C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B3D842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63</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993E7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20217E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B0FA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C11D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信锐</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1F21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RS5300-52T-4F</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F6BEF6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超融合接入交换机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2068399">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E8C19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ECC5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3E93825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64</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D72F5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71B6A1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F4BA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F840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信锐</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35AF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RS5300-52T-4F</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6659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超融合接入交换机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28751F0">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A08D3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99A9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60A9EF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65</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588108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777A00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36U-37U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7C8D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CE3D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9F34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NF5270M5</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7E0BA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未使用（未配置磁盘）</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4BB35B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27911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F25E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C3CE0C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66</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4CD03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3D35C2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33U-34U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0F2D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0426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0B13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NF5270M5</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169A5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未使用（未配置磁盘）</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E68FD6F">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6F910D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2531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3D97B24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67</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20E8EE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E3E03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30U-31U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6BB6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1473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82A6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NF5270M5</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6B73B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未使用（未配置磁盘）</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4901847">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52346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F3A7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4BCB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68</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04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E4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F21E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9E9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68FA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OSM-1000-A600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1754F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堡垒机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8BA2F84">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94C07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2112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CFB21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69</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7BBBC3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854C3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10U-11U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0B07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存储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556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火星舱</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CCAA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MSA-DPA-AL6</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1754E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火星仓备份存储服务器</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A233AE1">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CB4D3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9F6E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791329D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4C9782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8BF2C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10U-13U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5FA5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BB7F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44FA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X3850X5</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12C24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一体化数据库对接</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6FE1598">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9570C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0C7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AE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71</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2DF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DD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EC31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9CE9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EB6B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AD-1000-A1800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E5AE1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负载均衡</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1BB6E3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DF748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4AB9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C83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72</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A03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1F3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14U-15U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9AC4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D4AF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6551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SR658</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849F7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ESXI8.0裸机虚拟化</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D5E5FEB">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9CD7C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7C81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C511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73</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0C7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2BE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11U-12U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63F8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75E8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EDC6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SR658</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42BBF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ESXI8.0裸机虚拟化</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1F63937">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58776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B239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7BAFCB9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74</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4905B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0CA9A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8U-9U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413F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5F99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7751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SR658</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46312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ESXI6.7裸机虚拟化</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E573C82">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132B3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6208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512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75</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87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297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5561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EBD0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CA81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AF-1000-L4178</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31211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银行业务防火墙</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C09DA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C1602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127A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B5A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76</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DD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B6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532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8205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3F13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AC-1000C400Y</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961CC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银行URL过滤行为管理</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C6C5A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ED5FA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38B68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0F6B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77</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A75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6C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A7A0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2A25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深信服</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32EB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VPN-1000-A400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BF739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银行接入VPN</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128AE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29270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67374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E0F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78</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EA6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D3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63A2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4E1C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8B4A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R230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8D66E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中国银行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67ED3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3AB55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6C948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B847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79</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5D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AF5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22U-23U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89BC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2821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hp</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018F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ProLiant DL388 Gen8</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3C595B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华夏银行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E9561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C3FA4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3F629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DD7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80</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656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99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19U-20U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BA03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DDCF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浪潮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1768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NF5270M4</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D33D4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平安银行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90B4A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24B65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1036E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8C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81</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C9B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0C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036D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03B0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3C3A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R630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6A186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B68BC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837F4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773E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A866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82</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69C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946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8748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27EE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信锐</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B019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RS3300-28T-4F</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6F9554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银行服务器交换机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461B1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D7267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31E7A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C01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83</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45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10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B447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交换机</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0FB9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迈普</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437E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S3100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AD9AA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银行服务器交换机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EFD87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E03791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1FF4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051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84</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D9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C9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2B24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财务专用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F636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用友</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4899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Prxoy 1000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D3AB9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融联E路签</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5B3673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AC5EA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4BCE1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613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BD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0CE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BE66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6495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7FBB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R250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27B84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用友（工行）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D17FF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0878E4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5F7D5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3B22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86</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60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F0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F3FD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F491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4D31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R250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3CAF1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广联达（工行）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30C0D1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284FE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1A37F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2DD1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87</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234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213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773A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0A012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2E32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R250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20B3F8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新点（工行）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5AD22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3EFC3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1E636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5C5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88</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38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8B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B1D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F634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526C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R230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FFF33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浙商银行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23464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9C24F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4613A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A7B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89</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9B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1EB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25U-26U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4D17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90FD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5AF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x3650M3</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472B8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北京银行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B97DA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B0A935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6EB27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C3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EBB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1C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19U-20U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2686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CCA2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HUAWEI</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63FA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RH2288AV2</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5FF043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建设银行前置机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81F2D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EFF63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49ADF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3DA1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91</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7B6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758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16U-17U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F5A0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821C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联想</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5BD7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SR650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33A6E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西安银行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98B6E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DF5DA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5D723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13A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92</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17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52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99E5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3D72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DELL</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BE0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R230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88CD4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长安银行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1FBBA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37326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05E2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F6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93</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5B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609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7U-8U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0AE4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服务器</w:t>
            </w: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FFC62F">
            <w:pPr>
              <w:jc w:val="center"/>
              <w:rPr>
                <w:rFonts w:hint="eastAsia" w:ascii="宋体" w:hAnsi="宋体" w:eastAsia="宋体" w:cs="宋体"/>
                <w:i w:val="0"/>
                <w:iCs w:val="0"/>
                <w:color w:val="000000"/>
                <w:sz w:val="20"/>
                <w:szCs w:val="20"/>
                <w:highlight w:val="none"/>
                <w:u w:val="none"/>
              </w:rPr>
            </w:pP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FCAE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PowerEdge R720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7296B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招商银行</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23E576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银行自行负责维护</w:t>
            </w: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4F600A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银行设备</w:t>
            </w:r>
          </w:p>
        </w:tc>
      </w:tr>
      <w:tr w14:paraId="6B34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035965A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94</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B68AA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27943A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83B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E1E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17C7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NIPS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35B52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入侵防御设备</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BA548C2">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A0B1F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1B990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7A475F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6424FE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401E84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CB7D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4731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A280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NIPS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1455C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入侵防御设备</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0D32B48">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1D9932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667A4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5093E59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96</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5F09BE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4D9548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BE3E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38B2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99FD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WAF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70D32E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WAFWeb应用防护系统</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41BCC3A3">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2CDE56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5572D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412E843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97</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1220338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65D44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35390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AB86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D003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RSAS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EAE8C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安全评估系统</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93924F1">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78D18FB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516C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1D151AD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98</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E5814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0B51DD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2D65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9892C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B108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OSMS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1390ED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运维安全管理系统 堡垒机</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7056269B">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CC2A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45D1B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3D1B932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99</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3AD667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14AA77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C9F0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BB52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EFA4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LAS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488B24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日志审计系统</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092ABC65">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20FC3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0527E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56F664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78F86A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FCA59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9AB1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036A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7ACD3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SAS NX3 Series</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0ED745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安全审计系统</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6C7000B0">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3D12B15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r w14:paraId="75529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2612D2F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101</w:t>
            </w:r>
          </w:p>
        </w:tc>
        <w:tc>
          <w:tcPr>
            <w:tcW w:w="719" w:type="dxa"/>
            <w:tcBorders>
              <w:top w:val="single" w:color="000000" w:sz="4" w:space="0"/>
              <w:left w:val="single" w:color="000000" w:sz="4" w:space="0"/>
              <w:bottom w:val="single" w:color="000000" w:sz="4" w:space="0"/>
              <w:right w:val="single" w:color="000000" w:sz="4" w:space="0"/>
            </w:tcBorders>
            <w:noWrap/>
            <w:vAlign w:val="center"/>
          </w:tcPr>
          <w:p w14:paraId="5758EE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064" w:type="dxa"/>
            <w:tcBorders>
              <w:top w:val="single" w:color="000000" w:sz="4" w:space="0"/>
              <w:left w:val="single" w:color="000000" w:sz="4" w:space="0"/>
              <w:bottom w:val="single" w:color="000000" w:sz="4" w:space="0"/>
              <w:right w:val="single" w:color="000000" w:sz="4" w:space="0"/>
            </w:tcBorders>
            <w:noWrap/>
            <w:vAlign w:val="center"/>
          </w:tcPr>
          <w:p w14:paraId="5D40550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23U-24U</w:t>
            </w:r>
          </w:p>
        </w:tc>
        <w:tc>
          <w:tcPr>
            <w:tcW w:w="122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4335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安全设备</w:t>
            </w:r>
          </w:p>
        </w:tc>
        <w:tc>
          <w:tcPr>
            <w:tcW w:w="127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107F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绿盟科技</w:t>
            </w:r>
          </w:p>
        </w:tc>
        <w:tc>
          <w:tcPr>
            <w:tcW w:w="145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F2A2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ESP-H 500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hemeFill="background1"/>
            <w:noWrap w:val="0"/>
            <w:vAlign w:val="center"/>
          </w:tcPr>
          <w:p w14:paraId="3B90D7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安全管理平台</w:t>
            </w:r>
          </w:p>
        </w:tc>
        <w:tc>
          <w:tcPr>
            <w:tcW w:w="1076" w:type="dxa"/>
            <w:tcBorders>
              <w:top w:val="single" w:color="000000" w:sz="4" w:space="0"/>
              <w:left w:val="single" w:color="000000" w:sz="4" w:space="0"/>
              <w:bottom w:val="single" w:color="000000" w:sz="4" w:space="0"/>
              <w:right w:val="single" w:color="000000" w:sz="4" w:space="0"/>
            </w:tcBorders>
            <w:noWrap/>
            <w:vAlign w:val="center"/>
          </w:tcPr>
          <w:p w14:paraId="1B24DF2E">
            <w:pPr>
              <w:jc w:val="center"/>
              <w:rPr>
                <w:rFonts w:hint="eastAsia" w:ascii="宋体" w:hAnsi="宋体" w:eastAsia="宋体" w:cs="宋体"/>
                <w:i w:val="0"/>
                <w:iCs w:val="0"/>
                <w:color w:val="000000"/>
                <w:sz w:val="20"/>
                <w:szCs w:val="20"/>
                <w:highlight w:val="none"/>
                <w:u w:val="none"/>
              </w:rPr>
            </w:pPr>
          </w:p>
        </w:tc>
        <w:tc>
          <w:tcPr>
            <w:tcW w:w="1446" w:type="dxa"/>
            <w:tcBorders>
              <w:top w:val="single" w:color="000000" w:sz="4" w:space="0"/>
              <w:left w:val="single" w:color="000000" w:sz="4" w:space="0"/>
              <w:bottom w:val="single" w:color="000000" w:sz="4" w:space="0"/>
              <w:right w:val="single" w:color="000000" w:sz="4" w:space="0"/>
            </w:tcBorders>
            <w:noWrap w:val="0"/>
            <w:vAlign w:val="center"/>
          </w:tcPr>
          <w:p w14:paraId="62A7AD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是</w:t>
            </w:r>
          </w:p>
        </w:tc>
      </w:tr>
    </w:tbl>
    <w:p w14:paraId="2A08061E">
      <w:pPr>
        <w:pStyle w:val="10"/>
        <w:rPr>
          <w:rFonts w:hint="default" w:ascii="Times New Roman" w:hAnsi="Times New Roman" w:eastAsia="宋体" w:cs="Times New Roman"/>
          <w:lang w:val="en-US" w:eastAsia="zh-Hans"/>
        </w:rPr>
        <w:sectPr>
          <w:pgSz w:w="11906" w:h="16838"/>
          <w:pgMar w:top="1440" w:right="1800" w:bottom="1440" w:left="1800" w:header="851" w:footer="992" w:gutter="0"/>
          <w:pgNumType w:fmt="decimal"/>
          <w:cols w:space="720" w:num="1"/>
          <w:docGrid w:type="lines" w:linePitch="312" w:charSpace="0"/>
        </w:sectPr>
      </w:pPr>
    </w:p>
    <w:p w14:paraId="77010C93">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附件二</w:t>
      </w:r>
    </w:p>
    <w:p w14:paraId="3D6E8F46">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sz w:val="24"/>
          <w:szCs w:val="24"/>
          <w:highlight w:val="none"/>
          <w:lang w:eastAsia="zh-CN"/>
        </w:rPr>
      </w:pPr>
    </w:p>
    <w:tbl>
      <w:tblPr>
        <w:tblStyle w:val="8"/>
        <w:tblW w:w="10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9"/>
      </w:tblGrid>
      <w:tr w14:paraId="08D2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059" w:type="dxa"/>
            <w:noWrap w:val="0"/>
            <w:vAlign w:val="center"/>
          </w:tcPr>
          <w:p w14:paraId="5FB2FD72">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信息化运维管理界面日常维护工作清单</w:t>
            </w:r>
          </w:p>
        </w:tc>
      </w:tr>
      <w:tr w14:paraId="343F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2" w:hRule="atLeast"/>
          <w:jc w:val="center"/>
        </w:trPr>
        <w:tc>
          <w:tcPr>
            <w:tcW w:w="10059" w:type="dxa"/>
            <w:noWrap w:val="0"/>
            <w:vAlign w:val="top"/>
          </w:tcPr>
          <w:p w14:paraId="696AB69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kern w:val="2"/>
                <w:sz w:val="24"/>
                <w:szCs w:val="24"/>
                <w:highlight w:val="none"/>
                <w:vertAlign w:val="baseline"/>
                <w:lang w:val="en-US" w:eastAsia="zh-CN" w:bidi="ar-SA"/>
              </w:rPr>
              <w:t>1.</w:t>
            </w:r>
            <w:r>
              <w:rPr>
                <w:rFonts w:hint="eastAsia" w:ascii="宋体" w:hAnsi="宋体" w:eastAsia="宋体" w:cs="宋体"/>
                <w:sz w:val="24"/>
                <w:szCs w:val="24"/>
                <w:highlight w:val="none"/>
                <w:vertAlign w:val="baseline"/>
                <w:lang w:val="en-US" w:eastAsia="zh-CN"/>
              </w:rPr>
              <w:t>市级机关凤城九路办公区的政务网络线路接入开通由市数据局负责；</w:t>
            </w:r>
          </w:p>
          <w:p w14:paraId="411E4B6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2.市公共资源交易中心办公新址由成交单位配置相关信息化软硬件，包含专家身份核验门禁管理系统、信息发布系统、视频</w:t>
            </w:r>
            <w:r>
              <w:rPr>
                <w:rFonts w:hint="eastAsia" w:hAnsi="宋体" w:cs="宋体"/>
                <w:sz w:val="24"/>
                <w:szCs w:val="24"/>
                <w:highlight w:val="none"/>
                <w:vertAlign w:val="baseline"/>
                <w:lang w:val="en-US" w:eastAsia="zh-CN"/>
              </w:rPr>
              <w:t>安防</w:t>
            </w:r>
            <w:r>
              <w:rPr>
                <w:rFonts w:hint="eastAsia" w:ascii="宋体" w:hAnsi="宋体" w:eastAsia="宋体" w:cs="宋体"/>
                <w:sz w:val="24"/>
                <w:szCs w:val="24"/>
                <w:highlight w:val="none"/>
                <w:vertAlign w:val="baseline"/>
                <w:lang w:val="en-US" w:eastAsia="zh-CN"/>
              </w:rPr>
              <w:t>系统、开评标室紧急报警系统、电子巡更系统、LED 显示屏及会议系统新增配套设备等。以及智联机关门禁与人行道闸设备，数据机房、监控机房配套的配电、消防、空调等硬件设备运维工作由</w:t>
            </w:r>
            <w:r>
              <w:rPr>
                <w:rFonts w:hint="eastAsia" w:hAnsi="宋体" w:cs="宋体"/>
                <w:sz w:val="24"/>
                <w:szCs w:val="24"/>
                <w:highlight w:val="none"/>
                <w:vertAlign w:val="baseline"/>
                <w:lang w:val="en-US" w:eastAsia="zh-CN"/>
              </w:rPr>
              <w:t>成交单位</w:t>
            </w:r>
            <w:r>
              <w:rPr>
                <w:rFonts w:hint="eastAsia" w:ascii="宋体" w:hAnsi="宋体" w:eastAsia="宋体" w:cs="宋体"/>
                <w:sz w:val="24"/>
                <w:szCs w:val="24"/>
                <w:highlight w:val="none"/>
                <w:vertAlign w:val="baseline"/>
                <w:lang w:val="en-US" w:eastAsia="zh-CN"/>
              </w:rPr>
              <w:t>负责；</w:t>
            </w:r>
          </w:p>
          <w:p w14:paraId="1793A9C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3.市公共资源交易中心利旧软硬件设备运维工作由市公共资源交易中心负责；</w:t>
            </w:r>
          </w:p>
          <w:p w14:paraId="34B26E3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4.智联机关软件运维工作由西安银行负责；</w:t>
            </w:r>
          </w:p>
          <w:p w14:paraId="6DF42D6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5.西安建设工程交易中心有限公司、西安银行等入驻企业，自行负责本单位软硬件设备的运维工作；</w:t>
            </w:r>
          </w:p>
          <w:p w14:paraId="0E9DA63E">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6.市级机关凤城九路办公区 2 号楼 1—12 层网络系</w:t>
            </w:r>
            <w:r>
              <w:rPr>
                <w:rFonts w:hint="eastAsia" w:ascii="宋体" w:hAnsi="宋体" w:eastAsia="宋体" w:cs="宋体"/>
                <w:color w:val="000000"/>
                <w:sz w:val="24"/>
                <w:szCs w:val="24"/>
                <w:highlight w:val="none"/>
                <w:vertAlign w:val="baseline"/>
                <w:lang w:val="en-US" w:eastAsia="zh-CN"/>
              </w:rPr>
              <w:t>统，由</w:t>
            </w:r>
            <w:r>
              <w:rPr>
                <w:rFonts w:hint="eastAsia" w:hAnsi="宋体" w:cs="宋体"/>
                <w:color w:val="000000"/>
                <w:sz w:val="24"/>
                <w:szCs w:val="24"/>
                <w:highlight w:val="none"/>
                <w:vertAlign w:val="baseline"/>
                <w:lang w:val="en-US" w:eastAsia="zh-CN"/>
              </w:rPr>
              <w:t>成交单位</w:t>
            </w:r>
            <w:r>
              <w:rPr>
                <w:rFonts w:hint="eastAsia" w:ascii="宋体" w:hAnsi="宋体" w:eastAsia="宋体" w:cs="宋体"/>
                <w:color w:val="000000"/>
                <w:sz w:val="24"/>
                <w:szCs w:val="24"/>
                <w:highlight w:val="none"/>
                <w:vertAlign w:val="baseline"/>
                <w:lang w:val="en-US" w:eastAsia="zh-CN"/>
              </w:rPr>
              <w:t>和市公共资源交易中心按照提供设备比例</w:t>
            </w:r>
            <w:r>
              <w:rPr>
                <w:rFonts w:hint="eastAsia" w:ascii="宋体" w:hAnsi="宋体" w:eastAsia="宋体" w:cs="宋体"/>
                <w:sz w:val="24"/>
                <w:szCs w:val="24"/>
                <w:highlight w:val="none"/>
                <w:vertAlign w:val="baseline"/>
                <w:lang w:val="en-US" w:eastAsia="zh-CN"/>
              </w:rPr>
              <w:t>各自负责相应网络系统的运维工作；13-14层网络系统运维工作由</w:t>
            </w:r>
            <w:r>
              <w:rPr>
                <w:rFonts w:hint="eastAsia" w:hAnsi="宋体" w:cs="宋体"/>
                <w:sz w:val="24"/>
                <w:szCs w:val="24"/>
                <w:highlight w:val="none"/>
                <w:vertAlign w:val="baseline"/>
                <w:lang w:val="en-US" w:eastAsia="zh-CN"/>
              </w:rPr>
              <w:t>成交单位</w:t>
            </w:r>
            <w:r>
              <w:rPr>
                <w:rFonts w:hint="eastAsia" w:ascii="宋体" w:hAnsi="宋体" w:eastAsia="宋体" w:cs="宋体"/>
                <w:sz w:val="24"/>
                <w:szCs w:val="24"/>
                <w:highlight w:val="none"/>
                <w:vertAlign w:val="baseline"/>
                <w:lang w:val="en-US" w:eastAsia="zh-CN"/>
              </w:rPr>
              <w:t>负责；15-16层网络系统运维工作由西安建设工程交易中心有限公司、西安银行自行负责；</w:t>
            </w:r>
          </w:p>
          <w:p w14:paraId="6F927803">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7.市级机关凤城九路办公区2号楼弱电间由</w:t>
            </w:r>
            <w:r>
              <w:rPr>
                <w:rFonts w:hint="eastAsia" w:hAnsi="宋体" w:cs="宋体"/>
                <w:sz w:val="24"/>
                <w:szCs w:val="24"/>
                <w:highlight w:val="none"/>
                <w:vertAlign w:val="baseline"/>
                <w:lang w:val="en-US" w:eastAsia="zh-CN"/>
              </w:rPr>
              <w:t>成交单位</w:t>
            </w:r>
            <w:r>
              <w:rPr>
                <w:rFonts w:hint="eastAsia" w:ascii="宋体" w:hAnsi="宋体" w:eastAsia="宋体" w:cs="宋体"/>
                <w:sz w:val="24"/>
                <w:szCs w:val="24"/>
                <w:highlight w:val="none"/>
                <w:vertAlign w:val="baseline"/>
                <w:lang w:val="en-US" w:eastAsia="zh-CN"/>
              </w:rPr>
              <w:t>负责管理。</w:t>
            </w:r>
          </w:p>
          <w:p w14:paraId="2AFB21C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8.市级机关凤城九路办公区上述相关工作的协调管理由市机关事务服务中心负责。</w:t>
            </w:r>
          </w:p>
        </w:tc>
      </w:tr>
    </w:tbl>
    <w:p w14:paraId="40773D9B">
      <w:pPr>
        <w:pStyle w:val="2"/>
        <w:rPr>
          <w:rFonts w:hint="eastAsia"/>
          <w:highlight w:val="none"/>
          <w:lang w:val="en-US" w:eastAsia="zh-Hans"/>
        </w:rPr>
      </w:pPr>
    </w:p>
    <w:p w14:paraId="0A8A7B77">
      <w:bookmarkStart w:id="0" w:name="_GoBack"/>
      <w:bookmarkEnd w:id="0"/>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0D28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59DA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E459DA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248C0">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CD017">
                          <w:pPr>
                            <w:pStyle w:val="4"/>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33CD017">
                    <w:pPr>
                      <w:pStyle w:val="4"/>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25FFB">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391A4">
                          <w:pPr>
                            <w:pStyle w:val="4"/>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85391A4">
                    <w:pPr>
                      <w:pStyle w:val="4"/>
                    </w:pPr>
                    <w:r>
                      <w:fldChar w:fldCharType="begin"/>
                    </w:r>
                    <w:r>
                      <w:instrText xml:space="preserve"> PAGE  \* MERGEFORMAT </w:instrText>
                    </w:r>
                    <w:r>
                      <w:fldChar w:fldCharType="separate"/>
                    </w:r>
                    <w:r>
                      <w:t>84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FD357">
    <w:pPr>
      <w:pageBreakBefore w:val="0"/>
      <w:pBdr>
        <w:bottom w:val="none" w:color="auto" w:sz="0" w:space="0"/>
      </w:pBdr>
      <w:overflowPunct/>
      <w:bidi w:val="0"/>
      <w:spacing w:line="360" w:lineRule="auto"/>
      <w:jc w:val="center"/>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96BF1">
    <w:pPr>
      <w:pStyle w:val="5"/>
      <w:pBdr>
        <w:bottom w:val="none" w:color="auto" w:sz="0" w:space="1"/>
      </w:pBdr>
      <w:ind w:left="3780" w:hanging="4200" w:hangingChars="2100"/>
      <w:jc w:val="left"/>
      <w:rPr>
        <w:rFonts w:hint="eastAsia" w:eastAsia="楷体"/>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4B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Body Text First Indent 2"/>
    <w:basedOn w:val="3"/>
    <w:unhideWhenUsed/>
    <w:qFormat/>
    <w:uiPriority w:val="99"/>
    <w:pPr>
      <w:ind w:firstLine="0"/>
    </w:pPr>
    <w:rPr>
      <w:rFonts w:cs="Times New Roman"/>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
    <w:basedOn w:val="1"/>
    <w:next w:val="1"/>
    <w:qFormat/>
    <w:uiPriority w:val="0"/>
    <w:pPr>
      <w:wordWrap w:val="0"/>
    </w:pPr>
  </w:style>
  <w:style w:type="paragraph" w:customStyle="1" w:styleId="12">
    <w:name w:val="Table Text"/>
    <w:basedOn w:val="1"/>
    <w:semiHidden/>
    <w:qFormat/>
    <w:uiPriority w:val="0"/>
    <w:rPr>
      <w:rFonts w:ascii="宋体" w:hAnsi="宋体" w:eastAsia="宋体" w:cs="宋体"/>
      <w:sz w:val="24"/>
      <w:szCs w:val="24"/>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2026-06-03T08:38:57Z</dcterms:created>
  <dc:creator>Administrator</dc:creator>
  <cp:lastModifiedBy>丹</cp:lastModifiedBy>
  <dcterms:modified xsi:type="dcterms:W3CDTF">2026-06-03T08:39:30Z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eyJoZGlkIjoiNTU0ZmIwYTQ3NzlmZGUxZmU3Zjk0M2IyZTNmM2IxNjAiLCJ1c2VySWQiOiI0NTEzNTU3OTIifQ==</vt:lpwstr>
  </property>
  <property fmtid="{D5CDD505-2E9C-101B-9397-08002B2CF9AE}" pid="4" name="ICV">
    <vt:lpwstr>4913DD84D7204B98B5FF1B74B20165A5_12</vt:lpwstr>
  </property>
</Properties>
</file>