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3"/>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561"/>
        <w:gridCol w:w="777"/>
        <w:gridCol w:w="7184"/>
      </w:tblGrid>
      <w:tr w14:paraId="2294A02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61" w:type="dxa"/>
          </w:tcPr>
          <w:p w14:paraId="7EF65D6E">
            <w:pPr>
              <w:pStyle w:val="6"/>
              <w:rPr>
                <w:color w:val="000000" w:themeColor="text1"/>
                <w:highlight w:val="none"/>
                <w14:textFill>
                  <w14:solidFill>
                    <w14:schemeClr w14:val="tx1"/>
                  </w14:solidFill>
                </w14:textFill>
              </w:rPr>
            </w:pPr>
            <w:r>
              <w:rPr>
                <w:rFonts w:ascii="仿宋_GB2312" w:hAnsi="仿宋_GB2312" w:eastAsia="仿宋_GB2312" w:cs="仿宋_GB2312"/>
                <w:color w:val="000000" w:themeColor="text1"/>
                <w:highlight w:val="none"/>
                <w14:textFill>
                  <w14:solidFill>
                    <w14:schemeClr w14:val="tx1"/>
                  </w14:solidFill>
                </w14:textFill>
              </w:rPr>
              <w:t xml:space="preserve"> 序号</w:t>
            </w:r>
          </w:p>
        </w:tc>
        <w:tc>
          <w:tcPr>
            <w:tcW w:w="777" w:type="dxa"/>
          </w:tcPr>
          <w:p w14:paraId="1EE2689C">
            <w:pPr>
              <w:pStyle w:val="6"/>
              <w:rPr>
                <w:color w:val="000000" w:themeColor="text1"/>
                <w:highlight w:val="none"/>
                <w14:textFill>
                  <w14:solidFill>
                    <w14:schemeClr w14:val="tx1"/>
                  </w14:solidFill>
                </w14:textFill>
              </w:rPr>
            </w:pPr>
            <w:r>
              <w:rPr>
                <w:rFonts w:ascii="仿宋_GB2312" w:hAnsi="仿宋_GB2312" w:eastAsia="仿宋_GB2312" w:cs="仿宋_GB2312"/>
                <w:color w:val="000000" w:themeColor="text1"/>
                <w:highlight w:val="none"/>
                <w14:textFill>
                  <w14:solidFill>
                    <w14:schemeClr w14:val="tx1"/>
                  </w14:solidFill>
                </w14:textFill>
              </w:rPr>
              <w:t xml:space="preserve"> 参数性质</w:t>
            </w:r>
          </w:p>
        </w:tc>
        <w:tc>
          <w:tcPr>
            <w:tcW w:w="7184" w:type="dxa"/>
          </w:tcPr>
          <w:p w14:paraId="1206AF90">
            <w:pPr>
              <w:pStyle w:val="6"/>
              <w:rPr>
                <w:color w:val="000000" w:themeColor="text1"/>
                <w:highlight w:val="none"/>
                <w14:textFill>
                  <w14:solidFill>
                    <w14:schemeClr w14:val="tx1"/>
                  </w14:solidFill>
                </w14:textFill>
              </w:rPr>
            </w:pPr>
            <w:r>
              <w:rPr>
                <w:rFonts w:ascii="仿宋_GB2312" w:hAnsi="仿宋_GB2312" w:eastAsia="仿宋_GB2312" w:cs="仿宋_GB2312"/>
                <w:color w:val="000000" w:themeColor="text1"/>
                <w:highlight w:val="none"/>
                <w14:textFill>
                  <w14:solidFill>
                    <w14:schemeClr w14:val="tx1"/>
                  </w14:solidFill>
                </w14:textFill>
              </w:rPr>
              <w:t xml:space="preserve"> 技术参数与性能指标</w:t>
            </w:r>
          </w:p>
        </w:tc>
      </w:tr>
      <w:tr w14:paraId="379596F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61" w:type="dxa"/>
          </w:tcPr>
          <w:p w14:paraId="11D05570">
            <w:pPr>
              <w:pStyle w:val="6"/>
              <w:rPr>
                <w:color w:val="000000" w:themeColor="text1"/>
                <w:highlight w:val="none"/>
                <w14:textFill>
                  <w14:solidFill>
                    <w14:schemeClr w14:val="tx1"/>
                  </w14:solidFill>
                </w14:textFill>
              </w:rPr>
            </w:pPr>
            <w:r>
              <w:rPr>
                <w:rFonts w:ascii="仿宋_GB2312" w:hAnsi="仿宋_GB2312" w:eastAsia="仿宋_GB2312" w:cs="仿宋_GB2312"/>
                <w:color w:val="000000" w:themeColor="text1"/>
                <w:highlight w:val="none"/>
                <w14:textFill>
                  <w14:solidFill>
                    <w14:schemeClr w14:val="tx1"/>
                  </w14:solidFill>
                </w14:textFill>
              </w:rPr>
              <w:t>1</w:t>
            </w:r>
          </w:p>
        </w:tc>
        <w:tc>
          <w:tcPr>
            <w:tcW w:w="777" w:type="dxa"/>
          </w:tcPr>
          <w:p w14:paraId="3A6D84EA">
            <w:pPr>
              <w:rPr>
                <w:color w:val="000000" w:themeColor="text1"/>
                <w:highlight w:val="none"/>
                <w14:textFill>
                  <w14:solidFill>
                    <w14:schemeClr w14:val="tx1"/>
                  </w14:solidFill>
                </w14:textFill>
              </w:rPr>
            </w:pPr>
          </w:p>
        </w:tc>
        <w:tc>
          <w:tcPr>
            <w:tcW w:w="7184" w:type="dxa"/>
          </w:tcPr>
          <w:p w14:paraId="2AB665B3">
            <w:pPr>
              <w:pStyle w:val="6"/>
              <w:rPr>
                <w:rFonts w:hint="eastAsia"/>
                <w:b/>
                <w:bCs/>
                <w:color w:val="000000" w:themeColor="text1"/>
                <w:highlight w:val="none"/>
                <w:lang w:val="en-US" w:eastAsia="zh-CN"/>
                <w14:textFill>
                  <w14:solidFill>
                    <w14:schemeClr w14:val="tx1"/>
                  </w14:solidFill>
                </w14:textFill>
              </w:rPr>
            </w:pPr>
            <w:r>
              <w:rPr>
                <w:rFonts w:hint="eastAsia"/>
                <w:b/>
                <w:bCs/>
                <w:color w:val="000000" w:themeColor="text1"/>
                <w:highlight w:val="none"/>
                <w:lang w:val="en-US" w:eastAsia="zh-CN"/>
                <w14:textFill>
                  <w14:solidFill>
                    <w14:schemeClr w14:val="tx1"/>
                  </w14:solidFill>
                </w14:textFill>
              </w:rPr>
              <w:t>1、建设背景</w:t>
            </w:r>
          </w:p>
          <w:p w14:paraId="5D442694">
            <w:pPr>
              <w:pStyle w:val="6"/>
              <w:ind w:firstLine="400" w:firstLineChars="200"/>
              <w:rPr>
                <w:color w:val="000000" w:themeColor="text1"/>
                <w:highlight w:val="none"/>
                <w14:textFill>
                  <w14:solidFill>
                    <w14:schemeClr w14:val="tx1"/>
                  </w14:solidFill>
                </w14:textFill>
              </w:rPr>
            </w:pPr>
            <w:r>
              <w:rPr>
                <w:color w:val="000000" w:themeColor="text1"/>
                <w:highlight w:val="none"/>
                <w:lang w:val="en-US" w:eastAsia="zh-CN"/>
                <w14:textFill>
                  <w14:solidFill>
                    <w14:schemeClr w14:val="tx1"/>
                  </w14:solidFill>
                </w14:textFill>
              </w:rPr>
              <w:t>随着高等教育数字化转型持续深化，学校治理体系与治理能力现代化建设进入关键阶段。当前，学校数据资源分散在教务、人事、科研、学生、招就、资产、财务等多个业务系统中，</w:t>
            </w:r>
            <w:r>
              <w:rPr>
                <w:rFonts w:hint="eastAsia"/>
                <w:color w:val="000000" w:themeColor="text1"/>
                <w:highlight w:val="none"/>
                <w:lang w:val="en-US" w:eastAsia="zh-CN"/>
                <w14:textFill>
                  <w14:solidFill>
                    <w14:schemeClr w14:val="tx1"/>
                  </w14:solidFill>
                </w14:textFill>
              </w:rPr>
              <w:t>目前已经通过学校数据资产平台完成了</w:t>
            </w:r>
            <w:r>
              <w:rPr>
                <w:color w:val="000000" w:themeColor="text1"/>
                <w:highlight w:val="none"/>
                <w:lang w:val="en-US" w:eastAsia="zh-CN"/>
                <w14:textFill>
                  <w14:solidFill>
                    <w14:schemeClr w14:val="tx1"/>
                  </w14:solidFill>
                </w14:textFill>
              </w:rPr>
              <w:t>数据标准</w:t>
            </w:r>
            <w:r>
              <w:rPr>
                <w:rFonts w:hint="eastAsia"/>
                <w:color w:val="000000" w:themeColor="text1"/>
                <w:highlight w:val="none"/>
                <w:lang w:val="en-US" w:eastAsia="zh-CN"/>
                <w14:textFill>
                  <w14:solidFill>
                    <w14:schemeClr w14:val="tx1"/>
                  </w14:solidFill>
                </w14:textFill>
              </w:rPr>
              <w:t>的</w:t>
            </w:r>
            <w:r>
              <w:rPr>
                <w:color w:val="000000" w:themeColor="text1"/>
                <w:highlight w:val="none"/>
                <w:lang w:val="en-US" w:eastAsia="zh-CN"/>
                <w14:textFill>
                  <w14:solidFill>
                    <w14:schemeClr w14:val="tx1"/>
                  </w14:solidFill>
                </w14:textFill>
              </w:rPr>
              <w:t>统一、</w:t>
            </w:r>
            <w:r>
              <w:rPr>
                <w:rFonts w:hint="eastAsia"/>
                <w:color w:val="000000" w:themeColor="text1"/>
                <w:highlight w:val="none"/>
                <w:lang w:val="en-US" w:eastAsia="zh-CN"/>
                <w14:textFill>
                  <w14:solidFill>
                    <w14:schemeClr w14:val="tx1"/>
                  </w14:solidFill>
                </w14:textFill>
              </w:rPr>
              <w:t>打破了</w:t>
            </w:r>
            <w:r>
              <w:rPr>
                <w:color w:val="000000" w:themeColor="text1"/>
                <w:highlight w:val="none"/>
                <w:lang w:val="en-US" w:eastAsia="zh-CN"/>
                <w14:textFill>
                  <w14:solidFill>
                    <w14:schemeClr w14:val="tx1"/>
                  </w14:solidFill>
                </w14:textFill>
              </w:rPr>
              <w:t>数据孤岛明显</w:t>
            </w:r>
            <w:r>
              <w:rPr>
                <w:rFonts w:hint="eastAsia"/>
                <w:color w:val="000000" w:themeColor="text1"/>
                <w:highlight w:val="none"/>
                <w:lang w:val="en-US" w:eastAsia="zh-CN"/>
                <w14:textFill>
                  <w14:solidFill>
                    <w14:schemeClr w14:val="tx1"/>
                  </w14:solidFill>
                </w14:textFill>
              </w:rPr>
              <w:t>，但是</w:t>
            </w:r>
            <w:r>
              <w:rPr>
                <w:color w:val="000000" w:themeColor="text1"/>
                <w:highlight w:val="none"/>
                <w:lang w:val="en-US" w:eastAsia="zh-CN"/>
                <w14:textFill>
                  <w14:solidFill>
                    <w14:schemeClr w14:val="tx1"/>
                  </w14:solidFill>
                </w14:textFill>
              </w:rPr>
              <w:t>数据质量</w:t>
            </w:r>
            <w:r>
              <w:rPr>
                <w:rFonts w:hint="eastAsia"/>
                <w:color w:val="000000" w:themeColor="text1"/>
                <w:highlight w:val="none"/>
                <w:lang w:val="en-US" w:eastAsia="zh-CN"/>
                <w14:textFill>
                  <w14:solidFill>
                    <w14:schemeClr w14:val="tx1"/>
                  </w14:solidFill>
                </w14:textFill>
              </w:rPr>
              <w:t>仍需进一步提升，</w:t>
            </w:r>
            <w:r>
              <w:rPr>
                <w:color w:val="000000" w:themeColor="text1"/>
                <w:highlight w:val="none"/>
                <w:lang w:val="en-US" w:eastAsia="zh-CN"/>
                <w14:textFill>
                  <w14:solidFill>
                    <w14:schemeClr w14:val="tx1"/>
                  </w14:solidFill>
                </w14:textFill>
              </w:rPr>
              <w:t>数据价值</w:t>
            </w:r>
            <w:r>
              <w:rPr>
                <w:rFonts w:hint="eastAsia"/>
                <w:color w:val="000000" w:themeColor="text1"/>
                <w:highlight w:val="none"/>
                <w:lang w:val="en-US" w:eastAsia="zh-CN"/>
                <w14:textFill>
                  <w14:solidFill>
                    <w14:schemeClr w14:val="tx1"/>
                  </w14:solidFill>
                </w14:textFill>
              </w:rPr>
              <w:t>仍</w:t>
            </w:r>
            <w:r>
              <w:rPr>
                <w:color w:val="000000" w:themeColor="text1"/>
                <w:highlight w:val="none"/>
                <w:lang w:val="en-US" w:eastAsia="zh-CN"/>
                <w14:textFill>
                  <w14:solidFill>
                    <w14:schemeClr w14:val="tx1"/>
                  </w14:solidFill>
                </w14:textFill>
              </w:rPr>
              <w:t>未充分释放</w:t>
            </w:r>
            <w:r>
              <w:rPr>
                <w:rFonts w:hint="eastAsia"/>
                <w:color w:val="000000" w:themeColor="text1"/>
                <w:highlight w:val="none"/>
                <w:lang w:val="en-US" w:eastAsia="zh-CN"/>
                <w14:textFill>
                  <w14:solidFill>
                    <w14:schemeClr w14:val="tx1"/>
                  </w14:solidFill>
                </w14:textFill>
              </w:rPr>
              <w:t>，存在重复录入，</w:t>
            </w:r>
            <w:r>
              <w:rPr>
                <w:color w:val="000000" w:themeColor="text1"/>
                <w:highlight w:val="none"/>
                <w:lang w:val="en-US" w:eastAsia="zh-CN"/>
                <w14:textFill>
                  <w14:solidFill>
                    <w14:schemeClr w14:val="tx1"/>
                  </w14:solidFill>
                </w14:textFill>
              </w:rPr>
              <w:t>管理决策缺乏直观</w:t>
            </w:r>
            <w:r>
              <w:rPr>
                <w:rFonts w:hint="eastAsia"/>
                <w:color w:val="000000" w:themeColor="text1"/>
                <w:highlight w:val="none"/>
                <w:lang w:val="en-US" w:eastAsia="zh-CN"/>
                <w14:textFill>
                  <w14:solidFill>
                    <w14:schemeClr w14:val="tx1"/>
                  </w14:solidFill>
                </w14:textFill>
              </w:rPr>
              <w:t>的</w:t>
            </w:r>
            <w:r>
              <w:rPr>
                <w:color w:val="000000" w:themeColor="text1"/>
                <w:highlight w:val="none"/>
                <w:lang w:val="en-US" w:eastAsia="zh-CN"/>
                <w14:textFill>
                  <w14:solidFill>
                    <w14:schemeClr w14:val="tx1"/>
                  </w14:solidFill>
                </w14:textFill>
              </w:rPr>
              <w:t>数据支撑，制约了学校治理效能提升和二级学院精细化管理水平。</w:t>
            </w:r>
          </w:p>
          <w:p w14:paraId="0BB228A1">
            <w:pPr>
              <w:pStyle w:val="6"/>
              <w:ind w:firstLine="400" w:firstLineChars="200"/>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同时</w:t>
            </w:r>
            <w:r>
              <w:rPr>
                <w:color w:val="000000" w:themeColor="text1"/>
                <w:highlight w:val="none"/>
                <w:lang w:val="en-US" w:eastAsia="zh-CN"/>
                <w14:textFill>
                  <w14:solidFill>
                    <w14:schemeClr w14:val="tx1"/>
                  </w14:solidFill>
                </w14:textFill>
              </w:rPr>
              <w:t>二级学院作为人才培养、科学研究、社会服务的主体单位，日常管理涉及师资、教学、科研、学生、公共事务等大量业务，缺乏统一的数据入口、可视化管理看板、数据采集与治理能力，导致学院管理依赖人工统计、数据更新滞后、分析手段薄弱、决策支撑不足</w:t>
            </w:r>
            <w:r>
              <w:rPr>
                <w:rFonts w:hint="eastAsia"/>
                <w:color w:val="000000" w:themeColor="text1"/>
                <w:highlight w:val="none"/>
                <w:lang w:val="en-US" w:eastAsia="zh-CN"/>
                <w14:textFill>
                  <w14:solidFill>
                    <w14:schemeClr w14:val="tx1"/>
                  </w14:solidFill>
                </w14:textFill>
              </w:rPr>
              <w:t>；二级部门存在数据零散，数据应用不足、数据重复填报，</w:t>
            </w:r>
            <w:r>
              <w:rPr>
                <w:color w:val="000000" w:themeColor="text1"/>
                <w:highlight w:val="none"/>
                <w:lang w:val="en-US" w:eastAsia="zh-CN"/>
                <w14:textFill>
                  <w14:solidFill>
                    <w14:schemeClr w14:val="tx1"/>
                  </w14:solidFill>
                </w14:textFill>
              </w:rPr>
              <w:t>难以适应新时代医学院校高质量发展要求。</w:t>
            </w:r>
            <w:r>
              <w:rPr>
                <w:rFonts w:hint="eastAsia"/>
                <w:color w:val="000000" w:themeColor="text1"/>
                <w:highlight w:val="none"/>
                <w:lang w:val="en-US" w:eastAsia="zh-CN"/>
                <w14:textFill>
                  <w14:solidFill>
                    <w14:schemeClr w14:val="tx1"/>
                  </w14:solidFill>
                </w14:textFill>
              </w:rPr>
              <w:t>因此急需进一步推进数据治理和应用服务建设。</w:t>
            </w:r>
          </w:p>
          <w:p w14:paraId="217BDCC7">
            <w:pPr>
              <w:pStyle w:val="6"/>
              <w:rPr>
                <w:rFonts w:hint="eastAsia"/>
                <w:b/>
                <w:bCs/>
                <w:color w:val="000000" w:themeColor="text1"/>
                <w:highlight w:val="none"/>
                <w:lang w:val="en-US" w:eastAsia="zh-CN"/>
                <w14:textFill>
                  <w14:solidFill>
                    <w14:schemeClr w14:val="tx1"/>
                  </w14:solidFill>
                </w14:textFill>
              </w:rPr>
            </w:pPr>
            <w:r>
              <w:rPr>
                <w:rFonts w:hint="eastAsia"/>
                <w:b/>
                <w:bCs/>
                <w:color w:val="000000" w:themeColor="text1"/>
                <w:highlight w:val="none"/>
                <w:lang w:val="en-US" w:eastAsia="zh-CN"/>
                <w14:textFill>
                  <w14:solidFill>
                    <w14:schemeClr w14:val="tx1"/>
                  </w14:solidFill>
                </w14:textFill>
              </w:rPr>
              <w:t>2、建设目标</w:t>
            </w:r>
          </w:p>
          <w:p w14:paraId="7966ED4D">
            <w:pPr>
              <w:pStyle w:val="6"/>
              <w:ind w:firstLine="400" w:firstLineChars="200"/>
              <w:rPr>
                <w:rFonts w:hint="eastAsia"/>
                <w:color w:val="000000" w:themeColor="text1"/>
                <w:highlight w:val="none"/>
                <w:lang w:val="en-US" w:eastAsia="zh-CN"/>
                <w14:textFill>
                  <w14:solidFill>
                    <w14:schemeClr w14:val="tx1"/>
                  </w14:solidFill>
                </w14:textFill>
              </w:rPr>
            </w:pPr>
            <w:r>
              <w:rPr>
                <w:color w:val="000000" w:themeColor="text1"/>
                <w:highlight w:val="none"/>
                <w:lang w:val="en-US" w:eastAsia="zh-CN"/>
                <w14:textFill>
                  <w14:solidFill>
                    <w14:schemeClr w14:val="tx1"/>
                  </w14:solidFill>
                </w14:textFill>
              </w:rPr>
              <w:t>为全面贯彻国家教育数字化战略，落实学校数字化校园建设总体部署，进一步打通数据壁垒、规范数据标准、提升数据质量、强化数据赋能，</w:t>
            </w:r>
            <w:r>
              <w:rPr>
                <w:color w:val="000000" w:themeColor="text1"/>
                <w:highlight w:val="none"/>
                <w14:textFill>
                  <w14:solidFill>
                    <w14:schemeClr w14:val="tx1"/>
                  </w14:solidFill>
                </w14:textFill>
              </w:rPr>
              <w:t>以数据融合共享、治理提质增效、赋能教学科研、支撑精准决策为核心，建设一套覆盖校级、部门级、学院级的一体化数据治理与可视化决策平台，</w:t>
            </w:r>
            <w:r>
              <w:rPr>
                <w:rFonts w:hint="eastAsia"/>
                <w:color w:val="000000" w:themeColor="text1"/>
                <w:highlight w:val="none"/>
                <w:lang w:val="en-US" w:eastAsia="zh-CN"/>
                <w14:textFill>
                  <w14:solidFill>
                    <w14:schemeClr w14:val="tx1"/>
                  </w14:solidFill>
                </w14:textFill>
              </w:rPr>
              <w:t>同时</w:t>
            </w:r>
            <w:r>
              <w:rPr>
                <w:color w:val="000000" w:themeColor="text1"/>
                <w:highlight w:val="none"/>
                <w14:textFill>
                  <w14:solidFill>
                    <w14:schemeClr w14:val="tx1"/>
                  </w14:solidFill>
                </w14:textFill>
              </w:rPr>
              <w:t>整合公共事务采集、</w:t>
            </w:r>
            <w:r>
              <w:rPr>
                <w:rFonts w:hint="eastAsia"/>
                <w:color w:val="000000" w:themeColor="text1"/>
                <w:highlight w:val="none"/>
                <w:lang w:val="en-US" w:eastAsia="zh-CN"/>
                <w14:textFill>
                  <w14:solidFill>
                    <w14:schemeClr w14:val="tx1"/>
                  </w14:solidFill>
                </w14:textFill>
              </w:rPr>
              <w:t>学院服务、</w:t>
            </w:r>
            <w:r>
              <w:rPr>
                <w:color w:val="000000" w:themeColor="text1"/>
                <w:highlight w:val="none"/>
                <w14:textFill>
                  <w14:solidFill>
                    <w14:schemeClr w14:val="tx1"/>
                  </w14:solidFill>
                </w14:textFill>
              </w:rPr>
              <w:t>数据中心、驾驶舱、学校公共服务等功能，构建二级学院专属门户；为院领导、教师、管理人员提供一站式、一体化、个性化的服务入口，提升协同办公效率与服务体验。</w:t>
            </w:r>
            <w:r>
              <w:rPr>
                <w:rFonts w:hint="eastAsia"/>
                <w:color w:val="000000" w:themeColor="text1"/>
                <w:highlight w:val="none"/>
                <w:lang w:val="en-US" w:eastAsia="zh-CN"/>
                <w14:textFill>
                  <w14:solidFill>
                    <w14:schemeClr w14:val="tx1"/>
                  </w14:solidFill>
                </w14:textFill>
              </w:rPr>
              <w:t>最终</w:t>
            </w:r>
            <w:r>
              <w:rPr>
                <w:rFonts w:hint="eastAsia"/>
                <w:color w:val="000000" w:themeColor="text1"/>
                <w:highlight w:val="none"/>
                <w14:textFill>
                  <w14:solidFill>
                    <w14:schemeClr w14:val="tx1"/>
                  </w14:solidFill>
                </w14:textFill>
              </w:rPr>
              <w:t>实现学校数据资产化、管理精细化、决策科学化、服务智能化，全面提升学校数字化治理水平与二级学院</w:t>
            </w:r>
            <w:r>
              <w:rPr>
                <w:rFonts w:hint="eastAsia"/>
                <w:color w:val="000000" w:themeColor="text1"/>
                <w:highlight w:val="none"/>
                <w:lang w:val="en-US" w:eastAsia="zh-CN"/>
                <w14:textFill>
                  <w14:solidFill>
                    <w14:schemeClr w14:val="tx1"/>
                  </w14:solidFill>
                </w14:textFill>
              </w:rPr>
              <w:t>及部门</w:t>
            </w:r>
            <w:r>
              <w:rPr>
                <w:rFonts w:hint="eastAsia"/>
                <w:color w:val="000000" w:themeColor="text1"/>
                <w:highlight w:val="none"/>
                <w14:textFill>
                  <w14:solidFill>
                    <w14:schemeClr w14:val="tx1"/>
                  </w14:solidFill>
                </w14:textFill>
              </w:rPr>
              <w:t>管理效能。</w:t>
            </w:r>
            <w:r>
              <w:rPr>
                <w:rFonts w:hint="eastAsia"/>
                <w:color w:val="000000" w:themeColor="text1"/>
                <w:highlight w:val="none"/>
                <w:lang w:val="en-US" w:eastAsia="zh-CN"/>
                <w14:textFill>
                  <w14:solidFill>
                    <w14:schemeClr w14:val="tx1"/>
                  </w14:solidFill>
                </w14:textFill>
              </w:rPr>
              <w:t>为学校后期绩效考核、线上职称评审等提供数据支撑。</w:t>
            </w:r>
          </w:p>
          <w:p w14:paraId="54317A52">
            <w:pPr>
              <w:pStyle w:val="6"/>
              <w:rPr>
                <w:rFonts w:hint="eastAsia"/>
                <w:b/>
                <w:bCs/>
                <w:color w:val="000000" w:themeColor="text1"/>
                <w:highlight w:val="none"/>
                <w:lang w:val="en-US" w:eastAsia="zh-CN"/>
                <w14:textFill>
                  <w14:solidFill>
                    <w14:schemeClr w14:val="tx1"/>
                  </w14:solidFill>
                </w14:textFill>
              </w:rPr>
            </w:pPr>
            <w:r>
              <w:rPr>
                <w:rFonts w:hint="eastAsia"/>
                <w:b/>
                <w:bCs/>
                <w:color w:val="000000" w:themeColor="text1"/>
                <w:highlight w:val="none"/>
                <w:lang w:val="en-US" w:eastAsia="zh-CN"/>
                <w14:textFill>
                  <w14:solidFill>
                    <w14:schemeClr w14:val="tx1"/>
                  </w14:solidFill>
                </w14:textFill>
              </w:rPr>
              <w:t>3、技术要求</w:t>
            </w:r>
          </w:p>
          <w:p w14:paraId="7FF6B597">
            <w:pPr>
              <w:pStyle w:val="6"/>
              <w:ind w:firstLine="400" w:firstLineChars="200"/>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1.本次项目建设的平台可运行于Linux、Unix、Windows等操作系统或国产化操作系统。</w:t>
            </w:r>
          </w:p>
          <w:p w14:paraId="6F0B04CB">
            <w:pPr>
              <w:pStyle w:val="6"/>
              <w:ind w:firstLine="400" w:firstLineChars="200"/>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2.本次项目建设的平台要求采用B/S结构，且平台可国产化数据库。</w:t>
            </w:r>
          </w:p>
          <w:p w14:paraId="24BCCDB4">
            <w:pPr>
              <w:pStyle w:val="6"/>
              <w:ind w:firstLine="400" w:firstLineChars="200"/>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3.采用面向对象的组件技术，着重于开发构成应用程序“业务对象”的可重复使用的组件，利用这些组件顺利地建立分布式应用程序。</w:t>
            </w:r>
          </w:p>
          <w:p w14:paraId="7A678131">
            <w:pPr>
              <w:pStyle w:val="6"/>
              <w:ind w:firstLine="400" w:firstLineChars="200"/>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4.应用程序开发与运行结构要基于统一的技术开发平台的三层架构，即Web服务器、应用支撑服务器和数据库服务器。</w:t>
            </w:r>
          </w:p>
          <w:p w14:paraId="5F79AD0C">
            <w:pPr>
              <w:pStyle w:val="6"/>
              <w:ind w:firstLine="400" w:firstLineChars="200"/>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5.能完成跨业务部门的业务流程和相对应的细颗粒度的分级授权体系。</w:t>
            </w:r>
          </w:p>
          <w:p w14:paraId="089019CA">
            <w:pPr>
              <w:pStyle w:val="6"/>
              <w:ind w:firstLine="400" w:firstLineChars="200"/>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6.系统必须支持负载均衡，支持动态监测负载状况，自动对可用资源进行并发检测，调整和分配等功能。</w:t>
            </w:r>
          </w:p>
          <w:p w14:paraId="6D652A13">
            <w:pPr>
              <w:pStyle w:val="6"/>
              <w:ind w:firstLine="400" w:firstLineChars="200"/>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7.本次项目中AI算力服务需配合学校完成AI算力接口的对接，所有算力服务由学校统一提供，若供应商提供的AI服务无法适配学校提供的算力服务接口时，由供应商自行承担服务期内算力服务费用。</w:t>
            </w:r>
          </w:p>
          <w:p w14:paraId="0B66F295">
            <w:pPr>
              <w:pStyle w:val="6"/>
              <w:jc w:val="both"/>
              <w:rPr>
                <w:rFonts w:hint="eastAsia" w:eastAsiaTheme="minorEastAsia"/>
                <w:b/>
                <w:bCs/>
                <w:color w:val="000000" w:themeColor="text1"/>
                <w:highlight w:val="none"/>
                <w:lang w:val="en-US" w:eastAsia="zh-CN"/>
                <w14:textFill>
                  <w14:solidFill>
                    <w14:schemeClr w14:val="tx1"/>
                  </w14:solidFill>
                </w14:textFill>
              </w:rPr>
            </w:pPr>
            <w:r>
              <w:rPr>
                <w:rFonts w:hint="eastAsia"/>
                <w:b/>
                <w:bCs/>
                <w:color w:val="000000" w:themeColor="text1"/>
                <w:highlight w:val="none"/>
                <w:lang w:val="en-US" w:eastAsia="zh-CN"/>
                <w14:textFill>
                  <w14:solidFill>
                    <w14:schemeClr w14:val="tx1"/>
                  </w14:solidFill>
                </w14:textFill>
              </w:rPr>
              <w:t>4、</w:t>
            </w:r>
            <w:r>
              <w:rPr>
                <w:rFonts w:hint="eastAsia" w:eastAsiaTheme="minorEastAsia"/>
                <w:b/>
                <w:bCs/>
                <w:color w:val="000000" w:themeColor="text1"/>
                <w:highlight w:val="none"/>
                <w:lang w:val="en-US" w:eastAsia="zh-CN"/>
                <w14:textFill>
                  <w14:solidFill>
                    <w14:schemeClr w14:val="tx1"/>
                  </w14:solidFill>
                </w14:textFill>
              </w:rPr>
              <w:t>安全要求</w:t>
            </w:r>
          </w:p>
          <w:p w14:paraId="5CCE654E">
            <w:pPr>
              <w:pStyle w:val="6"/>
              <w:ind w:firstLine="400" w:firstLineChars="200"/>
              <w:jc w:val="both"/>
              <w:rPr>
                <w:rFonts w:hint="eastAsia" w:eastAsiaTheme="minorEastAsia"/>
                <w:color w:val="000000" w:themeColor="text1"/>
                <w:highlight w:val="none"/>
                <w:lang w:val="en-US" w:eastAsia="zh-CN"/>
                <w14:textFill>
                  <w14:solidFill>
                    <w14:schemeClr w14:val="tx1"/>
                  </w14:solidFill>
                </w14:textFill>
              </w:rPr>
            </w:pPr>
            <w:r>
              <w:rPr>
                <w:rFonts w:hint="eastAsia" w:eastAsiaTheme="minorEastAsia"/>
                <w:color w:val="000000" w:themeColor="text1"/>
                <w:highlight w:val="none"/>
                <w:lang w:val="en-US" w:eastAsia="zh-CN"/>
                <w14:textFill>
                  <w14:solidFill>
                    <w14:schemeClr w14:val="tx1"/>
                  </w14:solidFill>
                </w14:textFill>
              </w:rPr>
              <w:t>1.身份鉴别：对登录的用户进行身份标识和鉴别，身份标识具有唯一性,身份鉴别信息具有复杂度要求,具有登录失败处理功能，同时配置并启用结束会话、限制非法登录次数和当登录连接超时自动退出等相关措施。</w:t>
            </w:r>
          </w:p>
          <w:p w14:paraId="090A5C5F">
            <w:pPr>
              <w:pStyle w:val="6"/>
              <w:ind w:firstLine="400" w:firstLineChars="200"/>
              <w:jc w:val="both"/>
              <w:rPr>
                <w:rFonts w:hint="eastAsia" w:eastAsiaTheme="minorEastAsia"/>
                <w:color w:val="000000" w:themeColor="text1"/>
                <w:highlight w:val="none"/>
                <w:lang w:val="en-US" w:eastAsia="zh-CN"/>
                <w14:textFill>
                  <w14:solidFill>
                    <w14:schemeClr w14:val="tx1"/>
                  </w14:solidFill>
                </w14:textFill>
              </w:rPr>
            </w:pPr>
            <w:r>
              <w:rPr>
                <w:rFonts w:hint="eastAsia" w:eastAsiaTheme="minorEastAsia"/>
                <w:color w:val="000000" w:themeColor="text1"/>
                <w:highlight w:val="none"/>
                <w:lang w:val="en-US" w:eastAsia="zh-CN"/>
                <w14:textFill>
                  <w14:solidFill>
                    <w14:schemeClr w14:val="tx1"/>
                  </w14:solidFill>
                </w14:textFill>
              </w:rPr>
              <w:t>2.访问控制：能对登录的用户分配账户和权限，能授予管理用户所需的最小权限，同时系统能实现管理用户的权限分离，能由授权主体配置访问控制策略，访问控制策略规定主体对客体的访问规则。</w:t>
            </w:r>
          </w:p>
          <w:p w14:paraId="5210EAB0">
            <w:pPr>
              <w:pStyle w:val="6"/>
              <w:ind w:firstLine="400" w:firstLineChars="200"/>
              <w:jc w:val="both"/>
              <w:rPr>
                <w:rFonts w:hint="eastAsia" w:eastAsiaTheme="minorEastAsia"/>
                <w:color w:val="000000" w:themeColor="text1"/>
                <w:highlight w:val="none"/>
                <w:lang w:val="en-US" w:eastAsia="zh-CN"/>
                <w14:textFill>
                  <w14:solidFill>
                    <w14:schemeClr w14:val="tx1"/>
                  </w14:solidFill>
                </w14:textFill>
              </w:rPr>
            </w:pPr>
            <w:r>
              <w:rPr>
                <w:rFonts w:hint="eastAsia" w:eastAsiaTheme="minorEastAsia"/>
                <w:color w:val="000000" w:themeColor="text1"/>
                <w:highlight w:val="none"/>
                <w:lang w:val="en-US" w:eastAsia="zh-CN"/>
                <w14:textFill>
                  <w14:solidFill>
                    <w14:schemeClr w14:val="tx1"/>
                  </w14:solidFill>
                </w14:textFill>
              </w:rPr>
              <w:t>3.入侵防范：提供数据有效性检验功能，保证通过人机接口输入或通过通信接口输入的内容符合系统设定要求，可通过限制网络地址范围等方式对行管理的终端进行限制；</w:t>
            </w:r>
          </w:p>
          <w:p w14:paraId="14C7216B">
            <w:pPr>
              <w:pStyle w:val="6"/>
              <w:ind w:firstLine="400" w:firstLineChars="200"/>
              <w:jc w:val="both"/>
              <w:rPr>
                <w:rFonts w:hint="eastAsia" w:eastAsiaTheme="minorEastAsia"/>
                <w:color w:val="000000" w:themeColor="text1"/>
                <w:highlight w:val="none"/>
                <w:lang w:val="en-US" w:eastAsia="zh-CN"/>
                <w14:textFill>
                  <w14:solidFill>
                    <w14:schemeClr w14:val="tx1"/>
                  </w14:solidFill>
                </w14:textFill>
              </w:rPr>
            </w:pPr>
            <w:r>
              <w:rPr>
                <w:rFonts w:hint="eastAsia" w:eastAsiaTheme="minorEastAsia"/>
                <w:color w:val="000000" w:themeColor="text1"/>
                <w:highlight w:val="none"/>
                <w:lang w:val="en-US" w:eastAsia="zh-CN"/>
                <w14:textFill>
                  <w14:solidFill>
                    <w14:schemeClr w14:val="tx1"/>
                  </w14:solidFill>
                </w14:textFill>
              </w:rPr>
              <w:t>4.安全审计：启用安全审计功能，审计覆盖到每个用户，对重要的用户行为和重要安全事件进行审计；能对审计记录进行保护，定期备份，避免受到未预期的删除、修改或覆盖等；</w:t>
            </w:r>
          </w:p>
          <w:p w14:paraId="599D0CD9">
            <w:pPr>
              <w:pStyle w:val="6"/>
              <w:ind w:firstLine="400" w:firstLineChars="200"/>
              <w:jc w:val="both"/>
              <w:rPr>
                <w:rFonts w:hint="eastAsia" w:eastAsiaTheme="minorEastAsia"/>
                <w:color w:val="000000" w:themeColor="text1"/>
                <w:highlight w:val="none"/>
                <w:lang w:val="en-US" w:eastAsia="zh-CN"/>
                <w14:textFill>
                  <w14:solidFill>
                    <w14:schemeClr w14:val="tx1"/>
                  </w14:solidFill>
                </w14:textFill>
              </w:rPr>
            </w:pPr>
            <w:r>
              <w:rPr>
                <w:rFonts w:hint="eastAsia" w:eastAsiaTheme="minorEastAsia"/>
                <w:color w:val="000000" w:themeColor="text1"/>
                <w:highlight w:val="none"/>
                <w:lang w:val="en-US" w:eastAsia="zh-CN"/>
                <w14:textFill>
                  <w14:solidFill>
                    <w14:schemeClr w14:val="tx1"/>
                  </w14:solidFill>
                </w14:textFill>
              </w:rPr>
              <w:t>5.数据安全存储：对授权收集到的敏感信息，采取去标识化、关键字段加密安全存储措施；</w:t>
            </w:r>
          </w:p>
          <w:p w14:paraId="5F4D4679">
            <w:pPr>
              <w:pStyle w:val="6"/>
              <w:ind w:firstLine="400" w:firstLineChars="200"/>
              <w:jc w:val="both"/>
              <w:rPr>
                <w:rFonts w:hint="eastAsia" w:eastAsiaTheme="minorEastAsia"/>
                <w:color w:val="000000" w:themeColor="text1"/>
                <w:highlight w:val="none"/>
                <w:lang w:val="en-US" w:eastAsia="zh-CN"/>
                <w14:textFill>
                  <w14:solidFill>
                    <w14:schemeClr w14:val="tx1"/>
                  </w14:solidFill>
                </w14:textFill>
              </w:rPr>
            </w:pPr>
            <w:r>
              <w:rPr>
                <w:rFonts w:hint="eastAsia" w:eastAsiaTheme="minorEastAsia"/>
                <w:color w:val="000000" w:themeColor="text1"/>
                <w:highlight w:val="none"/>
                <w:lang w:val="en-US" w:eastAsia="zh-CN"/>
                <w14:textFill>
                  <w14:solidFill>
                    <w14:schemeClr w14:val="tx1"/>
                  </w14:solidFill>
                </w14:textFill>
              </w:rPr>
              <w:t>6.数据加密传输：在跨安全域或通过互联网传输敏感信息时，采用加密传输措施；</w:t>
            </w:r>
          </w:p>
          <w:p w14:paraId="736B1379">
            <w:pPr>
              <w:pStyle w:val="6"/>
              <w:ind w:firstLine="400" w:firstLineChars="200"/>
              <w:jc w:val="both"/>
              <w:rPr>
                <w:rFonts w:hint="eastAsia" w:eastAsiaTheme="minorEastAsia"/>
                <w:color w:val="000000" w:themeColor="text1"/>
                <w:highlight w:val="none"/>
                <w:lang w:val="en-US" w:eastAsia="zh-CN"/>
                <w14:textFill>
                  <w14:solidFill>
                    <w14:schemeClr w14:val="tx1"/>
                  </w14:solidFill>
                </w14:textFill>
              </w:rPr>
            </w:pPr>
            <w:r>
              <w:rPr>
                <w:rFonts w:hint="eastAsia" w:eastAsiaTheme="minorEastAsia"/>
                <w:color w:val="000000" w:themeColor="text1"/>
                <w:highlight w:val="none"/>
                <w:lang w:val="en-US" w:eastAsia="zh-CN"/>
                <w14:textFill>
                  <w14:solidFill>
                    <w14:schemeClr w14:val="tx1"/>
                  </w14:solidFill>
                </w14:textFill>
              </w:rPr>
              <w:t>7.敏感信息处理：在用户端显示敏感信息时，采取脱敏等技术手段防止未授权人员获取敏感信息，各类数据处理场景中数据脱敏不存在伪脱敏和弱脱敏等脱敏失效等情况。</w:t>
            </w:r>
          </w:p>
          <w:p w14:paraId="09106C19">
            <w:pPr>
              <w:pStyle w:val="6"/>
              <w:ind w:firstLine="400" w:firstLineChars="200"/>
              <w:rPr>
                <w:rFonts w:hint="eastAsia"/>
                <w:color w:val="000000" w:themeColor="text1"/>
                <w:highlight w:val="none"/>
                <w:lang w:val="en-US" w:eastAsia="zh-CN"/>
                <w14:textFill>
                  <w14:solidFill>
                    <w14:schemeClr w14:val="tx1"/>
                  </w14:solidFill>
                </w14:textFill>
              </w:rPr>
            </w:pPr>
            <w:r>
              <w:rPr>
                <w:rFonts w:hint="eastAsia" w:eastAsiaTheme="minorEastAsia"/>
                <w:color w:val="000000" w:themeColor="text1"/>
                <w:highlight w:val="none"/>
                <w:lang w:val="en-US" w:eastAsia="zh-CN"/>
                <w14:textFill>
                  <w14:solidFill>
                    <w14:schemeClr w14:val="tx1"/>
                  </w14:solidFill>
                </w14:textFill>
              </w:rPr>
              <w:t>8.配合学校完成等保测评的相关技术支撑。</w:t>
            </w:r>
          </w:p>
        </w:tc>
      </w:tr>
      <w:tr w14:paraId="2156634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61" w:type="dxa"/>
          </w:tcPr>
          <w:p w14:paraId="23A55A55">
            <w:pPr>
              <w:pStyle w:val="6"/>
              <w:rPr>
                <w:rFonts w:hint="eastAsia" w:ascii="仿宋_GB2312" w:hAnsi="仿宋_GB2312" w:eastAsia="仿宋_GB2312" w:cs="仿宋_GB2312"/>
                <w:color w:val="000000" w:themeColor="text1"/>
                <w:highlight w:val="none"/>
                <w:lang w:val="en-US" w:eastAsia="zh-CN"/>
                <w14:textFill>
                  <w14:solidFill>
                    <w14:schemeClr w14:val="tx1"/>
                  </w14:solidFill>
                </w14:textFill>
              </w:rPr>
            </w:pPr>
            <w:r>
              <w:rPr>
                <w:rFonts w:hint="eastAsia" w:ascii="仿宋_GB2312" w:hAnsi="仿宋_GB2312" w:eastAsia="仿宋_GB2312" w:cs="仿宋_GB2312"/>
                <w:color w:val="000000" w:themeColor="text1"/>
                <w:highlight w:val="none"/>
                <w:lang w:val="en-US" w:eastAsia="zh-CN"/>
                <w14:textFill>
                  <w14:solidFill>
                    <w14:schemeClr w14:val="tx1"/>
                  </w14:solidFill>
                </w14:textFill>
              </w:rPr>
              <w:t>2</w:t>
            </w:r>
          </w:p>
        </w:tc>
        <w:tc>
          <w:tcPr>
            <w:tcW w:w="777" w:type="dxa"/>
          </w:tcPr>
          <w:p w14:paraId="264A6CFA">
            <w:pPr>
              <w:rPr>
                <w:color w:val="000000" w:themeColor="text1"/>
                <w:highlight w:val="none"/>
                <w14:textFill>
                  <w14:solidFill>
                    <w14:schemeClr w14:val="tx1"/>
                  </w14:solidFill>
                </w14:textFill>
              </w:rPr>
            </w:pPr>
          </w:p>
        </w:tc>
        <w:tc>
          <w:tcPr>
            <w:tcW w:w="7184" w:type="dxa"/>
          </w:tcPr>
          <w:p w14:paraId="09D05909">
            <w:pPr>
              <w:pStyle w:val="6"/>
              <w:ind w:firstLine="400" w:firstLineChars="200"/>
              <w:rPr>
                <w:rFonts w:hint="eastAsia" w:eastAsiaTheme="minorEastAsia"/>
                <w:color w:val="000000" w:themeColor="text1"/>
                <w:highlight w:val="none"/>
                <w:lang w:val="en-US" w:eastAsia="zh-CN"/>
                <w14:textFill>
                  <w14:solidFill>
                    <w14:schemeClr w14:val="tx1"/>
                  </w14:solidFill>
                </w14:textFill>
              </w:rPr>
            </w:pPr>
            <w:r>
              <w:rPr>
                <w:rFonts w:hint="eastAsia" w:eastAsiaTheme="minorEastAsia"/>
                <w:color w:val="000000" w:themeColor="text1"/>
                <w:highlight w:val="none"/>
                <w:lang w:val="en-US" w:eastAsia="zh-CN"/>
                <w14:textFill>
                  <w14:solidFill>
                    <w14:schemeClr w14:val="tx1"/>
                  </w14:solidFill>
                </w14:textFill>
              </w:rPr>
              <w:t>▲9.实现数据的安全管理，需提供中国信通院颁发的数据安全管理能力评估报告。</w:t>
            </w:r>
          </w:p>
        </w:tc>
      </w:tr>
      <w:tr w14:paraId="6A6282C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61" w:type="dxa"/>
          </w:tcPr>
          <w:p w14:paraId="60DE6A66">
            <w:pPr>
              <w:pStyle w:val="6"/>
              <w:rPr>
                <w:rFonts w:hint="eastAsia" w:eastAsiaTheme="minorEastAsia"/>
                <w:color w:val="000000" w:themeColor="text1"/>
                <w:highlight w:val="none"/>
                <w:lang w:eastAsia="zh-CN"/>
                <w14:textFill>
                  <w14:solidFill>
                    <w14:schemeClr w14:val="tx1"/>
                  </w14:solidFill>
                </w14:textFill>
              </w:rPr>
            </w:pPr>
            <w:r>
              <w:rPr>
                <w:rFonts w:hint="eastAsia" w:ascii="仿宋_GB2312" w:hAnsi="仿宋_GB2312" w:eastAsia="仿宋_GB2312" w:cs="仿宋_GB2312"/>
                <w:color w:val="000000" w:themeColor="text1"/>
                <w:highlight w:val="none"/>
                <w:lang w:val="en-US" w:eastAsia="zh-CN"/>
                <w14:textFill>
                  <w14:solidFill>
                    <w14:schemeClr w14:val="tx1"/>
                  </w14:solidFill>
                </w14:textFill>
              </w:rPr>
              <w:t>3</w:t>
            </w:r>
          </w:p>
        </w:tc>
        <w:tc>
          <w:tcPr>
            <w:tcW w:w="777" w:type="dxa"/>
          </w:tcPr>
          <w:p w14:paraId="37D6FEC1">
            <w:pPr>
              <w:rPr>
                <w:color w:val="000000" w:themeColor="text1"/>
                <w:highlight w:val="none"/>
                <w14:textFill>
                  <w14:solidFill>
                    <w14:schemeClr w14:val="tx1"/>
                  </w14:solidFill>
                </w14:textFill>
              </w:rPr>
            </w:pPr>
          </w:p>
        </w:tc>
        <w:tc>
          <w:tcPr>
            <w:tcW w:w="7184" w:type="dxa"/>
          </w:tcPr>
          <w:p w14:paraId="673FD76F">
            <w:pPr>
              <w:pStyle w:val="6"/>
              <w:numPr>
                <w:ilvl w:val="0"/>
                <w:numId w:val="0"/>
              </w:numPr>
              <w:jc w:val="both"/>
              <w:rPr>
                <w:rFonts w:hint="eastAsia"/>
                <w:b/>
                <w:bCs/>
                <w:color w:val="000000" w:themeColor="text1"/>
                <w:highlight w:val="none"/>
                <w:lang w:val="en-US" w:eastAsia="zh-CN"/>
                <w14:textFill>
                  <w14:solidFill>
                    <w14:schemeClr w14:val="tx1"/>
                  </w14:solidFill>
                </w14:textFill>
              </w:rPr>
            </w:pPr>
            <w:r>
              <w:rPr>
                <w:rFonts w:hint="eastAsia" w:asciiTheme="minorHAnsi" w:hAnsiTheme="minorHAnsi" w:eastAsiaTheme="minorEastAsia" w:cstheme="minorBidi"/>
                <w:b/>
                <w:bCs/>
                <w:color w:val="000000" w:themeColor="text1"/>
                <w:highlight w:val="none"/>
                <w:lang w:val="en-US" w:eastAsia="zh-CN"/>
                <w14:textFill>
                  <w14:solidFill>
                    <w14:schemeClr w14:val="tx1"/>
                  </w14:solidFill>
                </w14:textFill>
              </w:rPr>
              <w:t>5、</w:t>
            </w:r>
            <w:r>
              <w:rPr>
                <w:rFonts w:hint="eastAsia"/>
                <w:b/>
                <w:bCs/>
                <w:color w:val="000000" w:themeColor="text1"/>
                <w:highlight w:val="none"/>
                <w:lang w:val="en-US" w:eastAsia="zh-CN"/>
                <w14:textFill>
                  <w14:solidFill>
                    <w14:schemeClr w14:val="tx1"/>
                  </w14:solidFill>
                </w14:textFill>
              </w:rPr>
              <w:t>建设内容清单</w:t>
            </w:r>
          </w:p>
          <w:tbl>
            <w:tblPr>
              <w:tblStyle w:val="4"/>
              <w:tblW w:w="69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27"/>
              <w:gridCol w:w="1021"/>
              <w:gridCol w:w="4635"/>
              <w:gridCol w:w="775"/>
            </w:tblGrid>
            <w:tr w14:paraId="6EEC62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7" w:hRule="atLeast"/>
              </w:trPr>
              <w:tc>
                <w:tcPr>
                  <w:tcW w:w="527" w:type="dxa"/>
                </w:tcPr>
                <w:p w14:paraId="2A826C80">
                  <w:pPr>
                    <w:keepNext w:val="0"/>
                    <w:keepLines w:val="0"/>
                    <w:pageBreakBefore w:val="0"/>
                    <w:kinsoku/>
                    <w:wordWrap/>
                    <w:overflowPunct/>
                    <w:topLinePunct w:val="0"/>
                    <w:autoSpaceDE/>
                    <w:autoSpaceDN/>
                    <w:bidi w:val="0"/>
                    <w:adjustRightInd/>
                    <w:snapToGrid/>
                    <w:spacing w:line="360" w:lineRule="auto"/>
                    <w:textAlignment w:val="auto"/>
                    <w:rPr>
                      <w:rFonts w:hint="eastAsia" w:asciiTheme="minorHAnsi" w:hAnsiTheme="minorHAnsi" w:eastAsiaTheme="minorEastAsia" w:cstheme="minorBidi"/>
                      <w:color w:val="000000" w:themeColor="text1"/>
                      <w:kern w:val="0"/>
                      <w:sz w:val="20"/>
                      <w:szCs w:val="20"/>
                      <w:highlight w:val="none"/>
                      <w:lang w:val="en-US" w:eastAsia="zh-CN"/>
                      <w14:textFill>
                        <w14:solidFill>
                          <w14:schemeClr w14:val="tx1"/>
                        </w14:solidFill>
                      </w14:textFill>
                    </w:rPr>
                  </w:pPr>
                  <w:r>
                    <w:rPr>
                      <w:rFonts w:hint="eastAsia" w:asciiTheme="minorHAnsi" w:hAnsiTheme="minorHAnsi" w:eastAsiaTheme="minorEastAsia" w:cstheme="minorBidi"/>
                      <w:color w:val="000000" w:themeColor="text1"/>
                      <w:kern w:val="0"/>
                      <w:sz w:val="20"/>
                      <w:szCs w:val="20"/>
                      <w:highlight w:val="none"/>
                      <w:lang w:val="en-US" w:eastAsia="zh-CN"/>
                      <w14:textFill>
                        <w14:solidFill>
                          <w14:schemeClr w14:val="tx1"/>
                        </w14:solidFill>
                      </w14:textFill>
                    </w:rPr>
                    <w:t>序号</w:t>
                  </w:r>
                </w:p>
              </w:tc>
              <w:tc>
                <w:tcPr>
                  <w:tcW w:w="1021" w:type="dxa"/>
                </w:tcPr>
                <w:p w14:paraId="19A3DFD5">
                  <w:pPr>
                    <w:keepNext w:val="0"/>
                    <w:keepLines w:val="0"/>
                    <w:pageBreakBefore w:val="0"/>
                    <w:kinsoku/>
                    <w:wordWrap/>
                    <w:overflowPunct/>
                    <w:topLinePunct w:val="0"/>
                    <w:autoSpaceDE/>
                    <w:autoSpaceDN/>
                    <w:bidi w:val="0"/>
                    <w:adjustRightInd/>
                    <w:snapToGrid/>
                    <w:spacing w:line="360" w:lineRule="auto"/>
                    <w:textAlignment w:val="auto"/>
                    <w:rPr>
                      <w:rFonts w:hint="eastAsia" w:asciiTheme="minorHAnsi" w:hAnsiTheme="minorHAnsi" w:eastAsiaTheme="minorEastAsia" w:cstheme="minorBidi"/>
                      <w:color w:val="000000" w:themeColor="text1"/>
                      <w:kern w:val="0"/>
                      <w:sz w:val="20"/>
                      <w:szCs w:val="20"/>
                      <w:highlight w:val="none"/>
                      <w:lang w:val="en-US" w:eastAsia="zh-CN"/>
                      <w14:textFill>
                        <w14:solidFill>
                          <w14:schemeClr w14:val="tx1"/>
                        </w14:solidFill>
                      </w14:textFill>
                    </w:rPr>
                  </w:pPr>
                  <w:r>
                    <w:rPr>
                      <w:rFonts w:hint="eastAsia" w:asciiTheme="minorHAnsi" w:hAnsiTheme="minorHAnsi" w:eastAsiaTheme="minorEastAsia" w:cstheme="minorBidi"/>
                      <w:color w:val="000000" w:themeColor="text1"/>
                      <w:kern w:val="0"/>
                      <w:sz w:val="20"/>
                      <w:szCs w:val="20"/>
                      <w:highlight w:val="none"/>
                      <w:lang w:val="en-US" w:eastAsia="zh-CN"/>
                      <w14:textFill>
                        <w14:solidFill>
                          <w14:schemeClr w14:val="tx1"/>
                        </w14:solidFill>
                      </w14:textFill>
                    </w:rPr>
                    <w:t>建设内容</w:t>
                  </w:r>
                </w:p>
              </w:tc>
              <w:tc>
                <w:tcPr>
                  <w:tcW w:w="4635" w:type="dxa"/>
                </w:tcPr>
                <w:p w14:paraId="1190A0B7">
                  <w:pPr>
                    <w:keepNext w:val="0"/>
                    <w:keepLines w:val="0"/>
                    <w:pageBreakBefore w:val="0"/>
                    <w:kinsoku/>
                    <w:wordWrap/>
                    <w:overflowPunct/>
                    <w:topLinePunct w:val="0"/>
                    <w:autoSpaceDE/>
                    <w:autoSpaceDN/>
                    <w:bidi w:val="0"/>
                    <w:adjustRightInd/>
                    <w:snapToGrid/>
                    <w:spacing w:line="360" w:lineRule="auto"/>
                    <w:textAlignment w:val="auto"/>
                    <w:rPr>
                      <w:rFonts w:hint="eastAsia" w:asciiTheme="minorHAnsi" w:hAnsiTheme="minorHAnsi" w:eastAsiaTheme="minorEastAsia" w:cstheme="minorBidi"/>
                      <w:color w:val="000000" w:themeColor="text1"/>
                      <w:kern w:val="0"/>
                      <w:sz w:val="20"/>
                      <w:szCs w:val="20"/>
                      <w:highlight w:val="none"/>
                      <w:lang w:val="en-US" w:eastAsia="zh-CN"/>
                      <w14:textFill>
                        <w14:solidFill>
                          <w14:schemeClr w14:val="tx1"/>
                        </w14:solidFill>
                      </w14:textFill>
                    </w:rPr>
                  </w:pPr>
                  <w:r>
                    <w:rPr>
                      <w:rFonts w:hint="eastAsia" w:asciiTheme="minorHAnsi" w:hAnsiTheme="minorHAnsi" w:eastAsiaTheme="minorEastAsia" w:cstheme="minorBidi"/>
                      <w:color w:val="000000" w:themeColor="text1"/>
                      <w:kern w:val="0"/>
                      <w:sz w:val="20"/>
                      <w:szCs w:val="20"/>
                      <w:highlight w:val="none"/>
                      <w:lang w:val="en-US" w:eastAsia="zh-CN"/>
                      <w14:textFill>
                        <w14:solidFill>
                          <w14:schemeClr w14:val="tx1"/>
                        </w14:solidFill>
                      </w14:textFill>
                    </w:rPr>
                    <w:t>具体内容</w:t>
                  </w:r>
                </w:p>
              </w:tc>
              <w:tc>
                <w:tcPr>
                  <w:tcW w:w="775" w:type="dxa"/>
                </w:tcPr>
                <w:p w14:paraId="08E14D58">
                  <w:pPr>
                    <w:keepNext w:val="0"/>
                    <w:keepLines w:val="0"/>
                    <w:pageBreakBefore w:val="0"/>
                    <w:kinsoku/>
                    <w:wordWrap/>
                    <w:overflowPunct/>
                    <w:topLinePunct w:val="0"/>
                    <w:autoSpaceDE/>
                    <w:autoSpaceDN/>
                    <w:bidi w:val="0"/>
                    <w:adjustRightInd/>
                    <w:snapToGrid/>
                    <w:spacing w:line="360" w:lineRule="auto"/>
                    <w:textAlignment w:val="auto"/>
                    <w:rPr>
                      <w:rFonts w:hint="eastAsia" w:asciiTheme="minorHAnsi" w:hAnsiTheme="minorHAnsi" w:eastAsiaTheme="minorEastAsia" w:cstheme="minorBidi"/>
                      <w:color w:val="000000" w:themeColor="text1"/>
                      <w:kern w:val="0"/>
                      <w:sz w:val="20"/>
                      <w:szCs w:val="20"/>
                      <w:highlight w:val="none"/>
                      <w:lang w:val="en-US" w:eastAsia="zh-CN"/>
                      <w14:textFill>
                        <w14:solidFill>
                          <w14:schemeClr w14:val="tx1"/>
                        </w14:solidFill>
                      </w14:textFill>
                    </w:rPr>
                  </w:pPr>
                  <w:r>
                    <w:rPr>
                      <w:rFonts w:hint="eastAsia" w:asciiTheme="minorHAnsi" w:hAnsiTheme="minorHAnsi" w:eastAsiaTheme="minorEastAsia" w:cstheme="minorBidi"/>
                      <w:color w:val="000000" w:themeColor="text1"/>
                      <w:kern w:val="0"/>
                      <w:sz w:val="20"/>
                      <w:szCs w:val="20"/>
                      <w:highlight w:val="none"/>
                      <w:lang w:val="en-US" w:eastAsia="zh-CN"/>
                      <w14:textFill>
                        <w14:solidFill>
                          <w14:schemeClr w14:val="tx1"/>
                        </w14:solidFill>
                      </w14:textFill>
                    </w:rPr>
                    <w:t>数量</w:t>
                  </w:r>
                </w:p>
              </w:tc>
            </w:tr>
            <w:tr w14:paraId="3ABF8E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84" w:hRule="atLeast"/>
              </w:trPr>
              <w:tc>
                <w:tcPr>
                  <w:tcW w:w="527" w:type="dxa"/>
                  <w:vAlign w:val="center"/>
                </w:tcPr>
                <w:p w14:paraId="39A0CCA8">
                  <w:pPr>
                    <w:widowControl/>
                    <w:spacing w:line="360" w:lineRule="auto"/>
                    <w:ind w:firstLine="0" w:firstLineChars="0"/>
                    <w:jc w:val="left"/>
                    <w:textAlignment w:val="center"/>
                    <w:rPr>
                      <w:rFonts w:hint="default" w:asciiTheme="minorHAnsi" w:hAnsiTheme="minorHAnsi" w:eastAsiaTheme="minorEastAsia" w:cstheme="minorBidi"/>
                      <w:color w:val="000000" w:themeColor="text1"/>
                      <w:kern w:val="0"/>
                      <w:sz w:val="20"/>
                      <w:szCs w:val="20"/>
                      <w:highlight w:val="none"/>
                      <w:lang w:val="en-US" w:eastAsia="zh-CN"/>
                      <w14:textFill>
                        <w14:solidFill>
                          <w14:schemeClr w14:val="tx1"/>
                        </w14:solidFill>
                      </w14:textFill>
                    </w:rPr>
                  </w:pPr>
                  <w:r>
                    <w:rPr>
                      <w:rFonts w:hint="eastAsia" w:asciiTheme="minorHAnsi" w:hAnsiTheme="minorHAnsi" w:eastAsiaTheme="minorEastAsia" w:cstheme="minorBidi"/>
                      <w:color w:val="000000" w:themeColor="text1"/>
                      <w:kern w:val="0"/>
                      <w:sz w:val="20"/>
                      <w:szCs w:val="20"/>
                      <w:highlight w:val="none"/>
                      <w:lang w:val="en-US" w:eastAsia="zh-CN"/>
                      <w14:textFill>
                        <w14:solidFill>
                          <w14:schemeClr w14:val="tx1"/>
                        </w14:solidFill>
                      </w14:textFill>
                    </w:rPr>
                    <w:t>1</w:t>
                  </w:r>
                </w:p>
              </w:tc>
              <w:tc>
                <w:tcPr>
                  <w:tcW w:w="1021" w:type="dxa"/>
                  <w:shd w:val="clear" w:color="auto" w:fill="auto"/>
                  <w:vAlign w:val="center"/>
                </w:tcPr>
                <w:p w14:paraId="0B0ABE10">
                  <w:pPr>
                    <w:widowControl/>
                    <w:spacing w:line="360" w:lineRule="auto"/>
                    <w:ind w:firstLine="0" w:firstLineChars="0"/>
                    <w:jc w:val="left"/>
                    <w:textAlignment w:val="center"/>
                    <w:rPr>
                      <w:rFonts w:hint="default" w:asciiTheme="minorHAnsi" w:hAnsiTheme="minorHAnsi" w:eastAsiaTheme="minorEastAsia" w:cstheme="minorBidi"/>
                      <w:color w:val="000000" w:themeColor="text1"/>
                      <w:kern w:val="0"/>
                      <w:sz w:val="20"/>
                      <w:szCs w:val="20"/>
                      <w:highlight w:val="none"/>
                      <w:lang w:val="en-US" w:eastAsia="zh-CN"/>
                      <w14:textFill>
                        <w14:solidFill>
                          <w14:schemeClr w14:val="tx1"/>
                        </w14:solidFill>
                      </w14:textFill>
                    </w:rPr>
                  </w:pPr>
                  <w:r>
                    <w:rPr>
                      <w:rFonts w:hint="eastAsia" w:asciiTheme="minorHAnsi" w:hAnsiTheme="minorHAnsi" w:eastAsiaTheme="minorEastAsia" w:cstheme="minorBidi"/>
                      <w:color w:val="000000" w:themeColor="text1"/>
                      <w:kern w:val="0"/>
                      <w:sz w:val="20"/>
                      <w:szCs w:val="20"/>
                      <w:highlight w:val="none"/>
                      <w:lang w:val="en-US" w:eastAsia="zh-CN"/>
                      <w14:textFill>
                        <w14:solidFill>
                          <w14:schemeClr w14:val="tx1"/>
                        </w14:solidFill>
                      </w14:textFill>
                    </w:rPr>
                    <w:t>数据治理</w:t>
                  </w:r>
                </w:p>
              </w:tc>
              <w:tc>
                <w:tcPr>
                  <w:tcW w:w="4635" w:type="dxa"/>
                  <w:shd w:val="clear" w:color="auto" w:fill="auto"/>
                  <w:vAlign w:val="center"/>
                </w:tcPr>
                <w:p w14:paraId="1CCD774A">
                  <w:pPr>
                    <w:widowControl/>
                    <w:spacing w:line="360" w:lineRule="auto"/>
                    <w:ind w:firstLine="0" w:firstLineChars="0"/>
                    <w:jc w:val="left"/>
                    <w:textAlignment w:val="center"/>
                    <w:rPr>
                      <w:rFonts w:hint="eastAsia" w:asciiTheme="minorHAnsi" w:hAnsiTheme="minorHAnsi" w:eastAsiaTheme="minorEastAsia" w:cstheme="minorBidi"/>
                      <w:color w:val="000000" w:themeColor="text1"/>
                      <w:kern w:val="0"/>
                      <w:sz w:val="20"/>
                      <w:szCs w:val="20"/>
                      <w:highlight w:val="none"/>
                      <w:lang w:val="en-US" w:eastAsia="zh-CN"/>
                      <w14:textFill>
                        <w14:solidFill>
                          <w14:schemeClr w14:val="tx1"/>
                        </w14:solidFill>
                      </w14:textFill>
                    </w:rPr>
                  </w:pPr>
                  <w:r>
                    <w:rPr>
                      <w:rFonts w:hint="eastAsia" w:asciiTheme="minorHAnsi" w:hAnsiTheme="minorHAnsi" w:eastAsiaTheme="minorEastAsia" w:cstheme="minorBidi"/>
                      <w:color w:val="000000" w:themeColor="text1"/>
                      <w:kern w:val="0"/>
                      <w:sz w:val="20"/>
                      <w:szCs w:val="20"/>
                      <w:highlight w:val="none"/>
                      <w:lang w:val="en-US" w:eastAsia="zh-CN"/>
                      <w14:textFill>
                        <w14:solidFill>
                          <w14:schemeClr w14:val="tx1"/>
                        </w14:solidFill>
                      </w14:textFill>
                    </w:rPr>
                    <w:t>进一步完善数据平台，提升数据集成能力，引入AIGC能力，实现数据标准化清洗、智能识别数据关系、智能生成质检规则、智能数据分级等内容。完成跨部门数据融合治理，扩展数据标准，横向打通数据孤岛，形成高质量、高可用、可共享的数据资源池，支撑全校数据应用与分析需求。</w:t>
                  </w:r>
                </w:p>
              </w:tc>
              <w:tc>
                <w:tcPr>
                  <w:tcW w:w="775" w:type="dxa"/>
                </w:tcPr>
                <w:p w14:paraId="440B0B33">
                  <w:pPr>
                    <w:keepNext w:val="0"/>
                    <w:keepLines w:val="0"/>
                    <w:pageBreakBefore w:val="0"/>
                    <w:kinsoku/>
                    <w:wordWrap/>
                    <w:overflowPunct/>
                    <w:topLinePunct w:val="0"/>
                    <w:autoSpaceDE/>
                    <w:autoSpaceDN/>
                    <w:bidi w:val="0"/>
                    <w:adjustRightInd/>
                    <w:snapToGrid/>
                    <w:spacing w:line="360" w:lineRule="auto"/>
                    <w:textAlignment w:val="auto"/>
                    <w:rPr>
                      <w:rFonts w:hint="default" w:asciiTheme="minorHAnsi" w:hAnsiTheme="minorHAnsi" w:eastAsiaTheme="minorEastAsia" w:cstheme="minorBidi"/>
                      <w:color w:val="000000" w:themeColor="text1"/>
                      <w:kern w:val="0"/>
                      <w:sz w:val="20"/>
                      <w:szCs w:val="20"/>
                      <w:highlight w:val="none"/>
                      <w:lang w:val="en-US" w:eastAsia="zh-CN"/>
                      <w14:textFill>
                        <w14:solidFill>
                          <w14:schemeClr w14:val="tx1"/>
                        </w14:solidFill>
                      </w14:textFill>
                    </w:rPr>
                  </w:pPr>
                  <w:r>
                    <w:rPr>
                      <w:rFonts w:hint="eastAsia" w:asciiTheme="minorHAnsi" w:hAnsiTheme="minorHAnsi" w:eastAsiaTheme="minorEastAsia" w:cstheme="minorBidi"/>
                      <w:color w:val="000000" w:themeColor="text1"/>
                      <w:kern w:val="0"/>
                      <w:sz w:val="20"/>
                      <w:szCs w:val="20"/>
                      <w:highlight w:val="none"/>
                      <w:lang w:val="en-US" w:eastAsia="zh-CN"/>
                      <w14:textFill>
                        <w14:solidFill>
                          <w14:schemeClr w14:val="tx1"/>
                        </w14:solidFill>
                      </w14:textFill>
                    </w:rPr>
                    <w:t>1项</w:t>
                  </w:r>
                </w:p>
              </w:tc>
            </w:tr>
            <w:tr w14:paraId="2EC812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6" w:hRule="atLeast"/>
              </w:trPr>
              <w:tc>
                <w:tcPr>
                  <w:tcW w:w="527" w:type="dxa"/>
                  <w:vAlign w:val="center"/>
                </w:tcPr>
                <w:p w14:paraId="265F7247">
                  <w:pPr>
                    <w:widowControl/>
                    <w:spacing w:line="360" w:lineRule="auto"/>
                    <w:ind w:firstLine="0" w:firstLineChars="0"/>
                    <w:jc w:val="left"/>
                    <w:textAlignment w:val="center"/>
                    <w:rPr>
                      <w:rFonts w:hint="default" w:asciiTheme="minorHAnsi" w:hAnsiTheme="minorHAnsi" w:eastAsiaTheme="minorEastAsia" w:cstheme="minorBidi"/>
                      <w:color w:val="000000" w:themeColor="text1"/>
                      <w:kern w:val="0"/>
                      <w:sz w:val="20"/>
                      <w:szCs w:val="20"/>
                      <w:highlight w:val="none"/>
                      <w:lang w:val="en-US" w:eastAsia="zh-CN"/>
                      <w14:textFill>
                        <w14:solidFill>
                          <w14:schemeClr w14:val="tx1"/>
                        </w14:solidFill>
                      </w14:textFill>
                    </w:rPr>
                  </w:pPr>
                  <w:r>
                    <w:rPr>
                      <w:rFonts w:hint="eastAsia" w:asciiTheme="minorHAnsi" w:hAnsiTheme="minorHAnsi" w:eastAsiaTheme="minorEastAsia" w:cstheme="minorBidi"/>
                      <w:color w:val="000000" w:themeColor="text1"/>
                      <w:kern w:val="0"/>
                      <w:sz w:val="20"/>
                      <w:szCs w:val="20"/>
                      <w:highlight w:val="none"/>
                      <w:lang w:val="en-US" w:eastAsia="zh-CN"/>
                      <w14:textFill>
                        <w14:solidFill>
                          <w14:schemeClr w14:val="tx1"/>
                        </w14:solidFill>
                      </w14:textFill>
                    </w:rPr>
                    <w:t>2</w:t>
                  </w:r>
                </w:p>
              </w:tc>
              <w:tc>
                <w:tcPr>
                  <w:tcW w:w="1021" w:type="dxa"/>
                  <w:shd w:val="clear" w:color="auto" w:fill="auto"/>
                  <w:vAlign w:val="center"/>
                </w:tcPr>
                <w:p w14:paraId="4CE394D7">
                  <w:pPr>
                    <w:widowControl/>
                    <w:spacing w:line="360" w:lineRule="auto"/>
                    <w:ind w:firstLine="0" w:firstLineChars="0"/>
                    <w:jc w:val="left"/>
                    <w:textAlignment w:val="center"/>
                    <w:rPr>
                      <w:rFonts w:hint="default" w:asciiTheme="minorHAnsi" w:hAnsiTheme="minorHAnsi" w:eastAsiaTheme="minorEastAsia" w:cstheme="minorBidi"/>
                      <w:color w:val="000000" w:themeColor="text1"/>
                      <w:kern w:val="0"/>
                      <w:sz w:val="20"/>
                      <w:szCs w:val="20"/>
                      <w:highlight w:val="none"/>
                      <w:lang w:val="en-US" w:eastAsia="zh-CN"/>
                      <w14:textFill>
                        <w14:solidFill>
                          <w14:schemeClr w14:val="tx1"/>
                        </w14:solidFill>
                      </w14:textFill>
                    </w:rPr>
                  </w:pPr>
                  <w:r>
                    <w:rPr>
                      <w:rFonts w:hint="eastAsia" w:asciiTheme="minorHAnsi" w:hAnsiTheme="minorHAnsi" w:eastAsiaTheme="minorEastAsia" w:cstheme="minorBidi"/>
                      <w:color w:val="000000" w:themeColor="text1"/>
                      <w:kern w:val="0"/>
                      <w:sz w:val="20"/>
                      <w:szCs w:val="20"/>
                      <w:highlight w:val="none"/>
                      <w:lang w:val="en-US" w:eastAsia="zh-CN"/>
                      <w14:textFill>
                        <w14:solidFill>
                          <w14:schemeClr w14:val="tx1"/>
                        </w14:solidFill>
                      </w14:textFill>
                    </w:rPr>
                    <w:t>学院服务门户</w:t>
                  </w:r>
                </w:p>
              </w:tc>
              <w:tc>
                <w:tcPr>
                  <w:tcW w:w="4635" w:type="dxa"/>
                  <w:shd w:val="clear" w:color="auto" w:fill="auto"/>
                  <w:vAlign w:val="center"/>
                </w:tcPr>
                <w:p w14:paraId="583C3FA8">
                  <w:pPr>
                    <w:widowControl/>
                    <w:spacing w:line="360" w:lineRule="auto"/>
                    <w:ind w:firstLine="0" w:firstLineChars="0"/>
                    <w:jc w:val="left"/>
                    <w:textAlignment w:val="center"/>
                    <w:rPr>
                      <w:rFonts w:hint="eastAsia" w:asciiTheme="minorHAnsi" w:hAnsiTheme="minorHAnsi" w:eastAsiaTheme="minorEastAsia" w:cstheme="minorBidi"/>
                      <w:color w:val="000000" w:themeColor="text1"/>
                      <w:kern w:val="0"/>
                      <w:sz w:val="20"/>
                      <w:szCs w:val="20"/>
                      <w:highlight w:val="none"/>
                      <w:lang w:val="en-US" w:eastAsia="zh-CN"/>
                      <w14:textFill>
                        <w14:solidFill>
                          <w14:schemeClr w14:val="tx1"/>
                        </w14:solidFill>
                      </w14:textFill>
                    </w:rPr>
                  </w:pPr>
                  <w:r>
                    <w:rPr>
                      <w:rFonts w:hint="eastAsia" w:asciiTheme="minorHAnsi" w:hAnsiTheme="minorHAnsi" w:eastAsiaTheme="minorEastAsia" w:cstheme="minorBidi"/>
                      <w:color w:val="000000" w:themeColor="text1"/>
                      <w:kern w:val="0"/>
                      <w:sz w:val="20"/>
                      <w:szCs w:val="20"/>
                      <w:highlight w:val="none"/>
                      <w:lang w:val="en-US" w:eastAsia="zh-CN"/>
                      <w14:textFill>
                        <w14:solidFill>
                          <w14:schemeClr w14:val="tx1"/>
                        </w14:solidFill>
                      </w14:textFill>
                    </w:rPr>
                    <w:t>整合公共事务采集、学院服务、数据中心、驾驶舱、学校公共服务等功能，构建二级学院专属门户；为院领导、教师、管理人员提供一站式、一体化、个性化的服务入口，提升协同办公效率与服务体验。</w:t>
                  </w:r>
                </w:p>
              </w:tc>
              <w:tc>
                <w:tcPr>
                  <w:tcW w:w="775" w:type="dxa"/>
                </w:tcPr>
                <w:p w14:paraId="3450A97E">
                  <w:pPr>
                    <w:keepNext w:val="0"/>
                    <w:keepLines w:val="0"/>
                    <w:pageBreakBefore w:val="0"/>
                    <w:kinsoku/>
                    <w:wordWrap/>
                    <w:overflowPunct/>
                    <w:topLinePunct w:val="0"/>
                    <w:autoSpaceDE/>
                    <w:autoSpaceDN/>
                    <w:bidi w:val="0"/>
                    <w:adjustRightInd/>
                    <w:snapToGrid/>
                    <w:spacing w:line="360" w:lineRule="auto"/>
                    <w:textAlignment w:val="auto"/>
                    <w:rPr>
                      <w:rFonts w:hint="default" w:asciiTheme="minorHAnsi" w:hAnsiTheme="minorHAnsi" w:eastAsiaTheme="minorEastAsia" w:cstheme="minorBidi"/>
                      <w:color w:val="000000" w:themeColor="text1"/>
                      <w:kern w:val="0"/>
                      <w:sz w:val="20"/>
                      <w:szCs w:val="20"/>
                      <w:highlight w:val="none"/>
                      <w:lang w:val="en-US" w:eastAsia="zh-CN"/>
                      <w14:textFill>
                        <w14:solidFill>
                          <w14:schemeClr w14:val="tx1"/>
                        </w14:solidFill>
                      </w14:textFill>
                    </w:rPr>
                  </w:pPr>
                  <w:r>
                    <w:rPr>
                      <w:rFonts w:hint="eastAsia" w:asciiTheme="minorHAnsi" w:hAnsiTheme="minorHAnsi" w:eastAsiaTheme="minorEastAsia" w:cstheme="minorBidi"/>
                      <w:color w:val="000000" w:themeColor="text1"/>
                      <w:kern w:val="0"/>
                      <w:sz w:val="20"/>
                      <w:szCs w:val="20"/>
                      <w:highlight w:val="none"/>
                      <w:lang w:val="en-US" w:eastAsia="zh-CN"/>
                      <w14:textFill>
                        <w14:solidFill>
                          <w14:schemeClr w14:val="tx1"/>
                        </w14:solidFill>
                      </w14:textFill>
                    </w:rPr>
                    <w:t>1项</w:t>
                  </w:r>
                </w:p>
              </w:tc>
            </w:tr>
            <w:tr w14:paraId="3EC704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2" w:hRule="atLeast"/>
              </w:trPr>
              <w:tc>
                <w:tcPr>
                  <w:tcW w:w="527" w:type="dxa"/>
                  <w:vAlign w:val="center"/>
                </w:tcPr>
                <w:p w14:paraId="0909D22F">
                  <w:pPr>
                    <w:widowControl/>
                    <w:spacing w:line="360" w:lineRule="auto"/>
                    <w:ind w:firstLine="0" w:firstLineChars="0"/>
                    <w:jc w:val="left"/>
                    <w:textAlignment w:val="center"/>
                    <w:rPr>
                      <w:rFonts w:hint="default" w:asciiTheme="minorHAnsi" w:hAnsiTheme="minorHAnsi" w:eastAsiaTheme="minorEastAsia" w:cstheme="minorBidi"/>
                      <w:color w:val="000000" w:themeColor="text1"/>
                      <w:kern w:val="0"/>
                      <w:sz w:val="20"/>
                      <w:szCs w:val="20"/>
                      <w:highlight w:val="none"/>
                      <w:lang w:val="en-US" w:eastAsia="zh-CN"/>
                      <w14:textFill>
                        <w14:solidFill>
                          <w14:schemeClr w14:val="tx1"/>
                        </w14:solidFill>
                      </w14:textFill>
                    </w:rPr>
                  </w:pPr>
                  <w:r>
                    <w:rPr>
                      <w:rFonts w:hint="eastAsia" w:asciiTheme="minorHAnsi" w:hAnsiTheme="minorHAnsi" w:eastAsiaTheme="minorEastAsia" w:cstheme="minorBidi"/>
                      <w:color w:val="000000" w:themeColor="text1"/>
                      <w:kern w:val="0"/>
                      <w:sz w:val="20"/>
                      <w:szCs w:val="20"/>
                      <w:highlight w:val="none"/>
                      <w:lang w:val="en-US" w:eastAsia="zh-CN"/>
                      <w14:textFill>
                        <w14:solidFill>
                          <w14:schemeClr w14:val="tx1"/>
                        </w14:solidFill>
                      </w14:textFill>
                    </w:rPr>
                    <w:t>3</w:t>
                  </w:r>
                </w:p>
              </w:tc>
              <w:tc>
                <w:tcPr>
                  <w:tcW w:w="1021" w:type="dxa"/>
                  <w:vAlign w:val="center"/>
                </w:tcPr>
                <w:p w14:paraId="516F36B7">
                  <w:pPr>
                    <w:widowControl/>
                    <w:spacing w:line="360" w:lineRule="auto"/>
                    <w:ind w:firstLine="0" w:firstLineChars="0"/>
                    <w:jc w:val="left"/>
                    <w:textAlignment w:val="center"/>
                    <w:rPr>
                      <w:rFonts w:hint="default" w:asciiTheme="minorHAnsi" w:hAnsiTheme="minorHAnsi" w:eastAsiaTheme="minorEastAsia" w:cstheme="minorBidi"/>
                      <w:color w:val="000000" w:themeColor="text1"/>
                      <w:kern w:val="0"/>
                      <w:sz w:val="20"/>
                      <w:szCs w:val="20"/>
                      <w:highlight w:val="none"/>
                      <w:lang w:val="en-US" w:eastAsia="zh-CN"/>
                      <w14:textFill>
                        <w14:solidFill>
                          <w14:schemeClr w14:val="tx1"/>
                        </w14:solidFill>
                      </w14:textFill>
                    </w:rPr>
                  </w:pPr>
                  <w:r>
                    <w:rPr>
                      <w:rFonts w:hint="eastAsia" w:asciiTheme="minorHAnsi" w:hAnsiTheme="minorHAnsi" w:eastAsiaTheme="minorEastAsia" w:cstheme="minorBidi"/>
                      <w:color w:val="000000" w:themeColor="text1"/>
                      <w:kern w:val="0"/>
                      <w:sz w:val="20"/>
                      <w:szCs w:val="20"/>
                      <w:highlight w:val="none"/>
                      <w:lang w:val="en-US" w:eastAsia="zh-CN"/>
                      <w14:textFill>
                        <w14:solidFill>
                          <w14:schemeClr w14:val="tx1"/>
                        </w14:solidFill>
                      </w14:textFill>
                    </w:rPr>
                    <w:t>学院数据中心</w:t>
                  </w:r>
                </w:p>
              </w:tc>
              <w:tc>
                <w:tcPr>
                  <w:tcW w:w="4635" w:type="dxa"/>
                  <w:vAlign w:val="center"/>
                </w:tcPr>
                <w:p w14:paraId="12841247">
                  <w:pPr>
                    <w:widowControl/>
                    <w:spacing w:line="360" w:lineRule="auto"/>
                    <w:ind w:firstLine="0" w:firstLineChars="0"/>
                    <w:jc w:val="left"/>
                    <w:textAlignment w:val="center"/>
                    <w:rPr>
                      <w:rFonts w:hint="default" w:asciiTheme="minorHAnsi" w:hAnsiTheme="minorHAnsi" w:eastAsiaTheme="minorEastAsia" w:cstheme="minorBidi"/>
                      <w:color w:val="000000" w:themeColor="text1"/>
                      <w:kern w:val="0"/>
                      <w:sz w:val="20"/>
                      <w:szCs w:val="20"/>
                      <w:highlight w:val="none"/>
                      <w:lang w:val="en-US" w:eastAsia="zh-CN"/>
                      <w14:textFill>
                        <w14:solidFill>
                          <w14:schemeClr w14:val="tx1"/>
                        </w14:solidFill>
                      </w14:textFill>
                    </w:rPr>
                  </w:pPr>
                  <w:r>
                    <w:rPr>
                      <w:rFonts w:hint="eastAsia" w:asciiTheme="minorHAnsi" w:hAnsiTheme="minorHAnsi" w:eastAsiaTheme="minorEastAsia" w:cstheme="minorBidi"/>
                      <w:color w:val="000000" w:themeColor="text1"/>
                      <w:kern w:val="0"/>
                      <w:sz w:val="20"/>
                      <w:szCs w:val="20"/>
                      <w:highlight w:val="none"/>
                      <w:lang w:val="en-US" w:eastAsia="zh-CN"/>
                      <w14:textFill>
                        <w14:solidFill>
                          <w14:schemeClr w14:val="tx1"/>
                        </w14:solidFill>
                      </w14:textFill>
                    </w:rPr>
                    <w:t>建设学院数据中心，形成“一院一中心”，融合学院管理相关数据，提供多渠道采集学院基本信息、教职工信息、学生信息、科研、教学等不同维度数据的功能，其中学生数据从数据中心自动获取，教师数据从数据中心获取后，可进行数据线上确认，缺失数据补录、错误数据变更，通过一个入口查询多个维度的业绩数据，并以可视化图表的方式展示，提供学院数据看板，迅速掌握学院师资队学生信息、教学、科研等情况以及动态变化。</w:t>
                  </w:r>
                </w:p>
              </w:tc>
              <w:tc>
                <w:tcPr>
                  <w:tcW w:w="775" w:type="dxa"/>
                </w:tcPr>
                <w:p w14:paraId="285090E8">
                  <w:pPr>
                    <w:keepNext w:val="0"/>
                    <w:keepLines w:val="0"/>
                    <w:pageBreakBefore w:val="0"/>
                    <w:kinsoku/>
                    <w:wordWrap/>
                    <w:overflowPunct/>
                    <w:topLinePunct w:val="0"/>
                    <w:autoSpaceDE/>
                    <w:autoSpaceDN/>
                    <w:bidi w:val="0"/>
                    <w:adjustRightInd/>
                    <w:snapToGrid/>
                    <w:spacing w:line="360" w:lineRule="auto"/>
                    <w:textAlignment w:val="auto"/>
                    <w:rPr>
                      <w:rFonts w:hint="eastAsia" w:asciiTheme="minorHAnsi" w:hAnsiTheme="minorHAnsi" w:eastAsiaTheme="minorEastAsia" w:cstheme="minorBidi"/>
                      <w:color w:val="000000" w:themeColor="text1"/>
                      <w:kern w:val="0"/>
                      <w:sz w:val="20"/>
                      <w:szCs w:val="20"/>
                      <w:highlight w:val="none"/>
                      <w:lang w:val="en-US" w:eastAsia="zh-CN"/>
                      <w14:textFill>
                        <w14:solidFill>
                          <w14:schemeClr w14:val="tx1"/>
                        </w14:solidFill>
                      </w14:textFill>
                    </w:rPr>
                  </w:pPr>
                  <w:r>
                    <w:rPr>
                      <w:rFonts w:hint="eastAsia" w:asciiTheme="minorHAnsi" w:hAnsiTheme="minorHAnsi" w:eastAsiaTheme="minorEastAsia" w:cstheme="minorBidi"/>
                      <w:color w:val="000000" w:themeColor="text1"/>
                      <w:kern w:val="0"/>
                      <w:sz w:val="20"/>
                      <w:szCs w:val="20"/>
                      <w:highlight w:val="none"/>
                      <w:lang w:val="en-US" w:eastAsia="zh-CN"/>
                      <w14:textFill>
                        <w14:solidFill>
                          <w14:schemeClr w14:val="tx1"/>
                        </w14:solidFill>
                      </w14:textFill>
                    </w:rPr>
                    <w:t>1项</w:t>
                  </w:r>
                </w:p>
              </w:tc>
            </w:tr>
            <w:tr w14:paraId="6AEA5C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6" w:hRule="atLeast"/>
              </w:trPr>
              <w:tc>
                <w:tcPr>
                  <w:tcW w:w="527" w:type="dxa"/>
                  <w:vAlign w:val="center"/>
                </w:tcPr>
                <w:p w14:paraId="0525C6BE">
                  <w:pPr>
                    <w:widowControl/>
                    <w:spacing w:line="360" w:lineRule="auto"/>
                    <w:ind w:firstLine="0" w:firstLineChars="0"/>
                    <w:jc w:val="left"/>
                    <w:textAlignment w:val="center"/>
                    <w:rPr>
                      <w:rFonts w:hint="default" w:asciiTheme="minorHAnsi" w:hAnsiTheme="minorHAnsi" w:eastAsiaTheme="minorEastAsia" w:cstheme="minorBidi"/>
                      <w:color w:val="000000" w:themeColor="text1"/>
                      <w:kern w:val="0"/>
                      <w:sz w:val="20"/>
                      <w:szCs w:val="20"/>
                      <w:highlight w:val="none"/>
                      <w:lang w:val="en-US" w:eastAsia="zh-CN"/>
                      <w14:textFill>
                        <w14:solidFill>
                          <w14:schemeClr w14:val="tx1"/>
                        </w14:solidFill>
                      </w14:textFill>
                    </w:rPr>
                  </w:pPr>
                  <w:r>
                    <w:rPr>
                      <w:rFonts w:hint="eastAsia" w:asciiTheme="minorHAnsi" w:hAnsiTheme="minorHAnsi" w:eastAsiaTheme="minorEastAsia" w:cstheme="minorBidi"/>
                      <w:color w:val="000000" w:themeColor="text1"/>
                      <w:kern w:val="0"/>
                      <w:sz w:val="20"/>
                      <w:szCs w:val="20"/>
                      <w:highlight w:val="none"/>
                      <w:lang w:val="en-US" w:eastAsia="zh-CN"/>
                      <w14:textFill>
                        <w14:solidFill>
                          <w14:schemeClr w14:val="tx1"/>
                        </w14:solidFill>
                      </w14:textFill>
                    </w:rPr>
                    <w:t>4</w:t>
                  </w:r>
                </w:p>
              </w:tc>
              <w:tc>
                <w:tcPr>
                  <w:tcW w:w="1021" w:type="dxa"/>
                  <w:vAlign w:val="center"/>
                </w:tcPr>
                <w:p w14:paraId="0663A0D4">
                  <w:pPr>
                    <w:widowControl/>
                    <w:spacing w:line="360" w:lineRule="auto"/>
                    <w:ind w:firstLine="0" w:firstLineChars="0"/>
                    <w:jc w:val="left"/>
                    <w:textAlignment w:val="center"/>
                    <w:rPr>
                      <w:rFonts w:hint="default" w:asciiTheme="minorHAnsi" w:hAnsiTheme="minorHAnsi" w:eastAsiaTheme="minorEastAsia" w:cstheme="minorBidi"/>
                      <w:color w:val="000000" w:themeColor="text1"/>
                      <w:kern w:val="0"/>
                      <w:sz w:val="20"/>
                      <w:szCs w:val="20"/>
                      <w:highlight w:val="none"/>
                      <w:lang w:val="en-US" w:eastAsia="zh-CN"/>
                      <w14:textFill>
                        <w14:solidFill>
                          <w14:schemeClr w14:val="tx1"/>
                        </w14:solidFill>
                      </w14:textFill>
                    </w:rPr>
                  </w:pPr>
                  <w:r>
                    <w:rPr>
                      <w:rFonts w:hint="eastAsia" w:asciiTheme="minorHAnsi" w:hAnsiTheme="minorHAnsi" w:eastAsiaTheme="minorEastAsia" w:cstheme="minorBidi"/>
                      <w:color w:val="000000" w:themeColor="text1"/>
                      <w:kern w:val="0"/>
                      <w:sz w:val="20"/>
                      <w:szCs w:val="20"/>
                      <w:highlight w:val="none"/>
                      <w:lang w:val="en-US" w:eastAsia="zh-CN"/>
                      <w14:textFill>
                        <w14:solidFill>
                          <w14:schemeClr w14:val="tx1"/>
                        </w14:solidFill>
                      </w14:textFill>
                    </w:rPr>
                    <w:t>公共事务内容采集</w:t>
                  </w:r>
                </w:p>
              </w:tc>
              <w:tc>
                <w:tcPr>
                  <w:tcW w:w="4635" w:type="dxa"/>
                  <w:vAlign w:val="center"/>
                </w:tcPr>
                <w:p w14:paraId="7E96B7C2">
                  <w:pPr>
                    <w:widowControl/>
                    <w:spacing w:line="360" w:lineRule="auto"/>
                    <w:ind w:firstLine="0" w:firstLineChars="0"/>
                    <w:jc w:val="left"/>
                    <w:textAlignment w:val="center"/>
                    <w:rPr>
                      <w:rFonts w:hint="eastAsia" w:asciiTheme="minorHAnsi" w:hAnsiTheme="minorHAnsi" w:eastAsiaTheme="minorEastAsia" w:cstheme="minorBidi"/>
                      <w:color w:val="000000" w:themeColor="text1"/>
                      <w:kern w:val="0"/>
                      <w:sz w:val="20"/>
                      <w:szCs w:val="20"/>
                      <w:highlight w:val="none"/>
                      <w:lang w:val="en-US" w:eastAsia="zh-CN"/>
                      <w14:textFill>
                        <w14:solidFill>
                          <w14:schemeClr w14:val="tx1"/>
                        </w14:solidFill>
                      </w14:textFill>
                    </w:rPr>
                  </w:pPr>
                  <w:r>
                    <w:rPr>
                      <w:rFonts w:hint="eastAsia" w:asciiTheme="minorHAnsi" w:hAnsiTheme="minorHAnsi" w:eastAsiaTheme="minorEastAsia" w:cstheme="minorBidi"/>
                      <w:color w:val="000000" w:themeColor="text1"/>
                      <w:kern w:val="0"/>
                      <w:sz w:val="20"/>
                      <w:szCs w:val="20"/>
                      <w:highlight w:val="none"/>
                      <w:lang w:val="en-US" w:eastAsia="zh-CN"/>
                      <w14:textFill>
                        <w14:solidFill>
                          <w14:schemeClr w14:val="tx1"/>
                        </w14:solidFill>
                      </w14:textFill>
                    </w:rPr>
                    <w:t>采集公共事务相关数据，包括网络学习培训、工会组织的运动会等各类活动、参加学校要求的其他各类会议、群体活动（学院组织的运动会、健步走、集体生日、春秋游等活动）、代表学院参赛/演出、工会志愿服务、建言献策、承担重要来访接待任务、参与相关活动的后勤保障与准备工作、申报思政论文、报告等、参加教研活动、监考、命题、迎接检查整理内务、为教研室实验课排课、试卷、资料及格案整理、参与教材编写、大纲修订等、青年教师导师、完成评教评学任务、学校层面大会、学院层面会议、党组织生活等内容，一方面进一步从相关系统进行数据集成，另一方面围绕采集内容搭建相关应用服务，实现业务的线上化，从而实现数据的采集、最后搭建专项采集任务，实现公共事务数据的采集。</w:t>
                  </w:r>
                </w:p>
                <w:p w14:paraId="3ED8BFEB">
                  <w:pPr>
                    <w:pStyle w:val="2"/>
                    <w:rPr>
                      <w:rFonts w:hint="default" w:asciiTheme="minorHAnsi" w:hAnsiTheme="minorHAnsi" w:eastAsiaTheme="minorEastAsia" w:cstheme="minorBidi"/>
                      <w:color w:val="000000" w:themeColor="text1"/>
                      <w:kern w:val="0"/>
                      <w:sz w:val="20"/>
                      <w:szCs w:val="20"/>
                      <w:highlight w:val="none"/>
                      <w:lang w:val="en-US" w:eastAsia="zh-CN"/>
                      <w14:textFill>
                        <w14:solidFill>
                          <w14:schemeClr w14:val="tx1"/>
                        </w14:solidFill>
                      </w14:textFill>
                    </w:rPr>
                  </w:pPr>
                  <w:r>
                    <w:rPr>
                      <w:rFonts w:hint="eastAsia" w:asciiTheme="minorHAnsi" w:hAnsiTheme="minorHAnsi" w:eastAsiaTheme="minorEastAsia" w:cstheme="minorBidi"/>
                      <w:color w:val="000000" w:themeColor="text1"/>
                      <w:kern w:val="0"/>
                      <w:sz w:val="20"/>
                      <w:szCs w:val="20"/>
                      <w:highlight w:val="none"/>
                      <w:lang w:val="en-US" w:eastAsia="zh-CN"/>
                      <w14:textFill>
                        <w14:solidFill>
                          <w14:schemeClr w14:val="tx1"/>
                        </w14:solidFill>
                      </w14:textFill>
                    </w:rPr>
                    <w:t>利用数据平台完成部门缺失数据采集。</w:t>
                  </w:r>
                </w:p>
              </w:tc>
              <w:tc>
                <w:tcPr>
                  <w:tcW w:w="775" w:type="dxa"/>
                </w:tcPr>
                <w:p w14:paraId="78857DC6">
                  <w:pPr>
                    <w:keepNext w:val="0"/>
                    <w:keepLines w:val="0"/>
                    <w:pageBreakBefore w:val="0"/>
                    <w:kinsoku/>
                    <w:wordWrap/>
                    <w:overflowPunct/>
                    <w:topLinePunct w:val="0"/>
                    <w:autoSpaceDE/>
                    <w:autoSpaceDN/>
                    <w:bidi w:val="0"/>
                    <w:adjustRightInd/>
                    <w:snapToGrid/>
                    <w:spacing w:line="360" w:lineRule="auto"/>
                    <w:textAlignment w:val="auto"/>
                    <w:rPr>
                      <w:rFonts w:hint="default" w:asciiTheme="minorHAnsi" w:hAnsiTheme="minorHAnsi" w:eastAsiaTheme="minorEastAsia" w:cstheme="minorBidi"/>
                      <w:color w:val="000000" w:themeColor="text1"/>
                      <w:kern w:val="0"/>
                      <w:sz w:val="20"/>
                      <w:szCs w:val="20"/>
                      <w:highlight w:val="none"/>
                      <w:lang w:val="en-US" w:eastAsia="zh-CN"/>
                      <w14:textFill>
                        <w14:solidFill>
                          <w14:schemeClr w14:val="tx1"/>
                        </w14:solidFill>
                      </w14:textFill>
                    </w:rPr>
                  </w:pPr>
                  <w:r>
                    <w:rPr>
                      <w:rFonts w:hint="eastAsia" w:asciiTheme="minorHAnsi" w:hAnsiTheme="minorHAnsi" w:eastAsiaTheme="minorEastAsia" w:cstheme="minorBidi"/>
                      <w:color w:val="000000" w:themeColor="text1"/>
                      <w:kern w:val="0"/>
                      <w:sz w:val="20"/>
                      <w:szCs w:val="20"/>
                      <w:highlight w:val="none"/>
                      <w:lang w:val="en-US" w:eastAsia="zh-CN"/>
                      <w14:textFill>
                        <w14:solidFill>
                          <w14:schemeClr w14:val="tx1"/>
                        </w14:solidFill>
                      </w14:textFill>
                    </w:rPr>
                    <w:t>1项</w:t>
                  </w:r>
                </w:p>
              </w:tc>
            </w:tr>
            <w:tr w14:paraId="7B6897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6" w:hRule="atLeast"/>
              </w:trPr>
              <w:tc>
                <w:tcPr>
                  <w:tcW w:w="527" w:type="dxa"/>
                  <w:vAlign w:val="center"/>
                </w:tcPr>
                <w:p w14:paraId="34313F39">
                  <w:pPr>
                    <w:widowControl/>
                    <w:spacing w:line="360" w:lineRule="auto"/>
                    <w:ind w:firstLine="0" w:firstLineChars="0"/>
                    <w:jc w:val="left"/>
                    <w:textAlignment w:val="center"/>
                    <w:rPr>
                      <w:rFonts w:hint="eastAsia" w:asciiTheme="minorHAnsi" w:hAnsiTheme="minorHAnsi" w:eastAsiaTheme="minorEastAsia" w:cstheme="minorBidi"/>
                      <w:color w:val="000000" w:themeColor="text1"/>
                      <w:kern w:val="0"/>
                      <w:sz w:val="20"/>
                      <w:szCs w:val="20"/>
                      <w:highlight w:val="none"/>
                      <w:lang w:val="en-US" w:eastAsia="zh-CN"/>
                      <w14:textFill>
                        <w14:solidFill>
                          <w14:schemeClr w14:val="tx1"/>
                        </w14:solidFill>
                      </w14:textFill>
                    </w:rPr>
                  </w:pPr>
                  <w:r>
                    <w:rPr>
                      <w:rFonts w:hint="eastAsia" w:asciiTheme="minorHAnsi" w:hAnsiTheme="minorHAnsi" w:eastAsiaTheme="minorEastAsia" w:cstheme="minorBidi"/>
                      <w:color w:val="000000" w:themeColor="text1"/>
                      <w:kern w:val="0"/>
                      <w:sz w:val="20"/>
                      <w:szCs w:val="20"/>
                      <w:highlight w:val="none"/>
                      <w:lang w:val="en-US" w:eastAsia="zh-CN"/>
                      <w14:textFill>
                        <w14:solidFill>
                          <w14:schemeClr w14:val="tx1"/>
                        </w14:solidFill>
                      </w14:textFill>
                    </w:rPr>
                    <w:t>5</w:t>
                  </w:r>
                </w:p>
              </w:tc>
              <w:tc>
                <w:tcPr>
                  <w:tcW w:w="1021" w:type="dxa"/>
                  <w:vAlign w:val="center"/>
                </w:tcPr>
                <w:p w14:paraId="4BD34E3E">
                  <w:pPr>
                    <w:widowControl/>
                    <w:spacing w:line="360" w:lineRule="auto"/>
                    <w:ind w:firstLine="0" w:firstLineChars="0"/>
                    <w:jc w:val="left"/>
                    <w:textAlignment w:val="center"/>
                    <w:rPr>
                      <w:rFonts w:hint="eastAsia" w:asciiTheme="minorHAnsi" w:hAnsiTheme="minorHAnsi" w:eastAsiaTheme="minorEastAsia" w:cstheme="minorBidi"/>
                      <w:color w:val="000000" w:themeColor="text1"/>
                      <w:kern w:val="0"/>
                      <w:sz w:val="20"/>
                      <w:szCs w:val="20"/>
                      <w:highlight w:val="none"/>
                      <w:lang w:val="en-US" w:eastAsia="zh-CN"/>
                      <w14:textFill>
                        <w14:solidFill>
                          <w14:schemeClr w14:val="tx1"/>
                        </w14:solidFill>
                      </w14:textFill>
                    </w:rPr>
                  </w:pPr>
                  <w:r>
                    <w:rPr>
                      <w:rFonts w:hint="eastAsia" w:asciiTheme="minorHAnsi" w:hAnsiTheme="minorHAnsi" w:eastAsiaTheme="minorEastAsia" w:cstheme="minorBidi"/>
                      <w:color w:val="000000" w:themeColor="text1"/>
                      <w:kern w:val="0"/>
                      <w:sz w:val="20"/>
                      <w:szCs w:val="20"/>
                      <w:highlight w:val="none"/>
                      <w:lang w:val="en-US" w:eastAsia="zh-CN"/>
                      <w14:textFill>
                        <w14:solidFill>
                          <w14:schemeClr w14:val="tx1"/>
                        </w14:solidFill>
                      </w14:textFill>
                    </w:rPr>
                    <w:t>数字学院驾驶舱</w:t>
                  </w:r>
                </w:p>
              </w:tc>
              <w:tc>
                <w:tcPr>
                  <w:tcW w:w="4635" w:type="dxa"/>
                  <w:vAlign w:val="center"/>
                </w:tcPr>
                <w:p w14:paraId="6CBB0BA5">
                  <w:pPr>
                    <w:widowControl/>
                    <w:spacing w:line="360" w:lineRule="auto"/>
                    <w:ind w:firstLine="0" w:firstLineChars="0"/>
                    <w:jc w:val="left"/>
                    <w:textAlignment w:val="center"/>
                    <w:rPr>
                      <w:rFonts w:hint="eastAsia" w:asciiTheme="minorHAnsi" w:hAnsiTheme="minorHAnsi" w:eastAsiaTheme="minorEastAsia" w:cstheme="minorBidi"/>
                      <w:color w:val="000000" w:themeColor="text1"/>
                      <w:kern w:val="0"/>
                      <w:sz w:val="20"/>
                      <w:szCs w:val="20"/>
                      <w:highlight w:val="none"/>
                      <w:lang w:val="en-US" w:eastAsia="zh-CN"/>
                      <w14:textFill>
                        <w14:solidFill>
                          <w14:schemeClr w14:val="tx1"/>
                        </w14:solidFill>
                      </w14:textFill>
                    </w:rPr>
                  </w:pPr>
                  <w:r>
                    <w:rPr>
                      <w:rFonts w:hint="eastAsia" w:asciiTheme="minorHAnsi" w:hAnsiTheme="minorHAnsi" w:eastAsiaTheme="minorEastAsia" w:cstheme="minorBidi"/>
                      <w:color w:val="000000" w:themeColor="text1"/>
                      <w:kern w:val="0"/>
                      <w:sz w:val="20"/>
                      <w:szCs w:val="20"/>
                      <w:highlight w:val="none"/>
                      <w:lang w:val="en-US" w:eastAsia="zh-CN"/>
                      <w14:textFill>
                        <w14:solidFill>
                          <w14:schemeClr w14:val="tx1"/>
                        </w14:solidFill>
                      </w14:textFill>
                    </w:rPr>
                    <w:t>以学院核心业务需求为导向，以数据赋能为核心，构建了覆盖教务、人事、科研、学科、学生、招就、学院年度公共事务、创新创业八大主题的数据决策体系，同步搭建12个二级学院的驾驶舱。</w:t>
                  </w:r>
                </w:p>
              </w:tc>
              <w:tc>
                <w:tcPr>
                  <w:tcW w:w="775" w:type="dxa"/>
                </w:tcPr>
                <w:p w14:paraId="6A145914">
                  <w:pPr>
                    <w:keepNext w:val="0"/>
                    <w:keepLines w:val="0"/>
                    <w:pageBreakBefore w:val="0"/>
                    <w:kinsoku/>
                    <w:wordWrap/>
                    <w:overflowPunct/>
                    <w:topLinePunct w:val="0"/>
                    <w:autoSpaceDE/>
                    <w:autoSpaceDN/>
                    <w:bidi w:val="0"/>
                    <w:adjustRightInd/>
                    <w:snapToGrid/>
                    <w:spacing w:line="360" w:lineRule="auto"/>
                    <w:textAlignment w:val="auto"/>
                    <w:rPr>
                      <w:rFonts w:hint="default" w:asciiTheme="minorHAnsi" w:hAnsiTheme="minorHAnsi" w:eastAsiaTheme="minorEastAsia" w:cstheme="minorBidi"/>
                      <w:color w:val="000000" w:themeColor="text1"/>
                      <w:kern w:val="0"/>
                      <w:sz w:val="20"/>
                      <w:szCs w:val="20"/>
                      <w:highlight w:val="none"/>
                      <w:lang w:val="en-US" w:eastAsia="zh-CN"/>
                      <w14:textFill>
                        <w14:solidFill>
                          <w14:schemeClr w14:val="tx1"/>
                        </w14:solidFill>
                      </w14:textFill>
                    </w:rPr>
                  </w:pPr>
                  <w:r>
                    <w:rPr>
                      <w:rFonts w:hint="eastAsia" w:asciiTheme="minorHAnsi" w:hAnsiTheme="minorHAnsi" w:eastAsiaTheme="minorEastAsia" w:cstheme="minorBidi"/>
                      <w:color w:val="000000" w:themeColor="text1"/>
                      <w:kern w:val="0"/>
                      <w:sz w:val="20"/>
                      <w:szCs w:val="20"/>
                      <w:highlight w:val="none"/>
                      <w:lang w:val="en-US" w:eastAsia="zh-CN"/>
                      <w14:textFill>
                        <w14:solidFill>
                          <w14:schemeClr w14:val="tx1"/>
                        </w14:solidFill>
                      </w14:textFill>
                    </w:rPr>
                    <w:t>1项</w:t>
                  </w:r>
                </w:p>
              </w:tc>
            </w:tr>
            <w:tr w14:paraId="1864F7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63" w:hRule="atLeast"/>
              </w:trPr>
              <w:tc>
                <w:tcPr>
                  <w:tcW w:w="527" w:type="dxa"/>
                  <w:vAlign w:val="center"/>
                </w:tcPr>
                <w:p w14:paraId="7BA0A889">
                  <w:pPr>
                    <w:widowControl/>
                    <w:spacing w:line="360" w:lineRule="auto"/>
                    <w:ind w:firstLine="0" w:firstLineChars="0"/>
                    <w:jc w:val="left"/>
                    <w:textAlignment w:val="center"/>
                    <w:rPr>
                      <w:rFonts w:hint="default" w:asciiTheme="minorHAnsi" w:hAnsiTheme="minorHAnsi" w:eastAsiaTheme="minorEastAsia" w:cstheme="minorBidi"/>
                      <w:color w:val="000000" w:themeColor="text1"/>
                      <w:kern w:val="0"/>
                      <w:sz w:val="20"/>
                      <w:szCs w:val="20"/>
                      <w:highlight w:val="none"/>
                      <w:lang w:val="en-US" w:eastAsia="zh-CN"/>
                      <w14:textFill>
                        <w14:solidFill>
                          <w14:schemeClr w14:val="tx1"/>
                        </w14:solidFill>
                      </w14:textFill>
                    </w:rPr>
                  </w:pPr>
                  <w:r>
                    <w:rPr>
                      <w:rFonts w:hint="eastAsia" w:asciiTheme="minorHAnsi" w:hAnsiTheme="minorHAnsi" w:eastAsiaTheme="minorEastAsia" w:cstheme="minorBidi"/>
                      <w:color w:val="000000" w:themeColor="text1"/>
                      <w:kern w:val="0"/>
                      <w:sz w:val="20"/>
                      <w:szCs w:val="20"/>
                      <w:highlight w:val="none"/>
                      <w:lang w:val="en-US" w:eastAsia="zh-CN"/>
                      <w14:textFill>
                        <w14:solidFill>
                          <w14:schemeClr w14:val="tx1"/>
                        </w14:solidFill>
                      </w14:textFill>
                    </w:rPr>
                    <w:t>6</w:t>
                  </w:r>
                </w:p>
              </w:tc>
              <w:tc>
                <w:tcPr>
                  <w:tcW w:w="1021" w:type="dxa"/>
                  <w:vAlign w:val="center"/>
                </w:tcPr>
                <w:p w14:paraId="0DA96222">
                  <w:pPr>
                    <w:widowControl/>
                    <w:spacing w:line="360" w:lineRule="auto"/>
                    <w:ind w:firstLine="0" w:firstLineChars="0"/>
                    <w:jc w:val="left"/>
                    <w:textAlignment w:val="center"/>
                    <w:rPr>
                      <w:rFonts w:hint="default" w:asciiTheme="minorHAnsi" w:hAnsiTheme="minorHAnsi" w:eastAsiaTheme="minorEastAsia" w:cstheme="minorBidi"/>
                      <w:color w:val="000000" w:themeColor="text1"/>
                      <w:kern w:val="0"/>
                      <w:sz w:val="20"/>
                      <w:szCs w:val="20"/>
                      <w:highlight w:val="none"/>
                      <w:lang w:val="en-US" w:eastAsia="zh-CN"/>
                      <w14:textFill>
                        <w14:solidFill>
                          <w14:schemeClr w14:val="tx1"/>
                        </w14:solidFill>
                      </w14:textFill>
                    </w:rPr>
                  </w:pPr>
                  <w:r>
                    <w:rPr>
                      <w:rFonts w:hint="eastAsia" w:asciiTheme="minorHAnsi" w:hAnsiTheme="minorHAnsi" w:eastAsiaTheme="minorEastAsia" w:cstheme="minorBidi"/>
                      <w:color w:val="000000" w:themeColor="text1"/>
                      <w:kern w:val="0"/>
                      <w:sz w:val="20"/>
                      <w:szCs w:val="20"/>
                      <w:highlight w:val="none"/>
                      <w:lang w:val="en-US" w:eastAsia="zh-CN"/>
                      <w14:textFill>
                        <w14:solidFill>
                          <w14:schemeClr w14:val="tx1"/>
                        </w14:solidFill>
                      </w14:textFill>
                    </w:rPr>
                    <w:t>部门数据决策驾驶舱</w:t>
                  </w:r>
                </w:p>
              </w:tc>
              <w:tc>
                <w:tcPr>
                  <w:tcW w:w="4635" w:type="dxa"/>
                  <w:vAlign w:val="center"/>
                </w:tcPr>
                <w:p w14:paraId="1F29A1EB">
                  <w:pPr>
                    <w:widowControl/>
                    <w:spacing w:line="360" w:lineRule="auto"/>
                    <w:ind w:firstLine="0" w:firstLineChars="0"/>
                    <w:jc w:val="left"/>
                    <w:textAlignment w:val="center"/>
                    <w:rPr>
                      <w:rFonts w:hint="eastAsia" w:asciiTheme="minorHAnsi" w:hAnsiTheme="minorHAnsi" w:eastAsiaTheme="minorEastAsia" w:cstheme="minorBidi"/>
                      <w:color w:val="000000" w:themeColor="text1"/>
                      <w:kern w:val="0"/>
                      <w:sz w:val="20"/>
                      <w:szCs w:val="20"/>
                      <w:highlight w:val="none"/>
                      <w:lang w:val="en-US" w:eastAsia="zh-CN"/>
                      <w14:textFill>
                        <w14:solidFill>
                          <w14:schemeClr w14:val="tx1"/>
                        </w14:solidFill>
                      </w14:textFill>
                    </w:rPr>
                  </w:pPr>
                  <w:r>
                    <w:rPr>
                      <w:rFonts w:hint="eastAsia" w:asciiTheme="minorHAnsi" w:hAnsiTheme="minorHAnsi" w:eastAsiaTheme="minorEastAsia" w:cstheme="minorBidi"/>
                      <w:color w:val="000000" w:themeColor="text1"/>
                      <w:kern w:val="0"/>
                      <w:sz w:val="20"/>
                      <w:szCs w:val="20"/>
                      <w:highlight w:val="none"/>
                      <w:lang w:val="en-US" w:eastAsia="zh-CN"/>
                      <w14:textFill>
                        <w14:solidFill>
                          <w14:schemeClr w14:val="tx1"/>
                        </w14:solidFill>
                      </w14:textFill>
                    </w:rPr>
                    <w:t>围绕教务、人事、科研、学科、学生、招就、创业创业七大业务，建设校级及部门级数据驾驶舱；通过可视化大屏直观呈现学校运行态势、教学质量、师资结构、科研产出、学生发展、就业质量等关键数据维度；支持数据多维度分析、一级/二级下钻、趋势研判、异常预警，为校领导及部门管理者提供实时、精准、全面的决策依据。</w:t>
                  </w:r>
                </w:p>
              </w:tc>
              <w:tc>
                <w:tcPr>
                  <w:tcW w:w="775" w:type="dxa"/>
                </w:tcPr>
                <w:p w14:paraId="15C088BC">
                  <w:pPr>
                    <w:keepNext w:val="0"/>
                    <w:keepLines w:val="0"/>
                    <w:pageBreakBefore w:val="0"/>
                    <w:kinsoku/>
                    <w:wordWrap/>
                    <w:overflowPunct/>
                    <w:topLinePunct w:val="0"/>
                    <w:autoSpaceDE/>
                    <w:autoSpaceDN/>
                    <w:bidi w:val="0"/>
                    <w:adjustRightInd/>
                    <w:snapToGrid/>
                    <w:spacing w:line="360" w:lineRule="auto"/>
                    <w:textAlignment w:val="auto"/>
                    <w:rPr>
                      <w:rFonts w:hint="default" w:asciiTheme="minorHAnsi" w:hAnsiTheme="minorHAnsi" w:eastAsiaTheme="minorEastAsia" w:cstheme="minorBidi"/>
                      <w:color w:val="000000" w:themeColor="text1"/>
                      <w:kern w:val="0"/>
                      <w:sz w:val="20"/>
                      <w:szCs w:val="20"/>
                      <w:highlight w:val="none"/>
                      <w:lang w:val="en-US" w:eastAsia="zh-CN"/>
                      <w14:textFill>
                        <w14:solidFill>
                          <w14:schemeClr w14:val="tx1"/>
                        </w14:solidFill>
                      </w14:textFill>
                    </w:rPr>
                  </w:pPr>
                  <w:r>
                    <w:rPr>
                      <w:rFonts w:hint="eastAsia" w:asciiTheme="minorHAnsi" w:hAnsiTheme="minorHAnsi" w:eastAsiaTheme="minorEastAsia" w:cstheme="minorBidi"/>
                      <w:color w:val="000000" w:themeColor="text1"/>
                      <w:kern w:val="0"/>
                      <w:sz w:val="20"/>
                      <w:szCs w:val="20"/>
                      <w:highlight w:val="none"/>
                      <w:lang w:val="en-US" w:eastAsia="zh-CN"/>
                      <w14:textFill>
                        <w14:solidFill>
                          <w14:schemeClr w14:val="tx1"/>
                        </w14:solidFill>
                      </w14:textFill>
                    </w:rPr>
                    <w:t>1项</w:t>
                  </w:r>
                </w:p>
              </w:tc>
            </w:tr>
            <w:tr w14:paraId="15305A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9" w:hRule="atLeast"/>
              </w:trPr>
              <w:tc>
                <w:tcPr>
                  <w:tcW w:w="527" w:type="dxa"/>
                  <w:vAlign w:val="center"/>
                </w:tcPr>
                <w:p w14:paraId="0E53E05E">
                  <w:pPr>
                    <w:widowControl/>
                    <w:spacing w:line="360" w:lineRule="auto"/>
                    <w:ind w:firstLine="0" w:firstLineChars="0"/>
                    <w:jc w:val="left"/>
                    <w:textAlignment w:val="center"/>
                    <w:rPr>
                      <w:rFonts w:hint="eastAsia" w:asciiTheme="minorHAnsi" w:hAnsiTheme="minorHAnsi" w:eastAsiaTheme="minorEastAsia" w:cstheme="minorBidi"/>
                      <w:color w:val="000000" w:themeColor="text1"/>
                      <w:kern w:val="0"/>
                      <w:sz w:val="20"/>
                      <w:szCs w:val="20"/>
                      <w:highlight w:val="none"/>
                      <w:lang w:val="en-US" w:eastAsia="zh-CN"/>
                      <w14:textFill>
                        <w14:solidFill>
                          <w14:schemeClr w14:val="tx1"/>
                        </w14:solidFill>
                      </w14:textFill>
                    </w:rPr>
                  </w:pPr>
                  <w:r>
                    <w:rPr>
                      <w:rFonts w:hint="eastAsia" w:asciiTheme="minorHAnsi" w:hAnsiTheme="minorHAnsi" w:eastAsiaTheme="minorEastAsia" w:cstheme="minorBidi"/>
                      <w:color w:val="000000" w:themeColor="text1"/>
                      <w:kern w:val="0"/>
                      <w:sz w:val="20"/>
                      <w:szCs w:val="20"/>
                      <w:highlight w:val="none"/>
                      <w:lang w:val="en-US" w:eastAsia="zh-CN"/>
                      <w14:textFill>
                        <w14:solidFill>
                          <w14:schemeClr w14:val="tx1"/>
                        </w14:solidFill>
                      </w14:textFill>
                    </w:rPr>
                    <w:t>7</w:t>
                  </w:r>
                </w:p>
              </w:tc>
              <w:tc>
                <w:tcPr>
                  <w:tcW w:w="1021" w:type="dxa"/>
                  <w:vAlign w:val="center"/>
                </w:tcPr>
                <w:p w14:paraId="3E684D10">
                  <w:pPr>
                    <w:widowControl/>
                    <w:spacing w:line="360" w:lineRule="auto"/>
                    <w:ind w:firstLine="0" w:firstLineChars="0"/>
                    <w:jc w:val="left"/>
                    <w:textAlignment w:val="center"/>
                    <w:rPr>
                      <w:rFonts w:hint="default" w:asciiTheme="minorHAnsi" w:hAnsiTheme="minorHAnsi" w:eastAsiaTheme="minorEastAsia" w:cstheme="minorBidi"/>
                      <w:color w:val="000000" w:themeColor="text1"/>
                      <w:kern w:val="0"/>
                      <w:sz w:val="20"/>
                      <w:szCs w:val="20"/>
                      <w:highlight w:val="none"/>
                      <w:lang w:val="en-US" w:eastAsia="zh-CN"/>
                      <w14:textFill>
                        <w14:solidFill>
                          <w14:schemeClr w14:val="tx1"/>
                        </w14:solidFill>
                      </w14:textFill>
                    </w:rPr>
                  </w:pPr>
                  <w:r>
                    <w:rPr>
                      <w:rFonts w:hint="eastAsia" w:asciiTheme="minorHAnsi" w:hAnsiTheme="minorHAnsi" w:eastAsiaTheme="minorEastAsia" w:cstheme="minorBidi"/>
                      <w:color w:val="000000" w:themeColor="text1"/>
                      <w:kern w:val="0"/>
                      <w:sz w:val="20"/>
                      <w:szCs w:val="20"/>
                      <w:highlight w:val="none"/>
                      <w:lang w:val="en-US" w:eastAsia="zh-CN"/>
                      <w14:textFill>
                        <w14:solidFill>
                          <w14:schemeClr w14:val="tx1"/>
                        </w14:solidFill>
                      </w14:textFill>
                    </w:rPr>
                    <w:t>教师绩效考核</w:t>
                  </w:r>
                </w:p>
              </w:tc>
              <w:tc>
                <w:tcPr>
                  <w:tcW w:w="4635" w:type="dxa"/>
                  <w:vAlign w:val="center"/>
                </w:tcPr>
                <w:p w14:paraId="15A223A9">
                  <w:pPr>
                    <w:widowControl/>
                    <w:numPr>
                      <w:ilvl w:val="0"/>
                      <w:numId w:val="0"/>
                    </w:numPr>
                    <w:spacing w:line="360" w:lineRule="auto"/>
                    <w:jc w:val="left"/>
                    <w:textAlignment w:val="center"/>
                    <w:rPr>
                      <w:rFonts w:hint="eastAsia" w:asciiTheme="minorHAnsi" w:hAnsiTheme="minorHAnsi" w:eastAsiaTheme="minorEastAsia" w:cstheme="minorBidi"/>
                      <w:color w:val="000000" w:themeColor="text1"/>
                      <w:kern w:val="0"/>
                      <w:sz w:val="20"/>
                      <w:szCs w:val="20"/>
                      <w:highlight w:val="none"/>
                      <w:lang w:val="en-US" w:eastAsia="zh-CN"/>
                      <w14:textFill>
                        <w14:solidFill>
                          <w14:schemeClr w14:val="tx1"/>
                        </w14:solidFill>
                      </w14:textFill>
                    </w:rPr>
                  </w:pPr>
                  <w:r>
                    <w:rPr>
                      <w:rFonts w:hint="eastAsia" w:asciiTheme="minorHAnsi" w:hAnsiTheme="minorHAnsi" w:eastAsiaTheme="minorEastAsia" w:cstheme="minorBidi"/>
                      <w:color w:val="000000" w:themeColor="text1"/>
                      <w:kern w:val="0"/>
                      <w:sz w:val="20"/>
                      <w:szCs w:val="20"/>
                      <w:highlight w:val="none"/>
                      <w:lang w:val="en-US" w:eastAsia="zh-CN"/>
                      <w14:textFill>
                        <w14:solidFill>
                          <w14:schemeClr w14:val="tx1"/>
                        </w14:solidFill>
                      </w14:textFill>
                    </w:rPr>
                    <w:t>结合学校绩效考核办法的业务需求，自定义配置专任教师、辅导员、管理岗、其他人员等不同类型教职工的考核办法，结合各学院考核要求制定不同考核数据模型，完成线下考核数据采集，并通过数据同步实现数据的自动获取，可按照考核办法进行教师绩效数据计算，可按照教师考核数据形成教师数据画像，支撑全校绩效考核工作的开展。</w:t>
                  </w:r>
                </w:p>
              </w:tc>
              <w:tc>
                <w:tcPr>
                  <w:tcW w:w="775" w:type="dxa"/>
                </w:tcPr>
                <w:p w14:paraId="75BD6F18">
                  <w:pPr>
                    <w:keepNext w:val="0"/>
                    <w:keepLines w:val="0"/>
                    <w:pageBreakBefore w:val="0"/>
                    <w:kinsoku/>
                    <w:wordWrap/>
                    <w:overflowPunct/>
                    <w:topLinePunct w:val="0"/>
                    <w:autoSpaceDE/>
                    <w:autoSpaceDN/>
                    <w:bidi w:val="0"/>
                    <w:adjustRightInd/>
                    <w:snapToGrid/>
                    <w:spacing w:line="360" w:lineRule="auto"/>
                    <w:textAlignment w:val="auto"/>
                    <w:rPr>
                      <w:rFonts w:hint="eastAsia" w:asciiTheme="minorHAnsi" w:hAnsiTheme="minorHAnsi" w:eastAsiaTheme="minorEastAsia" w:cstheme="minorBidi"/>
                      <w:color w:val="000000" w:themeColor="text1"/>
                      <w:kern w:val="0"/>
                      <w:sz w:val="20"/>
                      <w:szCs w:val="20"/>
                      <w:highlight w:val="none"/>
                      <w:lang w:val="en-US" w:eastAsia="zh-CN"/>
                      <w14:textFill>
                        <w14:solidFill>
                          <w14:schemeClr w14:val="tx1"/>
                        </w14:solidFill>
                      </w14:textFill>
                    </w:rPr>
                  </w:pPr>
                  <w:r>
                    <w:rPr>
                      <w:rFonts w:hint="eastAsia" w:asciiTheme="minorHAnsi" w:hAnsiTheme="minorHAnsi" w:eastAsiaTheme="minorEastAsia" w:cstheme="minorBidi"/>
                      <w:color w:val="000000" w:themeColor="text1"/>
                      <w:kern w:val="0"/>
                      <w:sz w:val="20"/>
                      <w:szCs w:val="20"/>
                      <w:highlight w:val="none"/>
                      <w:lang w:val="en-US" w:eastAsia="zh-CN"/>
                      <w14:textFill>
                        <w14:solidFill>
                          <w14:schemeClr w14:val="tx1"/>
                        </w14:solidFill>
                      </w14:textFill>
                    </w:rPr>
                    <w:t>1项</w:t>
                  </w:r>
                </w:p>
              </w:tc>
            </w:tr>
            <w:tr w14:paraId="2B6049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4" w:hRule="atLeast"/>
              </w:trPr>
              <w:tc>
                <w:tcPr>
                  <w:tcW w:w="527" w:type="dxa"/>
                  <w:vAlign w:val="center"/>
                </w:tcPr>
                <w:p w14:paraId="65DB6DD2">
                  <w:pPr>
                    <w:keepNext w:val="0"/>
                    <w:keepLines w:val="0"/>
                    <w:pageBreakBefore w:val="0"/>
                    <w:kinsoku/>
                    <w:wordWrap/>
                    <w:overflowPunct/>
                    <w:topLinePunct w:val="0"/>
                    <w:autoSpaceDE/>
                    <w:autoSpaceDN/>
                    <w:bidi w:val="0"/>
                    <w:adjustRightInd/>
                    <w:snapToGrid/>
                    <w:spacing w:line="360" w:lineRule="auto"/>
                    <w:textAlignment w:val="auto"/>
                    <w:rPr>
                      <w:rFonts w:hint="eastAsia" w:asciiTheme="minorHAnsi" w:hAnsiTheme="minorHAnsi" w:eastAsiaTheme="minorEastAsia" w:cstheme="minorBidi"/>
                      <w:color w:val="000000" w:themeColor="text1"/>
                      <w:kern w:val="0"/>
                      <w:sz w:val="20"/>
                      <w:szCs w:val="20"/>
                      <w:highlight w:val="none"/>
                      <w:lang w:val="en-US" w:eastAsia="zh-CN"/>
                      <w14:textFill>
                        <w14:solidFill>
                          <w14:schemeClr w14:val="tx1"/>
                        </w14:solidFill>
                      </w14:textFill>
                    </w:rPr>
                  </w:pPr>
                  <w:r>
                    <w:rPr>
                      <w:rFonts w:hint="eastAsia" w:asciiTheme="minorHAnsi" w:hAnsiTheme="minorHAnsi" w:eastAsiaTheme="minorEastAsia" w:cstheme="minorBidi"/>
                      <w:color w:val="000000" w:themeColor="text1"/>
                      <w:kern w:val="0"/>
                      <w:sz w:val="20"/>
                      <w:szCs w:val="20"/>
                      <w:highlight w:val="none"/>
                      <w:lang w:val="en-US" w:eastAsia="zh-CN"/>
                      <w14:textFill>
                        <w14:solidFill>
                          <w14:schemeClr w14:val="tx1"/>
                        </w14:solidFill>
                      </w14:textFill>
                    </w:rPr>
                    <w:t>8</w:t>
                  </w:r>
                </w:p>
              </w:tc>
              <w:tc>
                <w:tcPr>
                  <w:tcW w:w="1021" w:type="dxa"/>
                  <w:vAlign w:val="center"/>
                </w:tcPr>
                <w:p w14:paraId="43CAE6B0">
                  <w:pPr>
                    <w:keepNext w:val="0"/>
                    <w:keepLines w:val="0"/>
                    <w:pageBreakBefore w:val="0"/>
                    <w:kinsoku/>
                    <w:wordWrap/>
                    <w:overflowPunct/>
                    <w:topLinePunct w:val="0"/>
                    <w:autoSpaceDE/>
                    <w:autoSpaceDN/>
                    <w:bidi w:val="0"/>
                    <w:adjustRightInd/>
                    <w:snapToGrid/>
                    <w:spacing w:line="360" w:lineRule="auto"/>
                    <w:textAlignment w:val="auto"/>
                    <w:rPr>
                      <w:rFonts w:hint="default" w:asciiTheme="minorHAnsi" w:hAnsiTheme="minorHAnsi" w:eastAsiaTheme="minorEastAsia" w:cstheme="minorBidi"/>
                      <w:color w:val="000000" w:themeColor="text1"/>
                      <w:kern w:val="0"/>
                      <w:sz w:val="20"/>
                      <w:szCs w:val="20"/>
                      <w:highlight w:val="none"/>
                      <w:lang w:val="en-US" w:eastAsia="zh-CN"/>
                      <w14:textFill>
                        <w14:solidFill>
                          <w14:schemeClr w14:val="tx1"/>
                        </w14:solidFill>
                      </w14:textFill>
                    </w:rPr>
                  </w:pPr>
                  <w:r>
                    <w:rPr>
                      <w:rFonts w:hint="eastAsia" w:asciiTheme="minorHAnsi" w:hAnsiTheme="minorHAnsi" w:eastAsiaTheme="minorEastAsia" w:cstheme="minorBidi"/>
                      <w:color w:val="000000" w:themeColor="text1"/>
                      <w:kern w:val="0"/>
                      <w:sz w:val="20"/>
                      <w:szCs w:val="20"/>
                      <w:highlight w:val="none"/>
                      <w:lang w:val="en-US" w:eastAsia="zh-CN"/>
                      <w14:textFill>
                        <w14:solidFill>
                          <w14:schemeClr w14:val="tx1"/>
                        </w14:solidFill>
                      </w14:textFill>
                    </w:rPr>
                    <w:t>对接集成</w:t>
                  </w:r>
                </w:p>
              </w:tc>
              <w:tc>
                <w:tcPr>
                  <w:tcW w:w="4635" w:type="dxa"/>
                  <w:vAlign w:val="center"/>
                </w:tcPr>
                <w:p w14:paraId="6DA2DB48">
                  <w:pPr>
                    <w:keepNext w:val="0"/>
                    <w:keepLines w:val="0"/>
                    <w:pageBreakBefore w:val="0"/>
                    <w:kinsoku/>
                    <w:wordWrap/>
                    <w:overflowPunct/>
                    <w:topLinePunct w:val="0"/>
                    <w:autoSpaceDE/>
                    <w:autoSpaceDN/>
                    <w:bidi w:val="0"/>
                    <w:adjustRightInd/>
                    <w:snapToGrid/>
                    <w:spacing w:line="360" w:lineRule="auto"/>
                    <w:textAlignment w:val="auto"/>
                    <w:rPr>
                      <w:rFonts w:hint="eastAsia" w:asciiTheme="minorHAnsi" w:hAnsiTheme="minorHAnsi" w:eastAsiaTheme="minorEastAsia" w:cstheme="minorBidi"/>
                      <w:color w:val="000000" w:themeColor="text1"/>
                      <w:kern w:val="0"/>
                      <w:sz w:val="20"/>
                      <w:szCs w:val="20"/>
                      <w:highlight w:val="none"/>
                      <w:lang w:val="en-US" w:eastAsia="zh-CN"/>
                      <w14:textFill>
                        <w14:solidFill>
                          <w14:schemeClr w14:val="tx1"/>
                        </w14:solidFill>
                      </w14:textFill>
                    </w:rPr>
                  </w:pPr>
                  <w:r>
                    <w:rPr>
                      <w:rFonts w:hint="eastAsia" w:asciiTheme="minorHAnsi" w:hAnsiTheme="minorHAnsi" w:eastAsiaTheme="minorEastAsia" w:cstheme="minorBidi"/>
                      <w:color w:val="000000" w:themeColor="text1"/>
                      <w:kern w:val="0"/>
                      <w:sz w:val="20"/>
                      <w:szCs w:val="20"/>
                      <w:highlight w:val="none"/>
                      <w:lang w:val="en-US" w:eastAsia="zh-CN"/>
                      <w14:textFill>
                        <w14:solidFill>
                          <w14:schemeClr w14:val="tx1"/>
                        </w14:solidFill>
                      </w14:textFill>
                    </w:rPr>
                    <w:t>完成和学校统一身份认证、一网通办、数据中心、消息中心、移动端等集成对接，数据沉淀在学校数据中心，并满足学校数据安全要求。</w:t>
                  </w:r>
                </w:p>
              </w:tc>
              <w:tc>
                <w:tcPr>
                  <w:tcW w:w="775" w:type="dxa"/>
                </w:tcPr>
                <w:p w14:paraId="1E356127">
                  <w:pPr>
                    <w:keepNext w:val="0"/>
                    <w:keepLines w:val="0"/>
                    <w:pageBreakBefore w:val="0"/>
                    <w:kinsoku/>
                    <w:wordWrap/>
                    <w:overflowPunct/>
                    <w:topLinePunct w:val="0"/>
                    <w:autoSpaceDE/>
                    <w:autoSpaceDN/>
                    <w:bidi w:val="0"/>
                    <w:adjustRightInd/>
                    <w:snapToGrid/>
                    <w:spacing w:line="360" w:lineRule="auto"/>
                    <w:textAlignment w:val="auto"/>
                    <w:rPr>
                      <w:rFonts w:hint="eastAsia" w:asciiTheme="minorHAnsi" w:hAnsiTheme="minorHAnsi" w:eastAsiaTheme="minorEastAsia" w:cstheme="minorBidi"/>
                      <w:color w:val="000000" w:themeColor="text1"/>
                      <w:kern w:val="0"/>
                      <w:sz w:val="20"/>
                      <w:szCs w:val="20"/>
                      <w:highlight w:val="none"/>
                      <w:lang w:val="en-US" w:eastAsia="zh-CN"/>
                      <w14:textFill>
                        <w14:solidFill>
                          <w14:schemeClr w14:val="tx1"/>
                        </w14:solidFill>
                      </w14:textFill>
                    </w:rPr>
                  </w:pPr>
                  <w:r>
                    <w:rPr>
                      <w:rFonts w:hint="eastAsia" w:asciiTheme="minorHAnsi" w:hAnsiTheme="minorHAnsi" w:eastAsiaTheme="minorEastAsia" w:cstheme="minorBidi"/>
                      <w:color w:val="000000" w:themeColor="text1"/>
                      <w:kern w:val="0"/>
                      <w:sz w:val="20"/>
                      <w:szCs w:val="20"/>
                      <w:highlight w:val="none"/>
                      <w:lang w:val="en-US" w:eastAsia="zh-CN"/>
                      <w14:textFill>
                        <w14:solidFill>
                          <w14:schemeClr w14:val="tx1"/>
                        </w14:solidFill>
                      </w14:textFill>
                    </w:rPr>
                    <w:t>1项</w:t>
                  </w:r>
                </w:p>
              </w:tc>
            </w:tr>
          </w:tbl>
          <w:p w14:paraId="211F2F64">
            <w:pPr>
              <w:pStyle w:val="6"/>
              <w:jc w:val="both"/>
              <w:rPr>
                <w:rFonts w:hint="eastAsia"/>
                <w:b/>
                <w:bCs/>
                <w:color w:val="000000" w:themeColor="text1"/>
                <w:sz w:val="24"/>
                <w:szCs w:val="24"/>
                <w:highlight w:val="none"/>
                <w:lang w:val="en-US" w:eastAsia="zh-CN"/>
                <w14:textFill>
                  <w14:solidFill>
                    <w14:schemeClr w14:val="tx1"/>
                  </w14:solidFill>
                </w14:textFill>
              </w:rPr>
            </w:pPr>
            <w:r>
              <w:rPr>
                <w:rFonts w:hint="eastAsia"/>
                <w:b/>
                <w:bCs/>
                <w:color w:val="000000" w:themeColor="text1"/>
                <w:sz w:val="24"/>
                <w:szCs w:val="24"/>
                <w:highlight w:val="none"/>
                <w:lang w:val="en-US" w:eastAsia="zh-CN"/>
                <w14:textFill>
                  <w14:solidFill>
                    <w14:schemeClr w14:val="tx1"/>
                  </w14:solidFill>
                </w14:textFill>
              </w:rPr>
              <w:t>6、建设内容</w:t>
            </w:r>
          </w:p>
          <w:p w14:paraId="7FA612D7">
            <w:pPr>
              <w:pStyle w:val="6"/>
              <w:ind w:firstLine="480" w:firstLineChars="200"/>
              <w:jc w:val="both"/>
              <w:rPr>
                <w:rFonts w:hint="default"/>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6.1.</w:t>
            </w:r>
            <w:r>
              <w:rPr>
                <w:rFonts w:hint="default"/>
                <w:color w:val="000000" w:themeColor="text1"/>
                <w:sz w:val="24"/>
                <w:szCs w:val="24"/>
                <w:highlight w:val="none"/>
                <w:lang w:val="en-US" w:eastAsia="zh-CN"/>
                <w14:textFill>
                  <w14:solidFill>
                    <w14:schemeClr w14:val="tx1"/>
                  </w14:solidFill>
                </w14:textFill>
              </w:rPr>
              <w:t>数据</w:t>
            </w:r>
            <w:r>
              <w:rPr>
                <w:rFonts w:hint="eastAsia"/>
                <w:color w:val="000000" w:themeColor="text1"/>
                <w:sz w:val="24"/>
                <w:szCs w:val="24"/>
                <w:highlight w:val="none"/>
                <w:lang w:val="en-US" w:eastAsia="zh-CN"/>
                <w14:textFill>
                  <w14:solidFill>
                    <w14:schemeClr w14:val="tx1"/>
                  </w14:solidFill>
                </w14:textFill>
              </w:rPr>
              <w:t>治理</w:t>
            </w:r>
            <w:r>
              <w:rPr>
                <w:rFonts w:hint="default"/>
                <w:color w:val="000000" w:themeColor="text1"/>
                <w:sz w:val="24"/>
                <w:szCs w:val="24"/>
                <w:highlight w:val="none"/>
                <w:lang w:val="en-US" w:eastAsia="zh-CN"/>
                <w14:textFill>
                  <w14:solidFill>
                    <w14:schemeClr w14:val="tx1"/>
                  </w14:solidFill>
                </w14:textFill>
              </w:rPr>
              <w:tab/>
            </w:r>
          </w:p>
          <w:p w14:paraId="18DFB924">
            <w:pPr>
              <w:pStyle w:val="6"/>
              <w:ind w:firstLine="400" w:firstLineChars="200"/>
              <w:jc w:val="both"/>
              <w:rPr>
                <w:color w:val="000000" w:themeColor="text1"/>
                <w:highlight w:val="none"/>
                <w14:textFill>
                  <w14:solidFill>
                    <w14:schemeClr w14:val="tx1"/>
                  </w14:solidFill>
                </w14:textFill>
              </w:rPr>
            </w:pPr>
            <w:r>
              <w:rPr>
                <w:rFonts w:hint="default"/>
                <w:color w:val="000000" w:themeColor="text1"/>
                <w:highlight w:val="none"/>
                <w:lang w:val="en-US" w:eastAsia="zh-CN"/>
                <w14:textFill>
                  <w14:solidFill>
                    <w14:schemeClr w14:val="tx1"/>
                  </w14:solidFill>
                </w14:textFill>
              </w:rPr>
              <w:t>学校于2023年搭建了数据资产平台，已经完成了信息标准、数据集成、共享、数据应用开发等内容，但随着人工智能的不断发展，仍需完善现有数据资产平台，提升数据集成能力，引入AIGC能力，实现数据标准化清洗、智能识别数据关系、智能生成质检规则、智能数据分级等内容，优化及扩展内容需遵循学校现有服务模式，确保业务连续不中断。</w:t>
            </w:r>
          </w:p>
        </w:tc>
      </w:tr>
      <w:tr w14:paraId="14C7210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61" w:type="dxa"/>
          </w:tcPr>
          <w:p w14:paraId="1FABC3CB">
            <w:pPr>
              <w:pStyle w:val="6"/>
              <w:rPr>
                <w:rFonts w:hint="eastAsia" w:eastAsiaTheme="minorEastAsia"/>
                <w:color w:val="000000" w:themeColor="text1"/>
                <w:highlight w:val="none"/>
                <w:lang w:eastAsia="zh-CN"/>
                <w14:textFill>
                  <w14:solidFill>
                    <w14:schemeClr w14:val="tx1"/>
                  </w14:solidFill>
                </w14:textFill>
              </w:rPr>
            </w:pPr>
            <w:r>
              <w:rPr>
                <w:rFonts w:hint="eastAsia" w:ascii="仿宋_GB2312" w:hAnsi="仿宋_GB2312" w:eastAsia="仿宋_GB2312" w:cs="仿宋_GB2312"/>
                <w:color w:val="000000" w:themeColor="text1"/>
                <w:highlight w:val="none"/>
                <w:lang w:val="en-US" w:eastAsia="zh-CN"/>
                <w14:textFill>
                  <w14:solidFill>
                    <w14:schemeClr w14:val="tx1"/>
                  </w14:solidFill>
                </w14:textFill>
              </w:rPr>
              <w:t>4</w:t>
            </w:r>
          </w:p>
        </w:tc>
        <w:tc>
          <w:tcPr>
            <w:tcW w:w="777" w:type="dxa"/>
          </w:tcPr>
          <w:p w14:paraId="2E66C587">
            <w:pPr>
              <w:rPr>
                <w:color w:val="000000" w:themeColor="text1"/>
                <w:highlight w:val="none"/>
                <w14:textFill>
                  <w14:solidFill>
                    <w14:schemeClr w14:val="tx1"/>
                  </w14:solidFill>
                </w14:textFill>
              </w:rPr>
            </w:pPr>
          </w:p>
        </w:tc>
        <w:tc>
          <w:tcPr>
            <w:tcW w:w="7184" w:type="dxa"/>
          </w:tcPr>
          <w:p w14:paraId="1BF2E3DA">
            <w:pPr>
              <w:pStyle w:val="6"/>
              <w:ind w:firstLine="480" w:firstLineChars="200"/>
              <w:jc w:val="both"/>
              <w:rPr>
                <w:rFonts w:hint="default"/>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6.1.1.</w:t>
            </w:r>
            <w:r>
              <w:rPr>
                <w:rFonts w:hint="default"/>
                <w:color w:val="000000" w:themeColor="text1"/>
                <w:sz w:val="24"/>
                <w:szCs w:val="24"/>
                <w:highlight w:val="none"/>
                <w:lang w:val="en-US" w:eastAsia="zh-CN"/>
                <w14:textFill>
                  <w14:solidFill>
                    <w14:schemeClr w14:val="tx1"/>
                  </w14:solidFill>
                </w14:textFill>
              </w:rPr>
              <w:t>数据资产管理平台功能扩展</w:t>
            </w:r>
          </w:p>
          <w:p w14:paraId="303D0D1C">
            <w:pPr>
              <w:pStyle w:val="6"/>
              <w:ind w:firstLine="400" w:firstLineChars="200"/>
              <w:jc w:val="both"/>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1.</w:t>
            </w:r>
            <w:r>
              <w:rPr>
                <w:rFonts w:hint="default"/>
                <w:color w:val="000000" w:themeColor="text1"/>
                <w:highlight w:val="none"/>
                <w:lang w:val="en-US" w:eastAsia="zh-CN"/>
                <w14:textFill>
                  <w14:solidFill>
                    <w14:schemeClr w14:val="tx1"/>
                  </w14:solidFill>
                </w14:textFill>
              </w:rPr>
              <w:t>数据治理环节</w:t>
            </w:r>
          </w:p>
          <w:p w14:paraId="56BFB66E">
            <w:pPr>
              <w:pStyle w:val="6"/>
              <w:ind w:firstLine="400" w:firstLineChars="200"/>
              <w:rPr>
                <w:rFonts w:hint="eastAsia" w:eastAsiaTheme="minor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w:t>
            </w:r>
            <w:r>
              <w:rPr>
                <w:rFonts w:hint="default"/>
                <w:color w:val="000000" w:themeColor="text1"/>
                <w:highlight w:val="none"/>
                <w:lang w:val="en-US" w:eastAsia="zh-CN"/>
                <w14:textFill>
                  <w14:solidFill>
                    <w14:schemeClr w14:val="tx1"/>
                  </w14:solidFill>
                </w14:textFill>
              </w:rPr>
              <w:t>实现以拓扑图加流程图形式，直观呈现数据治理各业务模块（数据采集、标准制定、数据清洗、质量检查、数据服务等）与功能模块的层级关系与流转路径。实现以图形化方式展示数据治理全流程，包括数据集成开发、数据中心管理、数据治理、数据服务、数据应用、</w:t>
            </w:r>
            <w:r>
              <w:rPr>
                <w:rFonts w:hint="eastAsia"/>
                <w:color w:val="000000" w:themeColor="text1"/>
                <w:highlight w:val="none"/>
                <w:lang w:val="en-US" w:eastAsia="zh-CN"/>
                <w14:textFill>
                  <w14:solidFill>
                    <w14:schemeClr w14:val="tx1"/>
                  </w14:solidFill>
                </w14:textFill>
              </w:rPr>
              <w:t>系统运维</w:t>
            </w:r>
            <w:bookmarkStart w:id="10" w:name="_GoBack"/>
            <w:bookmarkEnd w:id="10"/>
            <w:r>
              <w:rPr>
                <w:rFonts w:hint="default"/>
                <w:color w:val="000000" w:themeColor="text1"/>
                <w:highlight w:val="none"/>
                <w:lang w:val="en-US" w:eastAsia="zh-CN"/>
                <w14:textFill>
                  <w14:solidFill>
                    <w14:schemeClr w14:val="tx1"/>
                  </w14:solidFill>
                </w14:textFill>
              </w:rPr>
              <w:t>、安全管理等核心模块的关联逻辑。实现通过图表关联标注，明确各模块间的逻辑依赖，帮助用户理解数据治理的完整链路。</w:t>
            </w:r>
            <w:r>
              <w:rPr>
                <w:rFonts w:hint="default"/>
                <w:b/>
                <w:bCs/>
                <w:color w:val="000000" w:themeColor="text1"/>
                <w:highlight w:val="none"/>
                <w:lang w:val="en-US" w:eastAsia="zh-CN"/>
                <w14:textFill>
                  <w14:solidFill>
                    <w14:schemeClr w14:val="tx1"/>
                  </w14:solidFill>
                </w14:textFill>
              </w:rPr>
              <w:t>（需提供演示）</w:t>
            </w:r>
          </w:p>
        </w:tc>
      </w:tr>
      <w:tr w14:paraId="7147327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61" w:type="dxa"/>
          </w:tcPr>
          <w:p w14:paraId="17D004CA">
            <w:pPr>
              <w:pStyle w:val="6"/>
              <w:rPr>
                <w:rFonts w:hint="eastAsia" w:eastAsiaTheme="minorEastAsia"/>
                <w:color w:val="000000" w:themeColor="text1"/>
                <w:highlight w:val="none"/>
                <w:lang w:eastAsia="zh-CN"/>
                <w14:textFill>
                  <w14:solidFill>
                    <w14:schemeClr w14:val="tx1"/>
                  </w14:solidFill>
                </w14:textFill>
              </w:rPr>
            </w:pPr>
            <w:r>
              <w:rPr>
                <w:rFonts w:hint="eastAsia" w:ascii="仿宋_GB2312" w:hAnsi="仿宋_GB2312" w:eastAsia="仿宋_GB2312" w:cs="仿宋_GB2312"/>
                <w:color w:val="000000" w:themeColor="text1"/>
                <w:highlight w:val="none"/>
                <w:lang w:val="en-US" w:eastAsia="zh-CN"/>
                <w14:textFill>
                  <w14:solidFill>
                    <w14:schemeClr w14:val="tx1"/>
                  </w14:solidFill>
                </w14:textFill>
              </w:rPr>
              <w:t>5</w:t>
            </w:r>
          </w:p>
        </w:tc>
        <w:tc>
          <w:tcPr>
            <w:tcW w:w="777" w:type="dxa"/>
          </w:tcPr>
          <w:p w14:paraId="1AF2C948">
            <w:pPr>
              <w:rPr>
                <w:color w:val="000000" w:themeColor="text1"/>
                <w:highlight w:val="none"/>
                <w14:textFill>
                  <w14:solidFill>
                    <w14:schemeClr w14:val="tx1"/>
                  </w14:solidFill>
                </w14:textFill>
              </w:rPr>
            </w:pPr>
          </w:p>
        </w:tc>
        <w:tc>
          <w:tcPr>
            <w:tcW w:w="7184" w:type="dxa"/>
          </w:tcPr>
          <w:p w14:paraId="599217D8">
            <w:pPr>
              <w:pStyle w:val="6"/>
              <w:ind w:firstLine="400" w:firstLineChars="200"/>
              <w:jc w:val="both"/>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2.</w:t>
            </w:r>
            <w:r>
              <w:rPr>
                <w:rFonts w:hint="default"/>
                <w:color w:val="000000" w:themeColor="text1"/>
                <w:highlight w:val="none"/>
                <w:lang w:val="en-US" w:eastAsia="zh-CN"/>
                <w14:textFill>
                  <w14:solidFill>
                    <w14:schemeClr w14:val="tx1"/>
                  </w14:solidFill>
                </w14:textFill>
              </w:rPr>
              <w:t>数据治理任务要求</w:t>
            </w:r>
          </w:p>
          <w:p w14:paraId="6B3CD56F">
            <w:pPr>
              <w:pStyle w:val="6"/>
              <w:ind w:firstLine="400" w:firstLineChars="200"/>
              <w:jc w:val="both"/>
              <w:rPr>
                <w:rFonts w:hint="default"/>
                <w:color w:val="000000" w:themeColor="text1"/>
                <w:highlight w:val="none"/>
                <w:lang w:val="en-US" w:eastAsia="zh-CN"/>
                <w14:textFill>
                  <w14:solidFill>
                    <w14:schemeClr w14:val="tx1"/>
                  </w14:solidFill>
                </w14:textFill>
              </w:rPr>
            </w:pPr>
            <w:bookmarkStart w:id="0" w:name="_Toc222930796"/>
            <w:r>
              <w:rPr>
                <w:rFonts w:hint="default"/>
                <w:color w:val="000000" w:themeColor="text1"/>
                <w:highlight w:val="none"/>
                <w:lang w:val="en-US" w:eastAsia="zh-CN"/>
                <w14:textFill>
                  <w14:solidFill>
                    <w14:schemeClr w14:val="tx1"/>
                  </w14:solidFill>
                </w14:textFill>
              </w:rPr>
              <w:t>（1）数据集成</w:t>
            </w:r>
            <w:bookmarkEnd w:id="0"/>
          </w:p>
          <w:p w14:paraId="5247A094">
            <w:pPr>
              <w:pStyle w:val="6"/>
              <w:ind w:firstLine="400" w:firstLineChars="200"/>
              <w:jc w:val="both"/>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实现通过可视化看板全景展示数据集成的拓扑关系与核心统计，包括数据采集与数据共享的拓扑关系，统计各应用的数据集成资源规模。</w:t>
            </w:r>
          </w:p>
          <w:p w14:paraId="5BB86062">
            <w:pPr>
              <w:pStyle w:val="6"/>
              <w:ind w:firstLine="400" w:firstLineChars="200"/>
              <w:jc w:val="both"/>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实现从数据采集视角统计来源端应用的任务、API数量，从数据共享视角统计目标端应用的任务、API数量。</w:t>
            </w:r>
          </w:p>
          <w:p w14:paraId="7B4F2B91">
            <w:pPr>
              <w:pStyle w:val="6"/>
              <w:ind w:firstLine="400" w:firstLineChars="200"/>
              <w:jc w:val="both"/>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实现数据集成报告导出功能，包含所有统计明细。</w:t>
            </w:r>
          </w:p>
          <w:p w14:paraId="00C48736">
            <w:pPr>
              <w:pStyle w:val="6"/>
              <w:ind w:firstLine="400" w:firstLineChars="200"/>
              <w:jc w:val="both"/>
              <w:rPr>
                <w:rFonts w:hint="default"/>
                <w:color w:val="000000" w:themeColor="text1"/>
                <w:highlight w:val="none"/>
                <w:lang w:val="en-US" w:eastAsia="zh-CN"/>
                <w14:textFill>
                  <w14:solidFill>
                    <w14:schemeClr w14:val="tx1"/>
                  </w14:solidFill>
                </w14:textFill>
              </w:rPr>
            </w:pPr>
            <w:bookmarkStart w:id="1" w:name="_Toc222930823"/>
            <w:r>
              <w:rPr>
                <w:rFonts w:hint="default"/>
                <w:color w:val="000000" w:themeColor="text1"/>
                <w:highlight w:val="none"/>
                <w:lang w:val="en-US" w:eastAsia="zh-CN"/>
                <w14:textFill>
                  <w14:solidFill>
                    <w14:schemeClr w14:val="tx1"/>
                  </w14:solidFill>
                </w14:textFill>
              </w:rPr>
              <w:t>（2）数据中心</w:t>
            </w:r>
            <w:bookmarkEnd w:id="1"/>
          </w:p>
          <w:p w14:paraId="421F8ECE">
            <w:pPr>
              <w:pStyle w:val="6"/>
              <w:ind w:firstLine="400" w:firstLineChars="200"/>
              <w:jc w:val="both"/>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实现通过多维度统计图表，直观展示数据中心四层架构（贴源层、标准层、交换库）的建设成果与数据规模。</w:t>
            </w:r>
          </w:p>
          <w:p w14:paraId="2F370C29">
            <w:pPr>
              <w:pStyle w:val="6"/>
              <w:ind w:firstLine="400" w:firstLineChars="200"/>
              <w:jc w:val="both"/>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实现一键导出数据中心建设报告，包含各层级统计明细。</w:t>
            </w:r>
          </w:p>
          <w:p w14:paraId="75055CAA">
            <w:pPr>
              <w:pStyle w:val="6"/>
              <w:ind w:firstLine="400" w:firstLineChars="200"/>
              <w:jc w:val="both"/>
              <w:rPr>
                <w:rFonts w:hint="default"/>
                <w:color w:val="000000" w:themeColor="text1"/>
                <w:highlight w:val="none"/>
                <w:lang w:val="en-US" w:eastAsia="zh-CN"/>
                <w14:textFill>
                  <w14:solidFill>
                    <w14:schemeClr w14:val="tx1"/>
                  </w14:solidFill>
                </w14:textFill>
              </w:rPr>
            </w:pPr>
            <w:bookmarkStart w:id="2" w:name="_Toc222930835"/>
            <w:r>
              <w:rPr>
                <w:rFonts w:hint="default"/>
                <w:color w:val="000000" w:themeColor="text1"/>
                <w:highlight w:val="none"/>
                <w:lang w:val="en-US" w:eastAsia="zh-CN"/>
                <w14:textFill>
                  <w14:solidFill>
                    <w14:schemeClr w14:val="tx1"/>
                  </w14:solidFill>
                </w14:textFill>
              </w:rPr>
              <w:t>（3）数据治理成果</w:t>
            </w:r>
            <w:bookmarkEnd w:id="2"/>
          </w:p>
          <w:p w14:paraId="1C55E124">
            <w:pPr>
              <w:pStyle w:val="6"/>
              <w:ind w:firstLine="400" w:firstLineChars="200"/>
              <w:jc w:val="both"/>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实现通过多维度统计图表，直观展示数据标准（数据元素、标准代码）、数据质量（质检配置、质检结果）、数据安全（分级分类、安全策略）的建设进度与成果。</w:t>
            </w:r>
          </w:p>
          <w:p w14:paraId="6F46CF99">
            <w:pPr>
              <w:pStyle w:val="6"/>
              <w:ind w:firstLine="400" w:firstLineChars="200"/>
              <w:jc w:val="both"/>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实现自动输出数据质量检测报告，可以按照时间周期性输出质量报告，报告包含教务、人事、科研、学生、招就等不少于六个核心内容。</w:t>
            </w:r>
          </w:p>
          <w:p w14:paraId="754FC151">
            <w:pPr>
              <w:pStyle w:val="6"/>
              <w:ind w:firstLine="400" w:firstLineChars="200"/>
              <w:jc w:val="both"/>
              <w:rPr>
                <w:rFonts w:hint="default"/>
                <w:color w:val="000000" w:themeColor="text1"/>
                <w:highlight w:val="none"/>
                <w:lang w:val="en-US" w:eastAsia="zh-CN"/>
                <w14:textFill>
                  <w14:solidFill>
                    <w14:schemeClr w14:val="tx1"/>
                  </w14:solidFill>
                </w14:textFill>
              </w:rPr>
            </w:pPr>
            <w:bookmarkStart w:id="3" w:name="_Toc222930856"/>
            <w:r>
              <w:rPr>
                <w:rFonts w:hint="default"/>
                <w:color w:val="000000" w:themeColor="text1"/>
                <w:highlight w:val="none"/>
                <w:lang w:val="en-US" w:eastAsia="zh-CN"/>
                <w14:textFill>
                  <w14:solidFill>
                    <w14:schemeClr w14:val="tx1"/>
                  </w14:solidFill>
                </w14:textFill>
              </w:rPr>
              <w:t>（4）数据服务</w:t>
            </w:r>
            <w:bookmarkEnd w:id="3"/>
          </w:p>
          <w:p w14:paraId="712F4834">
            <w:pPr>
              <w:pStyle w:val="6"/>
              <w:ind w:firstLine="400" w:firstLineChars="200"/>
              <w:jc w:val="both"/>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实现通过多维度统计图表，直观展示数据资源建设总览、确权分析、运营概览、共享分析等关键信息。</w:t>
            </w:r>
          </w:p>
          <w:p w14:paraId="6FC4839B">
            <w:pPr>
              <w:pStyle w:val="6"/>
              <w:ind w:firstLine="400" w:firstLineChars="200"/>
              <w:jc w:val="both"/>
              <w:rPr>
                <w:rFonts w:hint="eastAsia" w:eastAsiaTheme="minorEastAsia"/>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实现一键导出数据资源建设报告。</w:t>
            </w:r>
          </w:p>
        </w:tc>
      </w:tr>
      <w:tr w14:paraId="30EC20E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61" w:type="dxa"/>
          </w:tcPr>
          <w:p w14:paraId="2219F536">
            <w:pPr>
              <w:pStyle w:val="6"/>
              <w:rPr>
                <w:rFonts w:hint="eastAsia" w:eastAsiaTheme="minorEastAsia"/>
                <w:color w:val="000000" w:themeColor="text1"/>
                <w:highlight w:val="none"/>
                <w:lang w:eastAsia="zh-CN"/>
                <w14:textFill>
                  <w14:solidFill>
                    <w14:schemeClr w14:val="tx1"/>
                  </w14:solidFill>
                </w14:textFill>
              </w:rPr>
            </w:pPr>
            <w:r>
              <w:rPr>
                <w:rFonts w:hint="eastAsia" w:ascii="仿宋_GB2312" w:hAnsi="仿宋_GB2312" w:eastAsia="仿宋_GB2312" w:cs="仿宋_GB2312"/>
                <w:color w:val="000000" w:themeColor="text1"/>
                <w:highlight w:val="none"/>
                <w:lang w:val="en-US" w:eastAsia="zh-CN"/>
                <w14:textFill>
                  <w14:solidFill>
                    <w14:schemeClr w14:val="tx1"/>
                  </w14:solidFill>
                </w14:textFill>
              </w:rPr>
              <w:t>6</w:t>
            </w:r>
          </w:p>
        </w:tc>
        <w:tc>
          <w:tcPr>
            <w:tcW w:w="777" w:type="dxa"/>
          </w:tcPr>
          <w:p w14:paraId="6E6A8BF6">
            <w:pPr>
              <w:rPr>
                <w:color w:val="000000" w:themeColor="text1"/>
                <w:highlight w:val="none"/>
                <w14:textFill>
                  <w14:solidFill>
                    <w14:schemeClr w14:val="tx1"/>
                  </w14:solidFill>
                </w14:textFill>
              </w:rPr>
            </w:pPr>
          </w:p>
        </w:tc>
        <w:tc>
          <w:tcPr>
            <w:tcW w:w="7184" w:type="dxa"/>
          </w:tcPr>
          <w:p w14:paraId="365EC1F4">
            <w:pPr>
              <w:pStyle w:val="6"/>
              <w:ind w:firstLine="400" w:firstLineChars="200"/>
              <w:jc w:val="both"/>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3.</w:t>
            </w:r>
            <w:r>
              <w:rPr>
                <w:rFonts w:hint="default"/>
                <w:color w:val="000000" w:themeColor="text1"/>
                <w:highlight w:val="none"/>
                <w:lang w:val="en-US" w:eastAsia="zh-CN"/>
                <w14:textFill>
                  <w14:solidFill>
                    <w14:schemeClr w14:val="tx1"/>
                  </w14:solidFill>
                </w14:textFill>
              </w:rPr>
              <w:t>AI数据服务能力</w:t>
            </w:r>
          </w:p>
          <w:p w14:paraId="3C7BBCEA">
            <w:pPr>
              <w:pStyle w:val="6"/>
              <w:numPr>
                <w:ilvl w:val="0"/>
                <w:numId w:val="0"/>
              </w:numPr>
              <w:jc w:val="both"/>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w:t>
            </w:r>
            <w:r>
              <w:rPr>
                <w:rFonts w:hint="default"/>
                <w:color w:val="000000" w:themeColor="text1"/>
                <w:highlight w:val="none"/>
                <w:lang w:val="en-US" w:eastAsia="zh-CN"/>
                <w14:textFill>
                  <w14:solidFill>
                    <w14:schemeClr w14:val="tx1"/>
                  </w14:solidFill>
                </w14:textFill>
              </w:rPr>
              <w:t>针对学校现有数据资产平台，引入AI能力自动解析物理表名，结合业务语义推荐对应的业务表名，实现AI自动识别其业务含义，推荐对应的中文注释，并支持下拉选择修改。提供的系统在标准层进行数据清洗转换时，智能推荐数据表，为数据表的合并、关联提供支撑；并可以基于推荐的表进一步推荐字段；根据AI的能力完成指定数据库中指定数据表的数据的安全分类分级和数据质检规则的推荐。分类分级可以按照字段推荐分类、标识可信度以及列出推荐依据；质检规则可以按照字段名称推荐质检规则类型。</w:t>
            </w:r>
            <w:r>
              <w:rPr>
                <w:rFonts w:hint="default"/>
                <w:b/>
                <w:bCs/>
                <w:color w:val="000000" w:themeColor="text1"/>
                <w:highlight w:val="none"/>
                <w:lang w:val="en-US" w:eastAsia="zh-CN"/>
                <w14:textFill>
                  <w14:solidFill>
                    <w14:schemeClr w14:val="tx1"/>
                  </w14:solidFill>
                </w14:textFill>
              </w:rPr>
              <w:t>（需提供演示）</w:t>
            </w:r>
          </w:p>
        </w:tc>
      </w:tr>
      <w:tr w14:paraId="0C582A3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61" w:type="dxa"/>
          </w:tcPr>
          <w:p w14:paraId="43AD6861">
            <w:pPr>
              <w:pStyle w:val="6"/>
              <w:rPr>
                <w:rFonts w:hint="eastAsia" w:eastAsiaTheme="minorEastAsia"/>
                <w:color w:val="000000" w:themeColor="text1"/>
                <w:highlight w:val="none"/>
                <w:lang w:eastAsia="zh-CN"/>
                <w14:textFill>
                  <w14:solidFill>
                    <w14:schemeClr w14:val="tx1"/>
                  </w14:solidFill>
                </w14:textFill>
              </w:rPr>
            </w:pPr>
            <w:r>
              <w:rPr>
                <w:rFonts w:hint="eastAsia" w:ascii="仿宋_GB2312" w:hAnsi="仿宋_GB2312" w:eastAsia="仿宋_GB2312" w:cs="仿宋_GB2312"/>
                <w:color w:val="000000" w:themeColor="text1"/>
                <w:highlight w:val="none"/>
                <w:lang w:val="en-US" w:eastAsia="zh-CN"/>
                <w14:textFill>
                  <w14:solidFill>
                    <w14:schemeClr w14:val="tx1"/>
                  </w14:solidFill>
                </w14:textFill>
              </w:rPr>
              <w:t>7</w:t>
            </w:r>
          </w:p>
        </w:tc>
        <w:tc>
          <w:tcPr>
            <w:tcW w:w="777" w:type="dxa"/>
          </w:tcPr>
          <w:p w14:paraId="248BEA5F">
            <w:pPr>
              <w:rPr>
                <w:color w:val="000000" w:themeColor="text1"/>
                <w:highlight w:val="none"/>
                <w14:textFill>
                  <w14:solidFill>
                    <w14:schemeClr w14:val="tx1"/>
                  </w14:solidFill>
                </w14:textFill>
              </w:rPr>
            </w:pPr>
          </w:p>
        </w:tc>
        <w:tc>
          <w:tcPr>
            <w:tcW w:w="7184" w:type="dxa"/>
          </w:tcPr>
          <w:p w14:paraId="605846A3">
            <w:pPr>
              <w:pStyle w:val="6"/>
              <w:jc w:val="both"/>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提供的系统在标准层进行数据清洗转换时，智能推荐数据表，为数据表的合并、关联提供支撑；并可以基于推荐的表进一步推荐字段。</w:t>
            </w:r>
          </w:p>
        </w:tc>
      </w:tr>
      <w:tr w14:paraId="4EE05D7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61" w:type="dxa"/>
          </w:tcPr>
          <w:p w14:paraId="0BC0D3D7">
            <w:pPr>
              <w:pStyle w:val="6"/>
              <w:rPr>
                <w:rFonts w:hint="eastAsia" w:ascii="仿宋_GB2312" w:hAnsi="仿宋_GB2312" w:eastAsia="仿宋_GB2312" w:cs="仿宋_GB2312"/>
                <w:color w:val="000000" w:themeColor="text1"/>
                <w:highlight w:val="none"/>
                <w:lang w:val="en-US" w:eastAsia="zh-CN"/>
                <w14:textFill>
                  <w14:solidFill>
                    <w14:schemeClr w14:val="tx1"/>
                  </w14:solidFill>
                </w14:textFill>
              </w:rPr>
            </w:pPr>
            <w:r>
              <w:rPr>
                <w:rFonts w:hint="eastAsia" w:ascii="仿宋_GB2312" w:hAnsi="仿宋_GB2312" w:eastAsia="仿宋_GB2312" w:cs="仿宋_GB2312"/>
                <w:color w:val="000000" w:themeColor="text1"/>
                <w:highlight w:val="none"/>
                <w:lang w:val="en-US" w:eastAsia="zh-CN"/>
                <w14:textFill>
                  <w14:solidFill>
                    <w14:schemeClr w14:val="tx1"/>
                  </w14:solidFill>
                </w14:textFill>
              </w:rPr>
              <w:t>8</w:t>
            </w:r>
          </w:p>
        </w:tc>
        <w:tc>
          <w:tcPr>
            <w:tcW w:w="777" w:type="dxa"/>
          </w:tcPr>
          <w:p w14:paraId="398D25DC">
            <w:pPr>
              <w:rPr>
                <w:color w:val="000000" w:themeColor="text1"/>
                <w:highlight w:val="none"/>
                <w14:textFill>
                  <w14:solidFill>
                    <w14:schemeClr w14:val="tx1"/>
                  </w14:solidFill>
                </w14:textFill>
              </w:rPr>
            </w:pPr>
          </w:p>
        </w:tc>
        <w:tc>
          <w:tcPr>
            <w:tcW w:w="7184" w:type="dxa"/>
          </w:tcPr>
          <w:p w14:paraId="08945418">
            <w:pPr>
              <w:pStyle w:val="6"/>
              <w:jc w:val="both"/>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▲AI数据质量检测：针对数据质检时需要配置成百上千个质检规则时，利用AI可根据元数据和语义快速生成可能的质检规则。</w:t>
            </w:r>
          </w:p>
        </w:tc>
      </w:tr>
      <w:tr w14:paraId="627FAEB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61" w:type="dxa"/>
          </w:tcPr>
          <w:p w14:paraId="1567646B">
            <w:pPr>
              <w:pStyle w:val="6"/>
              <w:rPr>
                <w:rFonts w:hint="default" w:ascii="仿宋_GB2312" w:hAnsi="仿宋_GB2312" w:eastAsia="仿宋_GB2312" w:cs="仿宋_GB2312"/>
                <w:color w:val="000000" w:themeColor="text1"/>
                <w:highlight w:val="none"/>
                <w:lang w:val="en-US" w:eastAsia="zh-CN"/>
                <w14:textFill>
                  <w14:solidFill>
                    <w14:schemeClr w14:val="tx1"/>
                  </w14:solidFill>
                </w14:textFill>
              </w:rPr>
            </w:pPr>
            <w:r>
              <w:rPr>
                <w:rFonts w:hint="eastAsia" w:ascii="仿宋_GB2312" w:hAnsi="仿宋_GB2312" w:eastAsia="仿宋_GB2312" w:cs="仿宋_GB2312"/>
                <w:color w:val="000000" w:themeColor="text1"/>
                <w:highlight w:val="none"/>
                <w:lang w:val="en-US" w:eastAsia="zh-CN"/>
                <w14:textFill>
                  <w14:solidFill>
                    <w14:schemeClr w14:val="tx1"/>
                  </w14:solidFill>
                </w14:textFill>
              </w:rPr>
              <w:t>9</w:t>
            </w:r>
          </w:p>
        </w:tc>
        <w:tc>
          <w:tcPr>
            <w:tcW w:w="777" w:type="dxa"/>
          </w:tcPr>
          <w:p w14:paraId="5A0FCF93">
            <w:pPr>
              <w:rPr>
                <w:color w:val="000000" w:themeColor="text1"/>
                <w:highlight w:val="none"/>
                <w14:textFill>
                  <w14:solidFill>
                    <w14:schemeClr w14:val="tx1"/>
                  </w14:solidFill>
                </w14:textFill>
              </w:rPr>
            </w:pPr>
          </w:p>
        </w:tc>
        <w:tc>
          <w:tcPr>
            <w:tcW w:w="7184" w:type="dxa"/>
          </w:tcPr>
          <w:p w14:paraId="18B1007C">
            <w:pPr>
              <w:pStyle w:val="6"/>
              <w:jc w:val="both"/>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▲AI数据分类分级：在系统内依次选择任意一个数据库、schema，AI即可对该表内所有字段实现自动分级分类，给出分级分类结果，详细展示每个字段的推荐分类分级结果，并给出推荐依据和推荐可信度。</w:t>
            </w:r>
          </w:p>
        </w:tc>
      </w:tr>
      <w:tr w14:paraId="742768E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61" w:type="dxa"/>
          </w:tcPr>
          <w:p w14:paraId="6BC0606F">
            <w:pPr>
              <w:pStyle w:val="6"/>
              <w:rPr>
                <w:rFonts w:hint="default" w:ascii="仿宋_GB2312" w:hAnsi="仿宋_GB2312" w:eastAsia="仿宋_GB2312" w:cs="仿宋_GB2312"/>
                <w:color w:val="000000" w:themeColor="text1"/>
                <w:highlight w:val="none"/>
                <w:lang w:val="en-US" w:eastAsia="zh-CN"/>
                <w14:textFill>
                  <w14:solidFill>
                    <w14:schemeClr w14:val="tx1"/>
                  </w14:solidFill>
                </w14:textFill>
              </w:rPr>
            </w:pPr>
            <w:r>
              <w:rPr>
                <w:rFonts w:hint="eastAsia" w:ascii="仿宋_GB2312" w:hAnsi="仿宋_GB2312" w:eastAsia="仿宋_GB2312" w:cs="仿宋_GB2312"/>
                <w:color w:val="000000" w:themeColor="text1"/>
                <w:highlight w:val="none"/>
                <w:lang w:val="en-US" w:eastAsia="zh-CN"/>
                <w14:textFill>
                  <w14:solidFill>
                    <w14:schemeClr w14:val="tx1"/>
                  </w14:solidFill>
                </w14:textFill>
              </w:rPr>
              <w:t>10</w:t>
            </w:r>
          </w:p>
        </w:tc>
        <w:tc>
          <w:tcPr>
            <w:tcW w:w="777" w:type="dxa"/>
          </w:tcPr>
          <w:p w14:paraId="08ED1578">
            <w:pPr>
              <w:rPr>
                <w:color w:val="000000" w:themeColor="text1"/>
                <w:highlight w:val="none"/>
                <w14:textFill>
                  <w14:solidFill>
                    <w14:schemeClr w14:val="tx1"/>
                  </w14:solidFill>
                </w14:textFill>
              </w:rPr>
            </w:pPr>
          </w:p>
        </w:tc>
        <w:tc>
          <w:tcPr>
            <w:tcW w:w="7184" w:type="dxa"/>
          </w:tcPr>
          <w:p w14:paraId="1106E7D9">
            <w:pPr>
              <w:pStyle w:val="6"/>
              <w:jc w:val="both"/>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4.</w:t>
            </w:r>
            <w:r>
              <w:rPr>
                <w:rFonts w:hint="default"/>
                <w:color w:val="000000" w:themeColor="text1"/>
                <w:highlight w:val="none"/>
                <w:lang w:val="en-US" w:eastAsia="zh-CN"/>
                <w14:textFill>
                  <w14:solidFill>
                    <w14:schemeClr w14:val="tx1"/>
                  </w14:solidFill>
                </w14:textFill>
              </w:rPr>
              <w:t>系统融合要求</w:t>
            </w:r>
          </w:p>
          <w:p w14:paraId="2403BEBF">
            <w:pPr>
              <w:pStyle w:val="6"/>
              <w:jc w:val="both"/>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▲本次项目中提供的所有扩展能力需要和学校现有数据资产平台融合，需提供系统的融合承诺函加盖公章。</w:t>
            </w:r>
          </w:p>
        </w:tc>
      </w:tr>
      <w:tr w14:paraId="6E3F57E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61" w:type="dxa"/>
          </w:tcPr>
          <w:p w14:paraId="1560B798">
            <w:pPr>
              <w:pStyle w:val="6"/>
              <w:rPr>
                <w:rFonts w:hint="default" w:ascii="仿宋_GB2312" w:hAnsi="仿宋_GB2312" w:eastAsia="仿宋_GB2312" w:cs="仿宋_GB2312"/>
                <w:color w:val="000000" w:themeColor="text1"/>
                <w:highlight w:val="none"/>
                <w:lang w:val="en-US" w:eastAsia="zh-CN"/>
                <w14:textFill>
                  <w14:solidFill>
                    <w14:schemeClr w14:val="tx1"/>
                  </w14:solidFill>
                </w14:textFill>
              </w:rPr>
            </w:pPr>
            <w:r>
              <w:rPr>
                <w:rFonts w:hint="eastAsia" w:ascii="仿宋_GB2312" w:hAnsi="仿宋_GB2312" w:eastAsia="仿宋_GB2312" w:cs="仿宋_GB2312"/>
                <w:color w:val="000000" w:themeColor="text1"/>
                <w:highlight w:val="none"/>
                <w:lang w:val="en-US" w:eastAsia="zh-CN"/>
                <w14:textFill>
                  <w14:solidFill>
                    <w14:schemeClr w14:val="tx1"/>
                  </w14:solidFill>
                </w14:textFill>
              </w:rPr>
              <w:t>11</w:t>
            </w:r>
          </w:p>
        </w:tc>
        <w:tc>
          <w:tcPr>
            <w:tcW w:w="777" w:type="dxa"/>
          </w:tcPr>
          <w:p w14:paraId="193C686B">
            <w:pPr>
              <w:rPr>
                <w:color w:val="000000" w:themeColor="text1"/>
                <w:highlight w:val="none"/>
                <w14:textFill>
                  <w14:solidFill>
                    <w14:schemeClr w14:val="tx1"/>
                  </w14:solidFill>
                </w14:textFill>
              </w:rPr>
            </w:pPr>
          </w:p>
        </w:tc>
        <w:tc>
          <w:tcPr>
            <w:tcW w:w="7184" w:type="dxa"/>
          </w:tcPr>
          <w:p w14:paraId="312622AA">
            <w:pPr>
              <w:pStyle w:val="6"/>
              <w:ind w:firstLine="480" w:firstLineChars="200"/>
              <w:jc w:val="both"/>
              <w:rPr>
                <w:rFonts w:hint="default"/>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6.1.2.</w:t>
            </w:r>
            <w:r>
              <w:rPr>
                <w:rFonts w:hint="default"/>
                <w:color w:val="000000" w:themeColor="text1"/>
                <w:sz w:val="24"/>
                <w:szCs w:val="24"/>
                <w:highlight w:val="none"/>
                <w:lang w:val="en-US" w:eastAsia="zh-CN"/>
                <w14:textFill>
                  <w14:solidFill>
                    <w14:schemeClr w14:val="tx1"/>
                  </w14:solidFill>
                </w14:textFill>
              </w:rPr>
              <w:t>数据治理</w:t>
            </w:r>
          </w:p>
          <w:p w14:paraId="4D694863">
            <w:pPr>
              <w:pStyle w:val="6"/>
              <w:ind w:firstLine="400" w:firstLineChars="200"/>
              <w:jc w:val="both"/>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结合本次项目中梳理的学院数据内容进行专项数据治理，围绕校级数据决策驾驶舱和学院看板所需数据进行梳理，明确所需数据对应的数据来源，确定数据源头；</w:t>
            </w:r>
          </w:p>
          <w:p w14:paraId="35DD943C">
            <w:pPr>
              <w:pStyle w:val="6"/>
              <w:ind w:firstLine="400" w:firstLineChars="200"/>
              <w:jc w:val="both"/>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数据标准优化与扩展，一方面完成现有数据标准体系的优化，配合学校输出最新的数据标准，完成二级学院数据字典内容扩展和输出。另一方面完成平台内数据标准的更新。</w:t>
            </w:r>
          </w:p>
          <w:p w14:paraId="7F2FA73B">
            <w:pPr>
              <w:pStyle w:val="6"/>
              <w:ind w:firstLine="400" w:firstLineChars="200"/>
              <w:jc w:val="both"/>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针对有源头的数据进行数据全面集成，并进行数据的清洗、转换、去重等治理服务，确保数据质量。</w:t>
            </w:r>
          </w:p>
          <w:p w14:paraId="7EC630F8">
            <w:pPr>
              <w:pStyle w:val="6"/>
              <w:ind w:firstLine="400" w:firstLineChars="200"/>
              <w:jc w:val="both"/>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针对没有源头的数据进行专项梳理，明确数据管理部门，配合部门进行数据采集，完善数据内容。</w:t>
            </w:r>
          </w:p>
          <w:p w14:paraId="550CD9AE">
            <w:pPr>
              <w:pStyle w:val="6"/>
              <w:ind w:firstLine="400" w:firstLineChars="200"/>
              <w:jc w:val="both"/>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同时对学校现有数据平台中标准层的内容进行优化，进一步完善标准层数据模型。</w:t>
            </w:r>
          </w:p>
          <w:p w14:paraId="32B4BFE2">
            <w:pPr>
              <w:pStyle w:val="6"/>
              <w:ind w:firstLine="480" w:firstLineChars="200"/>
              <w:jc w:val="both"/>
              <w:rPr>
                <w:rFonts w:hint="default"/>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6.2</w:t>
            </w:r>
            <w:r>
              <w:rPr>
                <w:rFonts w:hint="default"/>
                <w:color w:val="000000" w:themeColor="text1"/>
                <w:sz w:val="24"/>
                <w:szCs w:val="24"/>
                <w:highlight w:val="none"/>
                <w:lang w:val="en-US" w:eastAsia="zh-CN"/>
                <w14:textFill>
                  <w14:solidFill>
                    <w14:schemeClr w14:val="tx1"/>
                  </w14:solidFill>
                </w14:textFill>
              </w:rPr>
              <w:t>学院门户</w:t>
            </w:r>
          </w:p>
          <w:p w14:paraId="4968F593">
            <w:pPr>
              <w:pStyle w:val="6"/>
              <w:ind w:firstLine="400" w:firstLineChars="200"/>
              <w:jc w:val="both"/>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基于学校统一办事大厅与数据门户，构建二级学院专属服务门户，实现“一院一门户、一院一中心、一院一看板”的一体化集成入口。学院门户利用校级统一身份认证平台，实现学院用户的统一权限体系，实现校内公共服务、学院专属应用、学院数据中心、学院数据看板、公共事务采集、教师业绩考核、日常办公的集中访问，提升学院治理数字化、服务线上化、管理可视化水平。具体内容如下：</w:t>
            </w:r>
          </w:p>
          <w:p w14:paraId="55455EC8">
            <w:pPr>
              <w:pStyle w:val="6"/>
              <w:ind w:firstLine="480" w:firstLineChars="200"/>
              <w:jc w:val="both"/>
              <w:rPr>
                <w:rFonts w:hint="default"/>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6.2.1.</w:t>
            </w:r>
            <w:r>
              <w:rPr>
                <w:rFonts w:hint="default"/>
                <w:color w:val="000000" w:themeColor="text1"/>
                <w:sz w:val="24"/>
                <w:szCs w:val="24"/>
                <w:highlight w:val="none"/>
                <w:lang w:val="en-US" w:eastAsia="zh-CN"/>
                <w14:textFill>
                  <w14:solidFill>
                    <w14:schemeClr w14:val="tx1"/>
                  </w14:solidFill>
                </w14:textFill>
              </w:rPr>
              <w:t>学院门户</w:t>
            </w:r>
          </w:p>
          <w:p w14:paraId="0DC6D0C2">
            <w:pPr>
              <w:pStyle w:val="6"/>
              <w:ind w:firstLine="400" w:firstLineChars="200"/>
              <w:jc w:val="both"/>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1、搭建统一的学院首页，建设学院简介、公告通知、新闻动态等各类内容，形成学院资讯内容的融合。</w:t>
            </w:r>
          </w:p>
          <w:p w14:paraId="2AA9DD21">
            <w:pPr>
              <w:pStyle w:val="6"/>
              <w:ind w:firstLine="400" w:firstLineChars="200"/>
              <w:jc w:val="both"/>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2、各学院门户统一展示相同的数据维度，核心数据卡片包括但不限于：在校生规模、教职工总数、高级职称人数、在研项目数、年度成果数等。</w:t>
            </w:r>
          </w:p>
          <w:p w14:paraId="7FA0B60D">
            <w:pPr>
              <w:pStyle w:val="6"/>
              <w:ind w:firstLine="400" w:firstLineChars="200"/>
              <w:jc w:val="both"/>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3、学院服务直通车：整合学院数据中心、数字学院看板、公共事务数据采集、教师业绩考核等各类服务。</w:t>
            </w:r>
          </w:p>
          <w:p w14:paraId="459DBCED">
            <w:pPr>
              <w:pStyle w:val="6"/>
              <w:ind w:firstLine="400" w:firstLineChars="200"/>
              <w:jc w:val="both"/>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4、学院服务整合：整合学院自行搭建的各类流程服务满足，满足学院最紧迫的业务办理需求。</w:t>
            </w:r>
          </w:p>
          <w:p w14:paraId="116EE4A3">
            <w:pPr>
              <w:pStyle w:val="6"/>
              <w:ind w:firstLine="400" w:firstLineChars="200"/>
              <w:jc w:val="both"/>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5、学校公共服务：整合校内与学院业务相关的教务服务、科研服务、学生管理服务、招生就业服务、财务资产服务等各类公共服务应用。</w:t>
            </w:r>
          </w:p>
          <w:p w14:paraId="3D425376">
            <w:pPr>
              <w:pStyle w:val="6"/>
              <w:ind w:firstLine="480" w:firstLineChars="200"/>
              <w:jc w:val="both"/>
              <w:rPr>
                <w:rFonts w:hint="default"/>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6.2.2.</w:t>
            </w:r>
            <w:r>
              <w:rPr>
                <w:rFonts w:hint="default"/>
                <w:color w:val="000000" w:themeColor="text1"/>
                <w:sz w:val="24"/>
                <w:szCs w:val="24"/>
                <w:highlight w:val="none"/>
                <w:lang w:val="en-US" w:eastAsia="zh-CN"/>
                <w14:textFill>
                  <w14:solidFill>
                    <w14:schemeClr w14:val="tx1"/>
                  </w14:solidFill>
                </w14:textFill>
              </w:rPr>
              <w:t>门户页面配置能力</w:t>
            </w:r>
          </w:p>
          <w:p w14:paraId="22562602">
            <w:pPr>
              <w:pStyle w:val="6"/>
              <w:ind w:firstLine="400" w:firstLineChars="200"/>
              <w:jc w:val="both"/>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实现与现有一网通办平台进行融合，完整的融合现有门户平台的用户管理、应用管理、待办、消息等基础管理能力，提供融合技术路线及承诺函加盖公章。</w:t>
            </w:r>
          </w:p>
          <w:p w14:paraId="7A2FB3DE">
            <w:pPr>
              <w:pStyle w:val="6"/>
              <w:ind w:firstLine="400" w:firstLineChars="200"/>
              <w:jc w:val="both"/>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提供门户页面配置功能，具体配置能力要求如下：</w:t>
            </w:r>
          </w:p>
          <w:p w14:paraId="0CD53E91">
            <w:pPr>
              <w:pStyle w:val="6"/>
              <w:ind w:firstLine="400" w:firstLineChars="200"/>
              <w:jc w:val="both"/>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1．站点管理</w:t>
            </w:r>
          </w:p>
          <w:p w14:paraId="0F2BDA36">
            <w:pPr>
              <w:pStyle w:val="6"/>
              <w:ind w:firstLine="400" w:firstLineChars="200"/>
              <w:jc w:val="both"/>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实现启用多个站点，每个站点需支持独立配置 PC 及 H5 方案，站点下可存在多套不同的展示方案，但是仅能生效一套。</w:t>
            </w:r>
          </w:p>
        </w:tc>
      </w:tr>
      <w:tr w14:paraId="796FA41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61" w:type="dxa"/>
          </w:tcPr>
          <w:p w14:paraId="494B9287">
            <w:pPr>
              <w:pStyle w:val="6"/>
              <w:rPr>
                <w:rFonts w:hint="default" w:ascii="仿宋_GB2312" w:hAnsi="仿宋_GB2312" w:eastAsia="仿宋_GB2312" w:cs="仿宋_GB2312"/>
                <w:color w:val="000000" w:themeColor="text1"/>
                <w:highlight w:val="none"/>
                <w:lang w:val="en-US" w:eastAsia="zh-CN"/>
                <w14:textFill>
                  <w14:solidFill>
                    <w14:schemeClr w14:val="tx1"/>
                  </w14:solidFill>
                </w14:textFill>
              </w:rPr>
            </w:pPr>
            <w:r>
              <w:rPr>
                <w:rFonts w:hint="eastAsia" w:ascii="仿宋_GB2312" w:hAnsi="仿宋_GB2312" w:eastAsia="仿宋_GB2312" w:cs="仿宋_GB2312"/>
                <w:color w:val="000000" w:themeColor="text1"/>
                <w:highlight w:val="none"/>
                <w:lang w:val="en-US" w:eastAsia="zh-CN"/>
                <w14:textFill>
                  <w14:solidFill>
                    <w14:schemeClr w14:val="tx1"/>
                  </w14:solidFill>
                </w14:textFill>
              </w:rPr>
              <w:t>12</w:t>
            </w:r>
          </w:p>
        </w:tc>
        <w:tc>
          <w:tcPr>
            <w:tcW w:w="777" w:type="dxa"/>
          </w:tcPr>
          <w:p w14:paraId="548EDED0">
            <w:pPr>
              <w:rPr>
                <w:color w:val="000000" w:themeColor="text1"/>
                <w:highlight w:val="none"/>
                <w14:textFill>
                  <w14:solidFill>
                    <w14:schemeClr w14:val="tx1"/>
                  </w14:solidFill>
                </w14:textFill>
              </w:rPr>
            </w:pPr>
          </w:p>
        </w:tc>
        <w:tc>
          <w:tcPr>
            <w:tcW w:w="7184" w:type="dxa"/>
          </w:tcPr>
          <w:p w14:paraId="656C4830">
            <w:pPr>
              <w:pStyle w:val="6"/>
              <w:ind w:firstLine="400" w:firstLineChars="200"/>
              <w:jc w:val="both"/>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（1）</w:t>
            </w:r>
            <w:r>
              <w:rPr>
                <w:rFonts w:hint="default"/>
                <w:color w:val="000000" w:themeColor="text1"/>
                <w:highlight w:val="none"/>
                <w:lang w:val="en-US" w:eastAsia="zh-CN"/>
                <w14:textFill>
                  <w14:solidFill>
                    <w14:schemeClr w14:val="tx1"/>
                  </w14:solidFill>
                </w14:textFill>
              </w:rPr>
              <w:t>站点创建</w:t>
            </w:r>
          </w:p>
          <w:p w14:paraId="3A5C4583">
            <w:pPr>
              <w:pStyle w:val="6"/>
              <w:ind w:firstLine="400" w:firstLineChars="200"/>
              <w:jc w:val="both"/>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w:t>
            </w:r>
            <w:r>
              <w:rPr>
                <w:rFonts w:hint="default"/>
                <w:color w:val="000000" w:themeColor="text1"/>
                <w:highlight w:val="none"/>
                <w:lang w:val="en-US" w:eastAsia="zh-CN"/>
                <w14:textFill>
                  <w14:solidFill>
                    <w14:schemeClr w14:val="tx1"/>
                  </w14:solidFill>
                </w14:textFill>
              </w:rPr>
              <w:t>实现配置站点名称、路由、管理员及授权类型，并支持排序，可按照站点对不同用户进行授权，拥有多个不同站点权限的用户可自行选择切换站点。可以基于模板进行门户页面设计，并支持管理员自行添加一级页、子节点，编辑、复制、停用、删除页面，配置页面内容及样式。实现在门户页面中添加容器，在容器中添加卡片数据，可切换视图查看。并支持配置容器中卡片显示设置、参数，需支持多卡片合并、卡片删除以及拖动卡片排序。</w:t>
            </w:r>
            <w:r>
              <w:rPr>
                <w:rFonts w:hint="default"/>
                <w:b/>
                <w:bCs/>
                <w:color w:val="000000" w:themeColor="text1"/>
                <w:highlight w:val="none"/>
                <w:lang w:val="en-US" w:eastAsia="zh-CN"/>
                <w14:textFill>
                  <w14:solidFill>
                    <w14:schemeClr w14:val="tx1"/>
                  </w14:solidFill>
                </w14:textFill>
              </w:rPr>
              <w:t>（需提供演示）</w:t>
            </w:r>
          </w:p>
        </w:tc>
      </w:tr>
      <w:tr w14:paraId="22FD880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61" w:type="dxa"/>
          </w:tcPr>
          <w:p w14:paraId="3028C824">
            <w:pPr>
              <w:pStyle w:val="6"/>
              <w:rPr>
                <w:rFonts w:hint="default" w:ascii="仿宋_GB2312" w:hAnsi="仿宋_GB2312" w:eastAsia="仿宋_GB2312" w:cs="仿宋_GB2312"/>
                <w:color w:val="000000" w:themeColor="text1"/>
                <w:highlight w:val="none"/>
                <w:lang w:val="en-US" w:eastAsia="zh-CN"/>
                <w14:textFill>
                  <w14:solidFill>
                    <w14:schemeClr w14:val="tx1"/>
                  </w14:solidFill>
                </w14:textFill>
              </w:rPr>
            </w:pPr>
            <w:r>
              <w:rPr>
                <w:rFonts w:hint="eastAsia" w:ascii="仿宋_GB2312" w:hAnsi="仿宋_GB2312" w:eastAsia="仿宋_GB2312" w:cs="仿宋_GB2312"/>
                <w:color w:val="000000" w:themeColor="text1"/>
                <w:highlight w:val="none"/>
                <w:lang w:val="en-US" w:eastAsia="zh-CN"/>
                <w14:textFill>
                  <w14:solidFill>
                    <w14:schemeClr w14:val="tx1"/>
                  </w14:solidFill>
                </w14:textFill>
              </w:rPr>
              <w:t>13</w:t>
            </w:r>
          </w:p>
        </w:tc>
        <w:tc>
          <w:tcPr>
            <w:tcW w:w="777" w:type="dxa"/>
          </w:tcPr>
          <w:p w14:paraId="4C0681AF">
            <w:pPr>
              <w:rPr>
                <w:color w:val="000000" w:themeColor="text1"/>
                <w:highlight w:val="none"/>
                <w14:textFill>
                  <w14:solidFill>
                    <w14:schemeClr w14:val="tx1"/>
                  </w14:solidFill>
                </w14:textFill>
              </w:rPr>
            </w:pPr>
          </w:p>
        </w:tc>
        <w:tc>
          <w:tcPr>
            <w:tcW w:w="7184" w:type="dxa"/>
          </w:tcPr>
          <w:p w14:paraId="0C1749C3">
            <w:pPr>
              <w:pStyle w:val="6"/>
              <w:ind w:firstLine="400" w:firstLineChars="200"/>
              <w:jc w:val="both"/>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当站点下存在多套不同展示方案时，可实现按 PC、移动 H5 分别配置自动启用时间（精确至年月日时分秒，可按年重复），方便按照预设自动切换本站点展示样式。每个站点下展示方案自动启用时间互不影响，同一站点时间唯一校验，无重复；仅一个方案配置自动启用时间，时间结束后继续启用该方案。</w:t>
            </w:r>
          </w:p>
          <w:p w14:paraId="4A364AE4">
            <w:pPr>
              <w:pStyle w:val="6"/>
              <w:ind w:firstLine="400" w:firstLineChars="200"/>
              <w:jc w:val="both"/>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2．PC 展示方案</w:t>
            </w:r>
          </w:p>
          <w:p w14:paraId="4BF4EBD0">
            <w:pPr>
              <w:pStyle w:val="6"/>
              <w:ind w:firstLine="400" w:firstLineChars="200"/>
              <w:jc w:val="both"/>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实现在站点下创建、编辑、删除、复制 PC 展示方案，并启用其一作为呈现形式。</w:t>
            </w:r>
          </w:p>
          <w:p w14:paraId="7138AD8C">
            <w:pPr>
              <w:pStyle w:val="6"/>
              <w:ind w:firstLine="400" w:firstLineChars="200"/>
              <w:jc w:val="both"/>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（1）</w:t>
            </w:r>
            <w:r>
              <w:rPr>
                <w:rFonts w:hint="default"/>
                <w:color w:val="000000" w:themeColor="text1"/>
                <w:highlight w:val="none"/>
                <w:lang w:val="en-US" w:eastAsia="zh-CN"/>
                <w14:textFill>
                  <w14:solidFill>
                    <w14:schemeClr w14:val="tx1"/>
                  </w14:solidFill>
                </w14:textFill>
              </w:rPr>
              <w:t>方案创建</w:t>
            </w:r>
          </w:p>
          <w:p w14:paraId="4BCAC29B">
            <w:pPr>
              <w:pStyle w:val="6"/>
              <w:ind w:firstLine="400" w:firstLineChars="200"/>
              <w:jc w:val="both"/>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实现基于系统模版创建，并可查看模版样式。系统应预置≥5套PC 模版方便学校进行快速引用。</w:t>
            </w:r>
          </w:p>
          <w:p w14:paraId="6CCCCAC1">
            <w:pPr>
              <w:pStyle w:val="6"/>
              <w:ind w:firstLine="400" w:firstLineChars="200"/>
              <w:jc w:val="both"/>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（2）</w:t>
            </w:r>
            <w:r>
              <w:rPr>
                <w:rFonts w:hint="default"/>
                <w:color w:val="000000" w:themeColor="text1"/>
                <w:highlight w:val="none"/>
                <w:lang w:val="en-US" w:eastAsia="zh-CN"/>
                <w14:textFill>
                  <w14:solidFill>
                    <w14:schemeClr w14:val="tx1"/>
                  </w14:solidFill>
                </w14:textFill>
              </w:rPr>
              <w:t>页面管理</w:t>
            </w:r>
          </w:p>
          <w:p w14:paraId="34CD1A01">
            <w:pPr>
              <w:pStyle w:val="6"/>
              <w:ind w:firstLine="400" w:firstLineChars="200"/>
              <w:jc w:val="both"/>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提供基于模板的标准化页面，并支持管理员自行添加一级页、子节点，编辑、复制、停用、删除页面，配置页面内容及样式。</w:t>
            </w:r>
          </w:p>
          <w:p w14:paraId="2353717A">
            <w:pPr>
              <w:pStyle w:val="6"/>
              <w:ind w:firstLine="400" w:firstLineChars="200"/>
              <w:jc w:val="both"/>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实现在页面中添加容器，在容器中添加卡片数据，可切换视图查看。并支持配置容器中卡片显示设置、参数，需支持多卡片合并、卡片删除以及拖动卡片排序。</w:t>
            </w:r>
          </w:p>
          <w:p w14:paraId="455C40D6">
            <w:pPr>
              <w:pStyle w:val="6"/>
              <w:ind w:firstLine="400" w:firstLineChars="200"/>
              <w:jc w:val="both"/>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（3）</w:t>
            </w:r>
            <w:r>
              <w:rPr>
                <w:rFonts w:hint="default"/>
                <w:color w:val="000000" w:themeColor="text1"/>
                <w:highlight w:val="none"/>
                <w:lang w:val="en-US" w:eastAsia="zh-CN"/>
                <w14:textFill>
                  <w14:solidFill>
                    <w14:schemeClr w14:val="tx1"/>
                  </w14:solidFill>
                </w14:textFill>
              </w:rPr>
              <w:t>全局设置</w:t>
            </w:r>
          </w:p>
          <w:p w14:paraId="13BFF2C5">
            <w:pPr>
              <w:pStyle w:val="6"/>
              <w:ind w:firstLine="400" w:firstLineChars="200"/>
              <w:jc w:val="both"/>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实现针对展示方案的全局管理设置，包括基本信息、菜单信息、左右侧边栏配置、本地化样式以及公告配置。</w:t>
            </w:r>
          </w:p>
          <w:p w14:paraId="2D5CA344">
            <w:pPr>
              <w:pStyle w:val="6"/>
              <w:ind w:firstLine="400" w:firstLineChars="200"/>
              <w:jc w:val="both"/>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基本信息：实现配置 logo、主题色、中性色、导航栏、等信息。</w:t>
            </w:r>
          </w:p>
          <w:p w14:paraId="2F8B0585">
            <w:pPr>
              <w:pStyle w:val="6"/>
              <w:ind w:firstLine="400" w:firstLineChars="200"/>
              <w:jc w:val="both"/>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菜单信息：实现创建及排序顶部菜单，配置对应页面、打开方式、权限。</w:t>
            </w:r>
          </w:p>
          <w:p w14:paraId="32C5B2D7">
            <w:pPr>
              <w:pStyle w:val="6"/>
              <w:ind w:firstLine="400" w:firstLineChars="200"/>
              <w:jc w:val="both"/>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下拉菜单配置：实现配置用户头像下拉抽屉式菜单内容、对应页面、打开方式、权限。</w:t>
            </w:r>
          </w:p>
          <w:p w14:paraId="1C3E91DA">
            <w:pPr>
              <w:pStyle w:val="6"/>
              <w:ind w:firstLine="400" w:firstLineChars="200"/>
              <w:jc w:val="both"/>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左/右侧边栏配置：实现配置左右侧边栏菜单，根据权限展示内容，支持内部页面和第三方链接，可进行添加、状态启停、移动、编辑、删除等操作。</w:t>
            </w:r>
          </w:p>
          <w:p w14:paraId="49A5644F">
            <w:pPr>
              <w:pStyle w:val="6"/>
              <w:ind w:firstLine="400" w:firstLineChars="200"/>
              <w:jc w:val="both"/>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本地化样式：实现提供修改样式入口，在文本编辑器配置 CSS 代码，保存后存储数据库并预加载至缓存。</w:t>
            </w:r>
          </w:p>
          <w:p w14:paraId="330F9AB5">
            <w:pPr>
              <w:pStyle w:val="6"/>
              <w:ind w:firstLine="400" w:firstLineChars="200"/>
              <w:jc w:val="both"/>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公告配置：实现启用公告、设置是否允许忽略、有效时间、倒计时，配置公告标题和内容。</w:t>
            </w:r>
          </w:p>
          <w:p w14:paraId="505F6751">
            <w:pPr>
              <w:pStyle w:val="6"/>
              <w:ind w:firstLine="400" w:firstLineChars="200"/>
              <w:jc w:val="both"/>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3．移动 H5 展示方案</w:t>
            </w:r>
          </w:p>
          <w:p w14:paraId="3C34D310">
            <w:pPr>
              <w:pStyle w:val="6"/>
              <w:ind w:firstLine="400" w:firstLineChars="200"/>
              <w:jc w:val="both"/>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实现在站点下创建、编辑、删除、复制移动 H5 展示方案，并启用其一作为呈现形式。</w:t>
            </w:r>
          </w:p>
          <w:p w14:paraId="0AEBD1C5">
            <w:pPr>
              <w:pStyle w:val="6"/>
              <w:ind w:firstLine="400" w:firstLineChars="200"/>
              <w:jc w:val="both"/>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（1）</w:t>
            </w:r>
            <w:r>
              <w:rPr>
                <w:rFonts w:hint="default"/>
                <w:color w:val="000000" w:themeColor="text1"/>
                <w:highlight w:val="none"/>
                <w:lang w:val="en-US" w:eastAsia="zh-CN"/>
                <w14:textFill>
                  <w14:solidFill>
                    <w14:schemeClr w14:val="tx1"/>
                  </w14:solidFill>
                </w14:textFill>
              </w:rPr>
              <w:t>方案创建</w:t>
            </w:r>
          </w:p>
          <w:p w14:paraId="13B848DD">
            <w:pPr>
              <w:pStyle w:val="6"/>
              <w:ind w:firstLine="400" w:firstLineChars="200"/>
              <w:jc w:val="both"/>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实现基于系统模版创建，并可查看模版样式。系统应预置≥3套移动 H5 模版方便学校进行快速引用。当 PC 端服务隐藏时，移动端搜索需过滤 PC 端服务。</w:t>
            </w:r>
          </w:p>
          <w:p w14:paraId="3654D6F2">
            <w:pPr>
              <w:pStyle w:val="6"/>
              <w:ind w:firstLine="400" w:firstLineChars="200"/>
              <w:jc w:val="both"/>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（2）</w:t>
            </w:r>
            <w:r>
              <w:rPr>
                <w:rFonts w:hint="default"/>
                <w:color w:val="000000" w:themeColor="text1"/>
                <w:highlight w:val="none"/>
                <w:lang w:val="en-US" w:eastAsia="zh-CN"/>
                <w14:textFill>
                  <w14:solidFill>
                    <w14:schemeClr w14:val="tx1"/>
                  </w14:solidFill>
                </w14:textFill>
              </w:rPr>
              <w:t>页面管理</w:t>
            </w:r>
          </w:p>
          <w:p w14:paraId="7220CD67">
            <w:pPr>
              <w:pStyle w:val="6"/>
              <w:ind w:firstLine="400" w:firstLineChars="200"/>
              <w:jc w:val="both"/>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实现添加、编辑、复制、停用、删除页面功能，配置页面内容及样式。</w:t>
            </w:r>
          </w:p>
          <w:p w14:paraId="66223B4A">
            <w:pPr>
              <w:pStyle w:val="6"/>
              <w:ind w:firstLine="400" w:firstLineChars="200"/>
              <w:jc w:val="both"/>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实现页面卡片显示设置、参数，需支持配置多个卡片、删除卡片、拖动卡片排序。</w:t>
            </w:r>
          </w:p>
          <w:p w14:paraId="5F5064F2">
            <w:pPr>
              <w:pStyle w:val="6"/>
              <w:ind w:firstLine="400" w:firstLineChars="200"/>
              <w:jc w:val="both"/>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（3）</w:t>
            </w:r>
            <w:r>
              <w:rPr>
                <w:rFonts w:hint="default"/>
                <w:color w:val="000000" w:themeColor="text1"/>
                <w:highlight w:val="none"/>
                <w:lang w:val="en-US" w:eastAsia="zh-CN"/>
                <w14:textFill>
                  <w14:solidFill>
                    <w14:schemeClr w14:val="tx1"/>
                  </w14:solidFill>
                </w14:textFill>
              </w:rPr>
              <w:t>全局设置</w:t>
            </w:r>
          </w:p>
          <w:p w14:paraId="515D029D">
            <w:pPr>
              <w:pStyle w:val="6"/>
              <w:ind w:firstLine="400" w:firstLineChars="200"/>
              <w:jc w:val="both"/>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基本信息：实现对创建的方案配置，包括logo、主题色、中性色、消息中心地址。</w:t>
            </w:r>
          </w:p>
          <w:p w14:paraId="4155CF05">
            <w:pPr>
              <w:pStyle w:val="6"/>
              <w:ind w:firstLine="400" w:firstLineChars="200"/>
              <w:jc w:val="both"/>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菜单信息：实现创建及排序顶部菜单，包括配置菜单名称、对应页面、打开方式、授权类型、图标、数量提醒地址。</w:t>
            </w:r>
          </w:p>
          <w:p w14:paraId="5B38CB32">
            <w:pPr>
              <w:pStyle w:val="6"/>
              <w:ind w:firstLine="400" w:firstLineChars="200"/>
              <w:jc w:val="both"/>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4．模版管理</w:t>
            </w:r>
          </w:p>
          <w:p w14:paraId="19FC6283">
            <w:pPr>
              <w:pStyle w:val="6"/>
              <w:ind w:firstLine="400" w:firstLineChars="200"/>
              <w:jc w:val="both"/>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实现查看系统内置模版数据，预览模版详情，进行模版筛选，同时可定制模版包的安装、卸载。</w:t>
            </w:r>
          </w:p>
          <w:p w14:paraId="42D893B4">
            <w:pPr>
              <w:pStyle w:val="6"/>
              <w:ind w:firstLine="400" w:firstLineChars="200"/>
              <w:jc w:val="both"/>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5．卡片管理</w:t>
            </w:r>
          </w:p>
          <w:p w14:paraId="02C3C404">
            <w:pPr>
              <w:pStyle w:val="6"/>
              <w:ind w:firstLine="400" w:firstLineChars="200"/>
              <w:jc w:val="both"/>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实现查看系统内置卡片数据，预览卡片详情，进行卡片筛选，同时可定制卡片包的安装、卸载。</w:t>
            </w:r>
          </w:p>
        </w:tc>
      </w:tr>
      <w:tr w14:paraId="7D227B2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61" w:type="dxa"/>
          </w:tcPr>
          <w:p w14:paraId="1CDF238F">
            <w:pPr>
              <w:pStyle w:val="6"/>
              <w:rPr>
                <w:rFonts w:hint="default" w:ascii="仿宋_GB2312" w:hAnsi="仿宋_GB2312" w:eastAsia="仿宋_GB2312" w:cs="仿宋_GB2312"/>
                <w:color w:val="000000" w:themeColor="text1"/>
                <w:highlight w:val="none"/>
                <w:lang w:val="en-US" w:eastAsia="zh-CN"/>
                <w14:textFill>
                  <w14:solidFill>
                    <w14:schemeClr w14:val="tx1"/>
                  </w14:solidFill>
                </w14:textFill>
              </w:rPr>
            </w:pPr>
            <w:r>
              <w:rPr>
                <w:rFonts w:hint="eastAsia" w:ascii="仿宋_GB2312" w:hAnsi="仿宋_GB2312" w:eastAsia="仿宋_GB2312" w:cs="仿宋_GB2312"/>
                <w:color w:val="000000" w:themeColor="text1"/>
                <w:highlight w:val="none"/>
                <w:lang w:val="en-US" w:eastAsia="zh-CN"/>
                <w14:textFill>
                  <w14:solidFill>
                    <w14:schemeClr w14:val="tx1"/>
                  </w14:solidFill>
                </w14:textFill>
              </w:rPr>
              <w:t>14</w:t>
            </w:r>
          </w:p>
        </w:tc>
        <w:tc>
          <w:tcPr>
            <w:tcW w:w="777" w:type="dxa"/>
          </w:tcPr>
          <w:p w14:paraId="2F84D00A">
            <w:pPr>
              <w:rPr>
                <w:color w:val="000000" w:themeColor="text1"/>
                <w:highlight w:val="none"/>
                <w14:textFill>
                  <w14:solidFill>
                    <w14:schemeClr w14:val="tx1"/>
                  </w14:solidFill>
                </w14:textFill>
              </w:rPr>
            </w:pPr>
          </w:p>
        </w:tc>
        <w:tc>
          <w:tcPr>
            <w:tcW w:w="7184" w:type="dxa"/>
          </w:tcPr>
          <w:p w14:paraId="7381C49C">
            <w:pPr>
              <w:pStyle w:val="6"/>
              <w:ind w:firstLine="400" w:firstLineChars="200"/>
              <w:jc w:val="both"/>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w:t>
            </w:r>
            <w:r>
              <w:rPr>
                <w:rFonts w:hint="eastAsia"/>
                <w:color w:val="000000" w:themeColor="text1"/>
                <w:highlight w:val="none"/>
                <w:lang w:val="en-US" w:eastAsia="zh-CN"/>
                <w14:textFill>
                  <w14:solidFill>
                    <w14:schemeClr w14:val="tx1"/>
                  </w14:solidFill>
                </w14:textFill>
              </w:rPr>
              <w:t>6.</w:t>
            </w:r>
            <w:r>
              <w:rPr>
                <w:rFonts w:hint="default"/>
                <w:color w:val="000000" w:themeColor="text1"/>
                <w:highlight w:val="none"/>
                <w:lang w:val="en-US" w:eastAsia="zh-CN"/>
                <w14:textFill>
                  <w14:solidFill>
                    <w14:schemeClr w14:val="tx1"/>
                  </w14:solidFill>
                </w14:textFill>
              </w:rPr>
              <w:t>系统在登录访问门户时，需满足5000以上用户并发访问，并发时间不超过1秒，事务成功率不低于99.9%</w:t>
            </w:r>
            <w:r>
              <w:rPr>
                <w:rFonts w:hint="eastAsia"/>
                <w:color w:val="000000" w:themeColor="text1"/>
                <w:highlight w:val="none"/>
                <w:lang w:val="en-US" w:eastAsia="zh-CN"/>
                <w14:textFill>
                  <w14:solidFill>
                    <w14:schemeClr w14:val="tx1"/>
                  </w14:solidFill>
                </w14:textFill>
              </w:rPr>
              <w:t>。</w:t>
            </w:r>
          </w:p>
        </w:tc>
      </w:tr>
      <w:tr w14:paraId="214EECB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61" w:type="dxa"/>
          </w:tcPr>
          <w:p w14:paraId="4B85AE66">
            <w:pPr>
              <w:pStyle w:val="6"/>
              <w:rPr>
                <w:rFonts w:hint="default" w:ascii="仿宋_GB2312" w:hAnsi="仿宋_GB2312" w:eastAsia="仿宋_GB2312" w:cs="仿宋_GB2312"/>
                <w:color w:val="000000" w:themeColor="text1"/>
                <w:highlight w:val="none"/>
                <w:lang w:val="en-US" w:eastAsia="zh-CN"/>
                <w14:textFill>
                  <w14:solidFill>
                    <w14:schemeClr w14:val="tx1"/>
                  </w14:solidFill>
                </w14:textFill>
              </w:rPr>
            </w:pPr>
            <w:r>
              <w:rPr>
                <w:rFonts w:hint="eastAsia" w:ascii="仿宋_GB2312" w:hAnsi="仿宋_GB2312" w:eastAsia="仿宋_GB2312" w:cs="仿宋_GB2312"/>
                <w:color w:val="000000" w:themeColor="text1"/>
                <w:highlight w:val="none"/>
                <w:lang w:val="en-US" w:eastAsia="zh-CN"/>
                <w14:textFill>
                  <w14:solidFill>
                    <w14:schemeClr w14:val="tx1"/>
                  </w14:solidFill>
                </w14:textFill>
              </w:rPr>
              <w:t>15</w:t>
            </w:r>
          </w:p>
        </w:tc>
        <w:tc>
          <w:tcPr>
            <w:tcW w:w="777" w:type="dxa"/>
          </w:tcPr>
          <w:p w14:paraId="73F3830C">
            <w:pPr>
              <w:rPr>
                <w:color w:val="000000" w:themeColor="text1"/>
                <w:highlight w:val="none"/>
                <w14:textFill>
                  <w14:solidFill>
                    <w14:schemeClr w14:val="tx1"/>
                  </w14:solidFill>
                </w14:textFill>
              </w:rPr>
            </w:pPr>
          </w:p>
        </w:tc>
        <w:tc>
          <w:tcPr>
            <w:tcW w:w="7184" w:type="dxa"/>
          </w:tcPr>
          <w:p w14:paraId="2FD683CC">
            <w:pPr>
              <w:pStyle w:val="6"/>
              <w:ind w:firstLine="480" w:firstLineChars="200"/>
              <w:jc w:val="both"/>
              <w:rPr>
                <w:rFonts w:hint="default"/>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6.2.3.</w:t>
            </w:r>
            <w:r>
              <w:rPr>
                <w:rFonts w:hint="default"/>
                <w:color w:val="000000" w:themeColor="text1"/>
                <w:sz w:val="24"/>
                <w:szCs w:val="24"/>
                <w:highlight w:val="none"/>
                <w:lang w:val="en-US" w:eastAsia="zh-CN"/>
                <w14:textFill>
                  <w14:solidFill>
                    <w14:schemeClr w14:val="tx1"/>
                  </w14:solidFill>
                </w14:textFill>
              </w:rPr>
              <w:t>现有大厅融合</w:t>
            </w:r>
          </w:p>
          <w:p w14:paraId="1654CCCC">
            <w:pPr>
              <w:pStyle w:val="6"/>
              <w:ind w:firstLine="400" w:firstLineChars="200"/>
              <w:jc w:val="both"/>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学院门户实现与学校统一身份认证、一网通办、数据中心、消息中心、权限平台深度集成，实现学院用户的单点登录、统一待办提醒、统一消息推送，学院数据可以实现与学校办事大厅数据的同源融合，权限互通。</w:t>
            </w:r>
          </w:p>
          <w:p w14:paraId="31C97C49">
            <w:pPr>
              <w:pStyle w:val="6"/>
              <w:ind w:firstLine="480" w:firstLineChars="200"/>
              <w:jc w:val="both"/>
              <w:rPr>
                <w:rFonts w:hint="default"/>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6.3.</w:t>
            </w:r>
            <w:r>
              <w:rPr>
                <w:rFonts w:hint="default"/>
                <w:color w:val="000000" w:themeColor="text1"/>
                <w:sz w:val="24"/>
                <w:szCs w:val="24"/>
                <w:highlight w:val="none"/>
                <w:lang w:val="en-US" w:eastAsia="zh-CN"/>
                <w14:textFill>
                  <w14:solidFill>
                    <w14:schemeClr w14:val="tx1"/>
                  </w14:solidFill>
                </w14:textFill>
              </w:rPr>
              <w:t>学院数据中心</w:t>
            </w:r>
          </w:p>
          <w:p w14:paraId="0A1A74C7">
            <w:pPr>
              <w:pStyle w:val="6"/>
              <w:ind w:firstLine="400" w:firstLineChars="200"/>
              <w:jc w:val="both"/>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建设学院数据中心，形成“一院一中心”，融合学院管理相关数据，提供多渠道采集学院基本信息、教职工信息、学生信息、科研、教学等不同维度数据的功能，其中学生数据从数据中心自动获取，教师数据从数据中心获取后，可进行数据线上确认，缺失数据补录、错误数据变更，通过一个入口查询多个维度的业绩数据，并以可视化图表的方式展示，提供学院数据看板，迅速掌握学院师资队学生信息、教学、科研等情况以及动态变化。</w:t>
            </w:r>
          </w:p>
          <w:p w14:paraId="563EFA30">
            <w:pPr>
              <w:pStyle w:val="6"/>
              <w:ind w:firstLine="480" w:firstLineChars="200"/>
              <w:jc w:val="both"/>
              <w:rPr>
                <w:rFonts w:hint="default"/>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6.3.1.</w:t>
            </w:r>
            <w:r>
              <w:rPr>
                <w:rFonts w:hint="default"/>
                <w:color w:val="000000" w:themeColor="text1"/>
                <w:sz w:val="24"/>
                <w:szCs w:val="24"/>
                <w:highlight w:val="none"/>
                <w:lang w:val="en-US" w:eastAsia="zh-CN"/>
                <w14:textFill>
                  <w14:solidFill>
                    <w14:schemeClr w14:val="tx1"/>
                  </w14:solidFill>
                </w14:textFill>
              </w:rPr>
              <w:t>学院数据首页</w:t>
            </w:r>
          </w:p>
          <w:p w14:paraId="367CA0C4">
            <w:pPr>
              <w:pStyle w:val="6"/>
              <w:ind w:firstLine="480" w:firstLineChars="200"/>
              <w:jc w:val="both"/>
              <w:rPr>
                <w:rFonts w:hint="default"/>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6.3.1.1</w:t>
            </w:r>
            <w:r>
              <w:rPr>
                <w:rFonts w:hint="default"/>
                <w:color w:val="000000" w:themeColor="text1"/>
                <w:sz w:val="24"/>
                <w:szCs w:val="24"/>
                <w:highlight w:val="none"/>
                <w:lang w:val="en-US" w:eastAsia="zh-CN"/>
                <w14:textFill>
                  <w14:solidFill>
                    <w14:schemeClr w14:val="tx1"/>
                  </w14:solidFill>
                </w14:textFill>
              </w:rPr>
              <w:t>学院管理首页</w:t>
            </w:r>
          </w:p>
          <w:p w14:paraId="68A87941">
            <w:pPr>
              <w:pStyle w:val="6"/>
              <w:ind w:firstLine="400" w:firstLineChars="200"/>
              <w:jc w:val="both"/>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首页以学院概览、师资队伍、学生工作、教育教学、科学研究等板块为核心，集中展示学院管理的关键统计数据，支持一键下钻查看明细数据，助力学院领导快速掌握学院发展全景。</w:t>
            </w:r>
          </w:p>
          <w:p w14:paraId="48EEE5AA">
            <w:pPr>
              <w:pStyle w:val="6"/>
              <w:ind w:firstLine="400" w:firstLineChars="200"/>
              <w:jc w:val="both"/>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实现学院学生情况、师资情况、教学情况、学科情况、科研情况、招生就业情况、创新创业等多维度数据展示。</w:t>
            </w:r>
          </w:p>
          <w:p w14:paraId="49CEA97B">
            <w:pPr>
              <w:pStyle w:val="6"/>
              <w:ind w:firstLine="480" w:firstLineChars="200"/>
              <w:jc w:val="both"/>
              <w:rPr>
                <w:rFonts w:hint="default"/>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6.3.1.2</w:t>
            </w:r>
            <w:r>
              <w:rPr>
                <w:rFonts w:hint="default"/>
                <w:color w:val="000000" w:themeColor="text1"/>
                <w:sz w:val="24"/>
                <w:szCs w:val="24"/>
                <w:highlight w:val="none"/>
                <w:lang w:val="en-US" w:eastAsia="zh-CN"/>
                <w14:textFill>
                  <w14:solidFill>
                    <w14:schemeClr w14:val="tx1"/>
                  </w14:solidFill>
                </w14:textFill>
              </w:rPr>
              <w:t>学院教师个人首页</w:t>
            </w:r>
          </w:p>
          <w:p w14:paraId="17B864E4">
            <w:pPr>
              <w:pStyle w:val="6"/>
              <w:ind w:firstLine="400" w:firstLineChars="200"/>
              <w:jc w:val="both"/>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首页以个人概览、教育教学、科学研究三大模块为核心，集中展示教师基础信息与职业发展关键统计数据，支持一键下钻查看明细数据，助力教师快速掌握个人发展全景。</w:t>
            </w:r>
          </w:p>
          <w:p w14:paraId="49B9CD07">
            <w:pPr>
              <w:pStyle w:val="6"/>
              <w:ind w:firstLine="400" w:firstLineChars="200"/>
              <w:jc w:val="both"/>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实现教师个体查看个人的概览信息，包含个人头像、个人信息卡片、数据时光、职称晋升轨迹、综合能力、近三年年度成果。</w:t>
            </w:r>
          </w:p>
          <w:p w14:paraId="4B7C8F23">
            <w:pPr>
              <w:pStyle w:val="6"/>
              <w:ind w:firstLine="400" w:firstLineChars="200"/>
              <w:jc w:val="both"/>
              <w:rPr>
                <w:rFonts w:hint="eastAsia"/>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实现教师查看个人的教学数据，包含来校授课总学时（含本专科授课总学时、研究生授课总学时）、来校授课总门数（含本专科生授课总门数、研究生授课总门数）、指导学生情况（含指导双创项目获奖数、指导学生竞赛获奖数、指导本专科生毕业设计数量）、教学成果数量（含一流课程数量、教改项目数量、教学成果奖数量）。点击可下钻查看明细数据，便于了解数据详情。</w:t>
            </w:r>
          </w:p>
        </w:tc>
      </w:tr>
      <w:tr w14:paraId="57137E9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61" w:type="dxa"/>
          </w:tcPr>
          <w:p w14:paraId="7A45011D">
            <w:pPr>
              <w:pStyle w:val="6"/>
              <w:rPr>
                <w:rFonts w:hint="default" w:ascii="仿宋_GB2312" w:hAnsi="仿宋_GB2312" w:eastAsia="仿宋_GB2312" w:cs="仿宋_GB2312"/>
                <w:color w:val="000000" w:themeColor="text1"/>
                <w:highlight w:val="none"/>
                <w:lang w:val="en-US" w:eastAsia="zh-CN"/>
                <w14:textFill>
                  <w14:solidFill>
                    <w14:schemeClr w14:val="tx1"/>
                  </w14:solidFill>
                </w14:textFill>
              </w:rPr>
            </w:pPr>
            <w:r>
              <w:rPr>
                <w:rFonts w:hint="eastAsia" w:ascii="仿宋_GB2312" w:hAnsi="仿宋_GB2312" w:eastAsia="仿宋_GB2312" w:cs="仿宋_GB2312"/>
                <w:color w:val="000000" w:themeColor="text1"/>
                <w:highlight w:val="none"/>
                <w:lang w:val="en-US" w:eastAsia="zh-CN"/>
                <w14:textFill>
                  <w14:solidFill>
                    <w14:schemeClr w14:val="tx1"/>
                  </w14:solidFill>
                </w14:textFill>
              </w:rPr>
              <w:t>16</w:t>
            </w:r>
          </w:p>
        </w:tc>
        <w:tc>
          <w:tcPr>
            <w:tcW w:w="777" w:type="dxa"/>
          </w:tcPr>
          <w:p w14:paraId="39B81F60">
            <w:pPr>
              <w:rPr>
                <w:color w:val="000000" w:themeColor="text1"/>
                <w:highlight w:val="none"/>
                <w14:textFill>
                  <w14:solidFill>
                    <w14:schemeClr w14:val="tx1"/>
                  </w14:solidFill>
                </w14:textFill>
              </w:rPr>
            </w:pPr>
          </w:p>
        </w:tc>
        <w:tc>
          <w:tcPr>
            <w:tcW w:w="7184" w:type="dxa"/>
          </w:tcPr>
          <w:p w14:paraId="4EC5EDAF">
            <w:pPr>
              <w:pStyle w:val="6"/>
              <w:ind w:firstLine="400" w:firstLineChars="200"/>
              <w:jc w:val="both"/>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w:t>
            </w:r>
            <w:r>
              <w:rPr>
                <w:rFonts w:hint="default"/>
                <w:color w:val="000000" w:themeColor="text1"/>
                <w:highlight w:val="none"/>
                <w:lang w:val="en-US" w:eastAsia="zh-CN"/>
                <w14:textFill>
                  <w14:solidFill>
                    <w14:schemeClr w14:val="tx1"/>
                  </w14:solidFill>
                </w14:textFill>
              </w:rPr>
              <w:t>系统预置涵盖人事、教学、科研等全维度数据的教师模型。支持根据学校实际需求灵活调整，包括对数据分类、模型表及字段的增删改查，并可为字段设置下拉、上传文件、日期时间等渲染类型。修改模型字段的渲染类型由文本变为下拉并添加下拉字典后，教师及业务管理人员在【我的数据】和【数据管理】页面看到的该字段显示样式将变为下拉，并可选择对应的字典项。</w:t>
            </w:r>
            <w:r>
              <w:rPr>
                <w:rFonts w:hint="default"/>
                <w:b/>
                <w:bCs/>
                <w:color w:val="000000" w:themeColor="text1"/>
                <w:highlight w:val="none"/>
                <w:lang w:val="en-US" w:eastAsia="zh-CN"/>
                <w14:textFill>
                  <w14:solidFill>
                    <w14:schemeClr w14:val="tx1"/>
                  </w14:solidFill>
                </w14:textFill>
              </w:rPr>
              <w:t>（需提供演示）</w:t>
            </w:r>
          </w:p>
        </w:tc>
      </w:tr>
      <w:tr w14:paraId="74F161C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61" w:type="dxa"/>
          </w:tcPr>
          <w:p w14:paraId="70C5240E">
            <w:pPr>
              <w:pStyle w:val="6"/>
              <w:rPr>
                <w:rFonts w:hint="default" w:ascii="仿宋_GB2312" w:hAnsi="仿宋_GB2312" w:eastAsia="仿宋_GB2312" w:cs="仿宋_GB2312"/>
                <w:color w:val="000000" w:themeColor="text1"/>
                <w:highlight w:val="none"/>
                <w:lang w:val="en-US" w:eastAsia="zh-CN"/>
                <w14:textFill>
                  <w14:solidFill>
                    <w14:schemeClr w14:val="tx1"/>
                  </w14:solidFill>
                </w14:textFill>
              </w:rPr>
            </w:pPr>
            <w:r>
              <w:rPr>
                <w:rFonts w:hint="eastAsia" w:ascii="仿宋_GB2312" w:hAnsi="仿宋_GB2312" w:eastAsia="仿宋_GB2312" w:cs="仿宋_GB2312"/>
                <w:color w:val="000000" w:themeColor="text1"/>
                <w:highlight w:val="none"/>
                <w:lang w:val="en-US" w:eastAsia="zh-CN"/>
                <w14:textFill>
                  <w14:solidFill>
                    <w14:schemeClr w14:val="tx1"/>
                  </w14:solidFill>
                </w14:textFill>
              </w:rPr>
              <w:t>17</w:t>
            </w:r>
          </w:p>
        </w:tc>
        <w:tc>
          <w:tcPr>
            <w:tcW w:w="777" w:type="dxa"/>
          </w:tcPr>
          <w:p w14:paraId="4E3F9161">
            <w:pPr>
              <w:rPr>
                <w:color w:val="000000" w:themeColor="text1"/>
                <w:highlight w:val="none"/>
                <w14:textFill>
                  <w14:solidFill>
                    <w14:schemeClr w14:val="tx1"/>
                  </w14:solidFill>
                </w14:textFill>
              </w:rPr>
            </w:pPr>
          </w:p>
        </w:tc>
        <w:tc>
          <w:tcPr>
            <w:tcW w:w="7184" w:type="dxa"/>
          </w:tcPr>
          <w:p w14:paraId="77578A83">
            <w:pPr>
              <w:pStyle w:val="6"/>
              <w:ind w:firstLine="400" w:firstLineChars="200"/>
              <w:jc w:val="both"/>
              <w:rPr>
                <w:rFonts w:hint="eastAsia"/>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实现教师查看个人的科研数据，包含科研项目数量（含横向项目数量、纵向项目数量）、科研经费到账总额、入校以来发表论文总数及和全校的对比情况（包含以第一作者发表的论文数量、以通讯作者发表的论文数量及各级别论文数量）、科研著作数量、科研专利数量、研究报告数量、软件著作权数量、编制标准数量、艺术作品数量、科研成果奖数量。点击可下钻查看明细数据，便于了解数据详情。</w:t>
            </w:r>
          </w:p>
        </w:tc>
      </w:tr>
      <w:tr w14:paraId="521F758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61" w:type="dxa"/>
          </w:tcPr>
          <w:p w14:paraId="179C7CB7">
            <w:pPr>
              <w:pStyle w:val="6"/>
              <w:rPr>
                <w:rFonts w:hint="default" w:ascii="仿宋_GB2312" w:hAnsi="仿宋_GB2312" w:eastAsia="仿宋_GB2312" w:cs="仿宋_GB2312"/>
                <w:color w:val="000000" w:themeColor="text1"/>
                <w:highlight w:val="none"/>
                <w:lang w:val="en-US" w:eastAsia="zh-CN"/>
                <w14:textFill>
                  <w14:solidFill>
                    <w14:schemeClr w14:val="tx1"/>
                  </w14:solidFill>
                </w14:textFill>
              </w:rPr>
            </w:pPr>
            <w:r>
              <w:rPr>
                <w:rFonts w:hint="eastAsia" w:ascii="仿宋_GB2312" w:hAnsi="仿宋_GB2312" w:eastAsia="仿宋_GB2312" w:cs="仿宋_GB2312"/>
                <w:color w:val="000000" w:themeColor="text1"/>
                <w:highlight w:val="none"/>
                <w:lang w:val="en-US" w:eastAsia="zh-CN"/>
                <w14:textFill>
                  <w14:solidFill>
                    <w14:schemeClr w14:val="tx1"/>
                  </w14:solidFill>
                </w14:textFill>
              </w:rPr>
              <w:t>18</w:t>
            </w:r>
          </w:p>
        </w:tc>
        <w:tc>
          <w:tcPr>
            <w:tcW w:w="777" w:type="dxa"/>
          </w:tcPr>
          <w:p w14:paraId="50656110">
            <w:pPr>
              <w:rPr>
                <w:color w:val="000000" w:themeColor="text1"/>
                <w:highlight w:val="none"/>
                <w14:textFill>
                  <w14:solidFill>
                    <w14:schemeClr w14:val="tx1"/>
                  </w14:solidFill>
                </w14:textFill>
              </w:rPr>
            </w:pPr>
          </w:p>
        </w:tc>
        <w:tc>
          <w:tcPr>
            <w:tcW w:w="7184" w:type="dxa"/>
          </w:tcPr>
          <w:p w14:paraId="78680F80">
            <w:pPr>
              <w:pStyle w:val="6"/>
              <w:ind w:firstLine="400" w:firstLineChars="200"/>
              <w:jc w:val="both"/>
              <w:rPr>
                <w:rFonts w:hint="default"/>
                <w:color w:val="FF0000"/>
                <w:highlight w:val="none"/>
                <w:lang w:val="en-US" w:eastAsia="zh-CN"/>
              </w:rPr>
            </w:pPr>
            <w:r>
              <w:rPr>
                <w:rFonts w:hint="default"/>
                <w:color w:val="FF0000"/>
                <w:highlight w:val="none"/>
                <w:lang w:val="en-US" w:eastAsia="zh-CN"/>
              </w:rPr>
              <w:t>实现教师查看个人的创新创业、获奖等其他信息。</w:t>
            </w:r>
          </w:p>
          <w:p w14:paraId="7F7D4743">
            <w:pPr>
              <w:pStyle w:val="6"/>
              <w:ind w:firstLine="400" w:firstLineChars="200"/>
              <w:jc w:val="both"/>
              <w:rPr>
                <w:rFonts w:hint="default"/>
                <w:color w:val="000000" w:themeColor="text1"/>
                <w:highlight w:val="none"/>
                <w:lang w:val="en-US" w:eastAsia="zh-CN"/>
                <w14:textFill>
                  <w14:solidFill>
                    <w14:schemeClr w14:val="tx1"/>
                  </w14:solidFill>
                </w14:textFill>
              </w:rPr>
            </w:pPr>
            <w:r>
              <w:rPr>
                <w:rFonts w:hint="default"/>
                <w:color w:val="FF0000"/>
                <w:highlight w:val="none"/>
                <w:lang w:val="en-US" w:eastAsia="zh-CN"/>
              </w:rPr>
              <w:t>实现教师对个人问题数据进行纠错反馈，有系统的直接跳转对应系统进行纠错，没有系统的通过学院数据中心进行直接纠错填报，已经审核过的数据反馈学院相应管理人员。</w:t>
            </w:r>
          </w:p>
          <w:p w14:paraId="603294AC">
            <w:pPr>
              <w:pStyle w:val="6"/>
              <w:ind w:firstLine="480" w:firstLineChars="200"/>
              <w:jc w:val="both"/>
              <w:rPr>
                <w:rFonts w:hint="default"/>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6.3.2.</w:t>
            </w:r>
            <w:r>
              <w:rPr>
                <w:rFonts w:hint="default"/>
                <w:color w:val="000000" w:themeColor="text1"/>
                <w:sz w:val="24"/>
                <w:szCs w:val="24"/>
                <w:highlight w:val="none"/>
                <w:lang w:val="en-US" w:eastAsia="zh-CN"/>
                <w14:textFill>
                  <w14:solidFill>
                    <w14:schemeClr w14:val="tx1"/>
                  </w14:solidFill>
                </w14:textFill>
              </w:rPr>
              <w:t>二级学院公共数据采集</w:t>
            </w:r>
          </w:p>
          <w:p w14:paraId="03F2318A">
            <w:pPr>
              <w:pStyle w:val="6"/>
              <w:ind w:firstLine="400" w:firstLineChars="200"/>
              <w:jc w:val="both"/>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梳理学院公共数据，一方面从学校数据平台同步基础数据，并梳理缺失的数据内容，根据缺失内容建设二级学院公共数据采集表，进行公共数据采集。</w:t>
            </w:r>
          </w:p>
          <w:p w14:paraId="4BCC2A54">
            <w:pPr>
              <w:pStyle w:val="6"/>
              <w:ind w:firstLine="480" w:firstLineChars="200"/>
              <w:jc w:val="both"/>
              <w:rPr>
                <w:rFonts w:hint="default"/>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6.3.3.</w:t>
            </w:r>
            <w:r>
              <w:rPr>
                <w:rFonts w:hint="default"/>
                <w:color w:val="000000" w:themeColor="text1"/>
                <w:sz w:val="24"/>
                <w:szCs w:val="24"/>
                <w:highlight w:val="none"/>
                <w:lang w:val="en-US" w:eastAsia="zh-CN"/>
                <w14:textFill>
                  <w14:solidFill>
                    <w14:schemeClr w14:val="tx1"/>
                  </w14:solidFill>
                </w14:textFill>
              </w:rPr>
              <w:t>个性化数据采集</w:t>
            </w:r>
          </w:p>
          <w:p w14:paraId="50144156">
            <w:pPr>
              <w:pStyle w:val="6"/>
              <w:ind w:firstLine="400" w:firstLineChars="200"/>
              <w:jc w:val="both"/>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结合二级学院公共数据，调研学院个性化数据内容，建设学院个性化数据表，结合学院管理和业务需求，采集二级学院个性化数据内容，支持数据导入。支持数据采集审核，可以制定数据审核流程、审核负责人。</w:t>
            </w:r>
          </w:p>
          <w:p w14:paraId="11A5D35F">
            <w:pPr>
              <w:pStyle w:val="6"/>
              <w:ind w:firstLine="400" w:firstLineChars="200"/>
              <w:jc w:val="both"/>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教师通过学院门户，在教学业绩、科研业绩中相关数据有系统的直接跳转对应系统进行完善和填报，没有系统的通过数据中心或学校填报平台进行填报，所有填报数据需融合至校级数据中心和学院数据中心。</w:t>
            </w:r>
          </w:p>
          <w:p w14:paraId="2C0CBEEA">
            <w:pPr>
              <w:pStyle w:val="6"/>
              <w:ind w:firstLine="480" w:firstLineChars="200"/>
              <w:jc w:val="both"/>
              <w:rPr>
                <w:rFonts w:hint="default"/>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6.3.4.</w:t>
            </w:r>
            <w:r>
              <w:rPr>
                <w:rFonts w:hint="default"/>
                <w:color w:val="000000" w:themeColor="text1"/>
                <w:sz w:val="24"/>
                <w:szCs w:val="24"/>
                <w:highlight w:val="none"/>
                <w:lang w:val="en-US" w:eastAsia="zh-CN"/>
                <w14:textFill>
                  <w14:solidFill>
                    <w14:schemeClr w14:val="tx1"/>
                  </w14:solidFill>
                </w14:textFill>
              </w:rPr>
              <w:t>数据审核</w:t>
            </w:r>
          </w:p>
          <w:p w14:paraId="35B5B466">
            <w:pPr>
              <w:pStyle w:val="6"/>
              <w:ind w:firstLine="400" w:firstLineChars="200"/>
              <w:jc w:val="both"/>
              <w:rPr>
                <w:rFonts w:hint="eastAsia"/>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实现查看待审核和已审核数据列表，包含数据信息、提交人和提交时间，可查看待审核的数据量。支持批量审核通过数据。</w:t>
            </w:r>
          </w:p>
        </w:tc>
      </w:tr>
      <w:tr w14:paraId="7D4544C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61" w:type="dxa"/>
          </w:tcPr>
          <w:p w14:paraId="367C67F0">
            <w:pPr>
              <w:pStyle w:val="6"/>
              <w:rPr>
                <w:rFonts w:hint="default" w:ascii="仿宋_GB2312" w:hAnsi="仿宋_GB2312" w:eastAsia="仿宋_GB2312" w:cs="仿宋_GB2312"/>
                <w:color w:val="000000" w:themeColor="text1"/>
                <w:highlight w:val="none"/>
                <w:lang w:val="en-US" w:eastAsia="zh-CN"/>
                <w14:textFill>
                  <w14:solidFill>
                    <w14:schemeClr w14:val="tx1"/>
                  </w14:solidFill>
                </w14:textFill>
              </w:rPr>
            </w:pPr>
            <w:r>
              <w:rPr>
                <w:rFonts w:hint="eastAsia" w:ascii="仿宋_GB2312" w:hAnsi="仿宋_GB2312" w:eastAsia="仿宋_GB2312" w:cs="仿宋_GB2312"/>
                <w:color w:val="000000" w:themeColor="text1"/>
                <w:highlight w:val="none"/>
                <w:lang w:val="en-US" w:eastAsia="zh-CN"/>
                <w14:textFill>
                  <w14:solidFill>
                    <w14:schemeClr w14:val="tx1"/>
                  </w14:solidFill>
                </w14:textFill>
              </w:rPr>
              <w:t>19</w:t>
            </w:r>
          </w:p>
        </w:tc>
        <w:tc>
          <w:tcPr>
            <w:tcW w:w="777" w:type="dxa"/>
          </w:tcPr>
          <w:p w14:paraId="2E505A75">
            <w:pPr>
              <w:rPr>
                <w:color w:val="000000" w:themeColor="text1"/>
                <w:highlight w:val="none"/>
                <w14:textFill>
                  <w14:solidFill>
                    <w14:schemeClr w14:val="tx1"/>
                  </w14:solidFill>
                </w14:textFill>
              </w:rPr>
            </w:pPr>
          </w:p>
        </w:tc>
        <w:tc>
          <w:tcPr>
            <w:tcW w:w="7184" w:type="dxa"/>
          </w:tcPr>
          <w:p w14:paraId="7FC3ECE7">
            <w:pPr>
              <w:pStyle w:val="6"/>
              <w:ind w:firstLine="400" w:firstLineChars="200"/>
              <w:jc w:val="both"/>
              <w:rPr>
                <w:rFonts w:hint="eastAsia"/>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实现审核时查看提交的数据详情、变更前后的对比情况及流程信息。支持填写审核意见等。实现查看已经审核的数据及详情，审核后的数据若下一个节点审核人还未审核并且当前节点非最后一个节点，当前节点审核人可撤回已经审核的数据。</w:t>
            </w:r>
          </w:p>
        </w:tc>
      </w:tr>
      <w:tr w14:paraId="4BEAE7B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61" w:type="dxa"/>
          </w:tcPr>
          <w:p w14:paraId="5C0A3619">
            <w:pPr>
              <w:pStyle w:val="6"/>
              <w:rPr>
                <w:rFonts w:hint="default" w:ascii="仿宋_GB2312" w:hAnsi="仿宋_GB2312" w:eastAsia="仿宋_GB2312" w:cs="仿宋_GB2312"/>
                <w:color w:val="000000" w:themeColor="text1"/>
                <w:highlight w:val="none"/>
                <w:lang w:val="en-US" w:eastAsia="zh-CN"/>
                <w14:textFill>
                  <w14:solidFill>
                    <w14:schemeClr w14:val="tx1"/>
                  </w14:solidFill>
                </w14:textFill>
              </w:rPr>
            </w:pPr>
            <w:r>
              <w:rPr>
                <w:rFonts w:hint="eastAsia" w:ascii="仿宋_GB2312" w:hAnsi="仿宋_GB2312" w:eastAsia="仿宋_GB2312" w:cs="仿宋_GB2312"/>
                <w:color w:val="000000" w:themeColor="text1"/>
                <w:highlight w:val="none"/>
                <w:lang w:val="en-US" w:eastAsia="zh-CN"/>
                <w14:textFill>
                  <w14:solidFill>
                    <w14:schemeClr w14:val="tx1"/>
                  </w14:solidFill>
                </w14:textFill>
              </w:rPr>
              <w:t>20</w:t>
            </w:r>
          </w:p>
        </w:tc>
        <w:tc>
          <w:tcPr>
            <w:tcW w:w="777" w:type="dxa"/>
          </w:tcPr>
          <w:p w14:paraId="66C1802F">
            <w:pPr>
              <w:rPr>
                <w:color w:val="000000" w:themeColor="text1"/>
                <w:highlight w:val="none"/>
                <w14:textFill>
                  <w14:solidFill>
                    <w14:schemeClr w14:val="tx1"/>
                  </w14:solidFill>
                </w14:textFill>
              </w:rPr>
            </w:pPr>
          </w:p>
        </w:tc>
        <w:tc>
          <w:tcPr>
            <w:tcW w:w="7184" w:type="dxa"/>
          </w:tcPr>
          <w:p w14:paraId="2A8E3653">
            <w:pPr>
              <w:pStyle w:val="6"/>
              <w:ind w:firstLine="480" w:firstLineChars="200"/>
              <w:jc w:val="both"/>
              <w:rPr>
                <w:rFonts w:hint="default"/>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6.3.5.</w:t>
            </w:r>
            <w:r>
              <w:rPr>
                <w:rFonts w:hint="default"/>
                <w:color w:val="000000" w:themeColor="text1"/>
                <w:sz w:val="24"/>
                <w:szCs w:val="24"/>
                <w:highlight w:val="none"/>
                <w:lang w:val="en-US" w:eastAsia="zh-CN"/>
                <w14:textFill>
                  <w14:solidFill>
                    <w14:schemeClr w14:val="tx1"/>
                  </w14:solidFill>
                </w14:textFill>
              </w:rPr>
              <w:t>模型管理</w:t>
            </w:r>
          </w:p>
          <w:p w14:paraId="5B3FBFC6">
            <w:pPr>
              <w:pStyle w:val="6"/>
              <w:ind w:firstLine="400" w:firstLineChars="200"/>
              <w:jc w:val="both"/>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1、提供覆盖教师和学生各方面的数据模型，可参考以下模型范围：</w:t>
            </w:r>
          </w:p>
          <w:p w14:paraId="314990BB">
            <w:pPr>
              <w:pStyle w:val="6"/>
              <w:ind w:firstLine="400" w:firstLineChars="200"/>
              <w:jc w:val="both"/>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（1）</w:t>
            </w:r>
            <w:r>
              <w:rPr>
                <w:rFonts w:hint="default"/>
                <w:color w:val="000000" w:themeColor="text1"/>
                <w:highlight w:val="none"/>
                <w:lang w:val="en-US" w:eastAsia="zh-CN"/>
                <w14:textFill>
                  <w14:solidFill>
                    <w14:schemeClr w14:val="tx1"/>
                  </w14:solidFill>
                </w14:textFill>
              </w:rPr>
              <w:t>师资队伍基本信息：教职工个人信息、家庭成员、教育经历、工作经历、联系信息、照片信息等。</w:t>
            </w:r>
          </w:p>
          <w:p w14:paraId="28D3AC93">
            <w:pPr>
              <w:pStyle w:val="6"/>
              <w:ind w:firstLine="400" w:firstLineChars="200"/>
              <w:jc w:val="both"/>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（2）</w:t>
            </w:r>
            <w:r>
              <w:rPr>
                <w:rFonts w:hint="default"/>
                <w:color w:val="000000" w:themeColor="text1"/>
                <w:highlight w:val="none"/>
                <w:lang w:val="en-US" w:eastAsia="zh-CN"/>
                <w14:textFill>
                  <w14:solidFill>
                    <w14:schemeClr w14:val="tx1"/>
                  </w14:solidFill>
                </w14:textFill>
              </w:rPr>
              <w:t>人事信息：资质信息、博士后信息、人才称号、社会兼职、学术团体兼职、学术期刊兼职、比赛兼职、奖励荣誉、考核记录、国内进修、国内培训、海外研修、校内调动、岗位等级聘任记录、职称评聘记录、干部职务信息等。数据需自动同步人事数据。</w:t>
            </w:r>
          </w:p>
          <w:p w14:paraId="4E836E16">
            <w:pPr>
              <w:pStyle w:val="6"/>
              <w:ind w:firstLine="400" w:firstLineChars="200"/>
              <w:jc w:val="both"/>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（3）</w:t>
            </w:r>
            <w:r>
              <w:rPr>
                <w:rFonts w:hint="default"/>
                <w:color w:val="000000" w:themeColor="text1"/>
                <w:highlight w:val="none"/>
                <w:lang w:val="en-US" w:eastAsia="zh-CN"/>
                <w14:textFill>
                  <w14:solidFill>
                    <w14:schemeClr w14:val="tx1"/>
                  </w14:solidFill>
                </w14:textFill>
              </w:rPr>
              <w:t>教育教学：本专科生授课、研究生授课、教学工作量、教改项目、教学成果奖、一流课程、指导创新创业项目、指导本专科生毕业论文（设计）、导师资格、指导研究生、指导学生竞赛获奖。数据需自动同步人事系统数据。</w:t>
            </w:r>
          </w:p>
          <w:p w14:paraId="161A51DC">
            <w:pPr>
              <w:pStyle w:val="6"/>
              <w:ind w:firstLine="400" w:firstLineChars="200"/>
              <w:jc w:val="both"/>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（4）</w:t>
            </w:r>
            <w:r>
              <w:rPr>
                <w:rFonts w:hint="default"/>
                <w:color w:val="000000" w:themeColor="text1"/>
                <w:highlight w:val="none"/>
                <w:lang w:val="en-US" w:eastAsia="zh-CN"/>
                <w14:textFill>
                  <w14:solidFill>
                    <w14:schemeClr w14:val="tx1"/>
                  </w14:solidFill>
                </w14:textFill>
              </w:rPr>
              <w:t>科学研究：科研项目（含科研项目、项目成员、项目经费、经费到账信息）、论文、著作、专利、软著、编制标准、研究报告、艺术作品、科研成果奖。</w:t>
            </w:r>
          </w:p>
          <w:p w14:paraId="66B35603">
            <w:pPr>
              <w:pStyle w:val="6"/>
              <w:ind w:firstLine="400" w:firstLineChars="200"/>
              <w:jc w:val="both"/>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（5）</w:t>
            </w:r>
            <w:r>
              <w:rPr>
                <w:rFonts w:hint="default"/>
                <w:color w:val="000000" w:themeColor="text1"/>
                <w:highlight w:val="none"/>
                <w:lang w:val="en-US" w:eastAsia="zh-CN"/>
                <w14:textFill>
                  <w14:solidFill>
                    <w14:schemeClr w14:val="tx1"/>
                  </w14:solidFill>
                </w14:textFill>
              </w:rPr>
              <w:t>学生基本信息：学生基本信息（个人信息、学籍信息、入学信息、联系方式、学籍异动记录、账号信息）、家庭信息（家庭情况、家庭成员）、学生任职信息等。</w:t>
            </w:r>
          </w:p>
          <w:p w14:paraId="50419646">
            <w:pPr>
              <w:pStyle w:val="6"/>
              <w:ind w:firstLine="400" w:firstLineChars="200"/>
              <w:jc w:val="both"/>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（6）</w:t>
            </w:r>
            <w:r>
              <w:rPr>
                <w:rFonts w:hint="default"/>
                <w:color w:val="000000" w:themeColor="text1"/>
                <w:highlight w:val="none"/>
                <w:lang w:val="en-US" w:eastAsia="zh-CN"/>
                <w14:textFill>
                  <w14:solidFill>
                    <w14:schemeClr w14:val="tx1"/>
                  </w14:solidFill>
                </w14:textFill>
              </w:rPr>
              <w:t>学生奖惩信息：奖学金获奖信息、荣誉称号信息、违纪处分信息等。</w:t>
            </w:r>
          </w:p>
          <w:p w14:paraId="745FCBB4">
            <w:pPr>
              <w:pStyle w:val="6"/>
              <w:ind w:firstLine="400" w:firstLineChars="200"/>
              <w:jc w:val="both"/>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（7）</w:t>
            </w:r>
            <w:r>
              <w:rPr>
                <w:rFonts w:hint="default"/>
                <w:color w:val="000000" w:themeColor="text1"/>
                <w:highlight w:val="none"/>
                <w:lang w:val="en-US" w:eastAsia="zh-CN"/>
                <w14:textFill>
                  <w14:solidFill>
                    <w14:schemeClr w14:val="tx1"/>
                  </w14:solidFill>
                </w14:textFill>
              </w:rPr>
              <w:t>学生资助信息：助学金信息、勤工助学信息、困难补助信息、助学贷款信息等。</w:t>
            </w:r>
          </w:p>
          <w:p w14:paraId="2F6CF59B">
            <w:pPr>
              <w:pStyle w:val="6"/>
              <w:ind w:firstLine="400" w:firstLineChars="200"/>
              <w:jc w:val="both"/>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（8）</w:t>
            </w:r>
            <w:r>
              <w:rPr>
                <w:rFonts w:hint="default"/>
                <w:color w:val="000000" w:themeColor="text1"/>
                <w:highlight w:val="none"/>
                <w:lang w:val="en-US" w:eastAsia="zh-CN"/>
                <w14:textFill>
                  <w14:solidFill>
                    <w14:schemeClr w14:val="tx1"/>
                  </w14:solidFill>
                </w14:textFill>
              </w:rPr>
              <w:t>学生宿舍信息：住宿信息、宿舍查寝记录、宿舍卫生检查记录、宿舍违纪记录等。</w:t>
            </w:r>
          </w:p>
          <w:p w14:paraId="4E10481B">
            <w:pPr>
              <w:pStyle w:val="6"/>
              <w:ind w:firstLine="400" w:firstLineChars="200"/>
              <w:jc w:val="both"/>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（9）</w:t>
            </w:r>
            <w:r>
              <w:rPr>
                <w:rFonts w:hint="default"/>
                <w:color w:val="000000" w:themeColor="text1"/>
                <w:highlight w:val="none"/>
                <w:lang w:val="en-US" w:eastAsia="zh-CN"/>
                <w14:textFill>
                  <w14:solidFill>
                    <w14:schemeClr w14:val="tx1"/>
                  </w14:solidFill>
                </w14:textFill>
              </w:rPr>
              <w:t>学生日常事务：图书借阅记录、一卡通消费记录、请假记录、节假日离返校记录、入伍管理、出国（境）留学记录、出国（境）项目等。</w:t>
            </w:r>
          </w:p>
          <w:p w14:paraId="0E0BFA3F">
            <w:pPr>
              <w:pStyle w:val="6"/>
              <w:ind w:firstLine="400" w:firstLineChars="200"/>
              <w:jc w:val="both"/>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（10）</w:t>
            </w:r>
            <w:r>
              <w:rPr>
                <w:rFonts w:hint="default"/>
                <w:color w:val="000000" w:themeColor="text1"/>
                <w:highlight w:val="none"/>
                <w:lang w:val="en-US" w:eastAsia="zh-CN"/>
                <w14:textFill>
                  <w14:solidFill>
                    <w14:schemeClr w14:val="tx1"/>
                  </w14:solidFill>
                </w14:textFill>
              </w:rPr>
              <w:t>学生校园生活：竞赛获奖信息、学生活动、学生社团、社会实践、志愿服务、党建培训、创新创业等。</w:t>
            </w:r>
          </w:p>
          <w:p w14:paraId="04C16395">
            <w:pPr>
              <w:pStyle w:val="6"/>
              <w:ind w:firstLine="400" w:firstLineChars="200"/>
              <w:jc w:val="both"/>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（11）</w:t>
            </w:r>
            <w:r>
              <w:rPr>
                <w:rFonts w:hint="default"/>
                <w:color w:val="000000" w:themeColor="text1"/>
                <w:highlight w:val="none"/>
                <w:lang w:val="en-US" w:eastAsia="zh-CN"/>
                <w14:textFill>
                  <w14:solidFill>
                    <w14:schemeClr w14:val="tx1"/>
                  </w14:solidFill>
                </w14:textFill>
              </w:rPr>
              <w:t>学生学习发展：培养方案、学业成绩、体测成绩、就业信息等。</w:t>
            </w:r>
          </w:p>
          <w:p w14:paraId="21546245">
            <w:pPr>
              <w:pStyle w:val="6"/>
              <w:ind w:firstLine="400" w:firstLineChars="200"/>
              <w:jc w:val="both"/>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2、能实现学院数据模型新增分类，可选择上级分类，设置本分类名称和编码。</w:t>
            </w:r>
          </w:p>
        </w:tc>
      </w:tr>
      <w:tr w14:paraId="0B80B0C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61" w:type="dxa"/>
          </w:tcPr>
          <w:p w14:paraId="0D6AA0ED">
            <w:pPr>
              <w:pStyle w:val="6"/>
              <w:rPr>
                <w:rFonts w:hint="default" w:ascii="仿宋_GB2312" w:hAnsi="仿宋_GB2312" w:eastAsia="仿宋_GB2312" w:cs="仿宋_GB2312"/>
                <w:color w:val="000000" w:themeColor="text1"/>
                <w:highlight w:val="none"/>
                <w:lang w:val="en-US" w:eastAsia="zh-CN"/>
                <w14:textFill>
                  <w14:solidFill>
                    <w14:schemeClr w14:val="tx1"/>
                  </w14:solidFill>
                </w14:textFill>
              </w:rPr>
            </w:pPr>
            <w:r>
              <w:rPr>
                <w:rFonts w:hint="eastAsia" w:ascii="仿宋_GB2312" w:hAnsi="仿宋_GB2312" w:eastAsia="仿宋_GB2312" w:cs="仿宋_GB2312"/>
                <w:color w:val="000000" w:themeColor="text1"/>
                <w:highlight w:val="none"/>
                <w:lang w:val="en-US" w:eastAsia="zh-CN"/>
                <w14:textFill>
                  <w14:solidFill>
                    <w14:schemeClr w14:val="tx1"/>
                  </w14:solidFill>
                </w14:textFill>
              </w:rPr>
              <w:t>21</w:t>
            </w:r>
          </w:p>
        </w:tc>
        <w:tc>
          <w:tcPr>
            <w:tcW w:w="777" w:type="dxa"/>
          </w:tcPr>
          <w:p w14:paraId="629D6FF0">
            <w:pPr>
              <w:rPr>
                <w:color w:val="000000" w:themeColor="text1"/>
                <w:highlight w:val="none"/>
                <w14:textFill>
                  <w14:solidFill>
                    <w14:schemeClr w14:val="tx1"/>
                  </w14:solidFill>
                </w14:textFill>
              </w:rPr>
            </w:pPr>
          </w:p>
        </w:tc>
        <w:tc>
          <w:tcPr>
            <w:tcW w:w="7184" w:type="dxa"/>
          </w:tcPr>
          <w:p w14:paraId="5862A8F9">
            <w:pPr>
              <w:pStyle w:val="6"/>
              <w:ind w:firstLine="400" w:firstLineChars="200"/>
              <w:jc w:val="both"/>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w:t>
            </w:r>
            <w:r>
              <w:rPr>
                <w:rFonts w:hint="default"/>
                <w:color w:val="000000" w:themeColor="text1"/>
                <w:highlight w:val="none"/>
                <w:lang w:val="en-US" w:eastAsia="zh-CN"/>
                <w14:textFill>
                  <w14:solidFill>
                    <w14:schemeClr w14:val="tx1"/>
                  </w14:solidFill>
                </w14:textFill>
              </w:rPr>
              <w:t>3、系统支持为每个模型配置数据来源，提供系统默认和自定义两种方式，其中，系统默认可配置来源业务系统的名称与访问地址；自定义可根据实际需求定义提示语，支持输入文字，并设置文字颜色、加粗、下划线、斜体格式，可添加文字链接地址的跳转。投标人需演示自定义配置模型提示语的过程，包括输入文字并添加链接地址，且链接地址需设置加粗样式。配置完成后，教师可在【我的数据】页面查看数据来源信息，并点击来源系统名称跳转至对应系统（如人事系统）中进行数据修改。</w:t>
            </w:r>
            <w:r>
              <w:rPr>
                <w:rFonts w:hint="default"/>
                <w:b/>
                <w:bCs/>
                <w:color w:val="000000" w:themeColor="text1"/>
                <w:highlight w:val="none"/>
                <w:lang w:val="en-US" w:eastAsia="zh-CN"/>
                <w14:textFill>
                  <w14:solidFill>
                    <w14:schemeClr w14:val="tx1"/>
                  </w14:solidFill>
                </w14:textFill>
              </w:rPr>
              <w:t>（需提供演示）</w:t>
            </w:r>
          </w:p>
        </w:tc>
      </w:tr>
      <w:tr w14:paraId="553E177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61" w:type="dxa"/>
          </w:tcPr>
          <w:p w14:paraId="279B46BE">
            <w:pPr>
              <w:pStyle w:val="6"/>
              <w:rPr>
                <w:rFonts w:hint="default" w:ascii="仿宋_GB2312" w:hAnsi="仿宋_GB2312" w:eastAsia="仿宋_GB2312" w:cs="仿宋_GB2312"/>
                <w:color w:val="000000" w:themeColor="text1"/>
                <w:highlight w:val="none"/>
                <w:lang w:val="en-US" w:eastAsia="zh-CN"/>
                <w14:textFill>
                  <w14:solidFill>
                    <w14:schemeClr w14:val="tx1"/>
                  </w14:solidFill>
                </w14:textFill>
              </w:rPr>
            </w:pPr>
            <w:r>
              <w:rPr>
                <w:rFonts w:hint="eastAsia" w:ascii="仿宋_GB2312" w:hAnsi="仿宋_GB2312" w:eastAsia="仿宋_GB2312" w:cs="仿宋_GB2312"/>
                <w:color w:val="000000" w:themeColor="text1"/>
                <w:highlight w:val="none"/>
                <w:lang w:val="en-US" w:eastAsia="zh-CN"/>
                <w14:textFill>
                  <w14:solidFill>
                    <w14:schemeClr w14:val="tx1"/>
                  </w14:solidFill>
                </w14:textFill>
              </w:rPr>
              <w:t>22</w:t>
            </w:r>
          </w:p>
        </w:tc>
        <w:tc>
          <w:tcPr>
            <w:tcW w:w="777" w:type="dxa"/>
          </w:tcPr>
          <w:p w14:paraId="1D23A253">
            <w:pPr>
              <w:rPr>
                <w:color w:val="000000" w:themeColor="text1"/>
                <w:highlight w:val="none"/>
                <w14:textFill>
                  <w14:solidFill>
                    <w14:schemeClr w14:val="tx1"/>
                  </w14:solidFill>
                </w14:textFill>
              </w:rPr>
            </w:pPr>
          </w:p>
        </w:tc>
        <w:tc>
          <w:tcPr>
            <w:tcW w:w="7184" w:type="dxa"/>
          </w:tcPr>
          <w:p w14:paraId="49BDDF7D">
            <w:pPr>
              <w:pStyle w:val="6"/>
              <w:ind w:firstLine="400" w:firstLineChars="200"/>
              <w:jc w:val="both"/>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4、实现将标准信息模型引入至学院数据中心，可设置分类、添加模型。</w:t>
            </w:r>
          </w:p>
          <w:p w14:paraId="6783110A">
            <w:pPr>
              <w:pStyle w:val="6"/>
              <w:ind w:firstLine="400" w:firstLineChars="200"/>
              <w:jc w:val="both"/>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5、实现添加单模型，可设置模型别名，可配置字段的信息，包含字段是否显示、是否为默认查询字段、是否为默认列表展示字段，支持设置字段分组，支持设置模型的默认排序条件（可设置按照多个字段进行升序/降序排列）。</w:t>
            </w:r>
          </w:p>
        </w:tc>
      </w:tr>
      <w:tr w14:paraId="504E964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61" w:type="dxa"/>
          </w:tcPr>
          <w:p w14:paraId="351748B2">
            <w:pPr>
              <w:pStyle w:val="6"/>
              <w:rPr>
                <w:rFonts w:hint="default" w:ascii="仿宋_GB2312" w:hAnsi="仿宋_GB2312" w:eastAsia="仿宋_GB2312" w:cs="仿宋_GB2312"/>
                <w:color w:val="000000" w:themeColor="text1"/>
                <w:highlight w:val="none"/>
                <w:lang w:val="en-US" w:eastAsia="zh-CN"/>
                <w14:textFill>
                  <w14:solidFill>
                    <w14:schemeClr w14:val="tx1"/>
                  </w14:solidFill>
                </w14:textFill>
              </w:rPr>
            </w:pPr>
            <w:r>
              <w:rPr>
                <w:rFonts w:hint="eastAsia" w:ascii="仿宋_GB2312" w:hAnsi="仿宋_GB2312" w:eastAsia="仿宋_GB2312" w:cs="仿宋_GB2312"/>
                <w:color w:val="000000" w:themeColor="text1"/>
                <w:highlight w:val="none"/>
                <w:lang w:val="en-US" w:eastAsia="zh-CN"/>
                <w14:textFill>
                  <w14:solidFill>
                    <w14:schemeClr w14:val="tx1"/>
                  </w14:solidFill>
                </w14:textFill>
              </w:rPr>
              <w:t>23</w:t>
            </w:r>
          </w:p>
        </w:tc>
        <w:tc>
          <w:tcPr>
            <w:tcW w:w="777" w:type="dxa"/>
          </w:tcPr>
          <w:p w14:paraId="0C58024F">
            <w:pPr>
              <w:rPr>
                <w:color w:val="000000" w:themeColor="text1"/>
                <w:highlight w:val="none"/>
                <w14:textFill>
                  <w14:solidFill>
                    <w14:schemeClr w14:val="tx1"/>
                  </w14:solidFill>
                </w14:textFill>
              </w:rPr>
            </w:pPr>
          </w:p>
        </w:tc>
        <w:tc>
          <w:tcPr>
            <w:tcW w:w="7184" w:type="dxa"/>
          </w:tcPr>
          <w:p w14:paraId="13C8BF70">
            <w:pPr>
              <w:pStyle w:val="6"/>
              <w:ind w:firstLine="400" w:firstLineChars="200"/>
              <w:jc w:val="both"/>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▲6、实现添加复合模型，可选择一个主模型和多个子模型，支持进行字段设置和主子模型间的关联字段和关联关系（一对一/一对多）设置，支持设置数据的默认排序条件。</w:t>
            </w:r>
          </w:p>
        </w:tc>
      </w:tr>
      <w:tr w14:paraId="7823371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61" w:type="dxa"/>
          </w:tcPr>
          <w:p w14:paraId="0297639F">
            <w:pPr>
              <w:pStyle w:val="6"/>
              <w:rPr>
                <w:rFonts w:hint="default" w:ascii="仿宋_GB2312" w:hAnsi="仿宋_GB2312" w:eastAsia="仿宋_GB2312" w:cs="仿宋_GB2312"/>
                <w:color w:val="000000" w:themeColor="text1"/>
                <w:highlight w:val="none"/>
                <w:lang w:val="en-US" w:eastAsia="zh-CN"/>
                <w14:textFill>
                  <w14:solidFill>
                    <w14:schemeClr w14:val="tx1"/>
                  </w14:solidFill>
                </w14:textFill>
              </w:rPr>
            </w:pPr>
            <w:r>
              <w:rPr>
                <w:rFonts w:hint="eastAsia" w:ascii="仿宋_GB2312" w:hAnsi="仿宋_GB2312" w:eastAsia="仿宋_GB2312" w:cs="仿宋_GB2312"/>
                <w:color w:val="000000" w:themeColor="text1"/>
                <w:highlight w:val="none"/>
                <w:lang w:val="en-US" w:eastAsia="zh-CN"/>
                <w14:textFill>
                  <w14:solidFill>
                    <w14:schemeClr w14:val="tx1"/>
                  </w14:solidFill>
                </w14:textFill>
              </w:rPr>
              <w:t>24</w:t>
            </w:r>
          </w:p>
        </w:tc>
        <w:tc>
          <w:tcPr>
            <w:tcW w:w="777" w:type="dxa"/>
          </w:tcPr>
          <w:p w14:paraId="4664544E">
            <w:pPr>
              <w:rPr>
                <w:color w:val="000000" w:themeColor="text1"/>
                <w:highlight w:val="none"/>
                <w14:textFill>
                  <w14:solidFill>
                    <w14:schemeClr w14:val="tx1"/>
                  </w14:solidFill>
                </w14:textFill>
              </w:rPr>
            </w:pPr>
          </w:p>
        </w:tc>
        <w:tc>
          <w:tcPr>
            <w:tcW w:w="7184" w:type="dxa"/>
          </w:tcPr>
          <w:p w14:paraId="642ED96D">
            <w:pPr>
              <w:pStyle w:val="6"/>
              <w:ind w:firstLine="400" w:firstLineChars="200"/>
              <w:jc w:val="both"/>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▲7、实现查看模型数据，复合模型数据（如项目、项目经费、经费到账）支持在详情中根据主子模型关联关系按照列表/表单展示，其中一对多关系按照列表展示，一对一关系按照表单展示。</w:t>
            </w:r>
          </w:p>
        </w:tc>
      </w:tr>
      <w:tr w14:paraId="60C9E5C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61" w:type="dxa"/>
          </w:tcPr>
          <w:p w14:paraId="13BAD156">
            <w:pPr>
              <w:pStyle w:val="6"/>
              <w:rPr>
                <w:rFonts w:hint="default" w:ascii="仿宋_GB2312" w:hAnsi="仿宋_GB2312" w:eastAsia="仿宋_GB2312" w:cs="仿宋_GB2312"/>
                <w:color w:val="000000" w:themeColor="text1"/>
                <w:highlight w:val="none"/>
                <w:lang w:val="en-US" w:eastAsia="zh-CN"/>
                <w14:textFill>
                  <w14:solidFill>
                    <w14:schemeClr w14:val="tx1"/>
                  </w14:solidFill>
                </w14:textFill>
              </w:rPr>
            </w:pPr>
            <w:r>
              <w:rPr>
                <w:rFonts w:hint="eastAsia" w:ascii="仿宋_GB2312" w:hAnsi="仿宋_GB2312" w:eastAsia="仿宋_GB2312" w:cs="仿宋_GB2312"/>
                <w:color w:val="000000" w:themeColor="text1"/>
                <w:highlight w:val="none"/>
                <w:lang w:val="en-US" w:eastAsia="zh-CN"/>
                <w14:textFill>
                  <w14:solidFill>
                    <w14:schemeClr w14:val="tx1"/>
                  </w14:solidFill>
                </w14:textFill>
              </w:rPr>
              <w:t>25</w:t>
            </w:r>
          </w:p>
        </w:tc>
        <w:tc>
          <w:tcPr>
            <w:tcW w:w="777" w:type="dxa"/>
          </w:tcPr>
          <w:p w14:paraId="54ACCA44">
            <w:pPr>
              <w:rPr>
                <w:color w:val="000000" w:themeColor="text1"/>
                <w:highlight w:val="none"/>
                <w14:textFill>
                  <w14:solidFill>
                    <w14:schemeClr w14:val="tx1"/>
                  </w14:solidFill>
                </w14:textFill>
              </w:rPr>
            </w:pPr>
          </w:p>
        </w:tc>
        <w:tc>
          <w:tcPr>
            <w:tcW w:w="7184" w:type="dxa"/>
          </w:tcPr>
          <w:p w14:paraId="3C90F2F3">
            <w:pPr>
              <w:pStyle w:val="6"/>
              <w:ind w:firstLine="480" w:firstLineChars="200"/>
              <w:jc w:val="both"/>
              <w:rPr>
                <w:rFonts w:hint="default"/>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6.3.6.</w:t>
            </w:r>
            <w:r>
              <w:rPr>
                <w:rFonts w:hint="default"/>
                <w:color w:val="000000" w:themeColor="text1"/>
                <w:sz w:val="24"/>
                <w:szCs w:val="24"/>
                <w:highlight w:val="none"/>
                <w:lang w:val="en-US" w:eastAsia="zh-CN"/>
                <w14:textFill>
                  <w14:solidFill>
                    <w14:schemeClr w14:val="tx1"/>
                  </w14:solidFill>
                </w14:textFill>
              </w:rPr>
              <w:t>数据集成</w:t>
            </w:r>
          </w:p>
          <w:p w14:paraId="3ECF3957">
            <w:pPr>
              <w:pStyle w:val="6"/>
              <w:ind w:firstLine="400" w:firstLineChars="200"/>
              <w:jc w:val="both"/>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1、对于来源（人事、教务、科研等）业务系统/数据资产管理平台的学院数据，使用数据集成工具用于辅助接入数据进行展示，包含数据源管理、任务管理、调度管理。</w:t>
            </w:r>
          </w:p>
          <w:p w14:paraId="0FD79093">
            <w:pPr>
              <w:pStyle w:val="6"/>
              <w:ind w:firstLine="400" w:firstLineChars="200"/>
              <w:jc w:val="both"/>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2、完成现有口腔、公卫学院等学院的已采集数据的集成。</w:t>
            </w:r>
          </w:p>
          <w:p w14:paraId="7D3A48D8">
            <w:pPr>
              <w:pStyle w:val="6"/>
              <w:ind w:firstLine="480" w:firstLineChars="200"/>
              <w:jc w:val="both"/>
              <w:rPr>
                <w:rFonts w:hint="default"/>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6.3.6.1.</w:t>
            </w:r>
            <w:r>
              <w:rPr>
                <w:rFonts w:hint="default"/>
                <w:color w:val="000000" w:themeColor="text1"/>
                <w:sz w:val="24"/>
                <w:szCs w:val="24"/>
                <w:highlight w:val="none"/>
                <w:lang w:val="en-US" w:eastAsia="zh-CN"/>
                <w14:textFill>
                  <w14:solidFill>
                    <w14:schemeClr w14:val="tx1"/>
                  </w14:solidFill>
                </w14:textFill>
              </w:rPr>
              <w:t>数据源管理</w:t>
            </w:r>
          </w:p>
          <w:p w14:paraId="13E199BE">
            <w:pPr>
              <w:pStyle w:val="6"/>
              <w:ind w:firstLine="400" w:firstLineChars="200"/>
              <w:jc w:val="both"/>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实现新增、编辑、测试、启用、停用、删除数据源，可以查看及管理来源系统数据源及其连接情况。</w:t>
            </w:r>
          </w:p>
          <w:p w14:paraId="6A461FB1">
            <w:pPr>
              <w:pStyle w:val="6"/>
              <w:ind w:firstLine="400" w:firstLineChars="200"/>
              <w:jc w:val="both"/>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实现连接关系型数据库、NOSQL、API类型的数据库。</w:t>
            </w:r>
          </w:p>
          <w:p w14:paraId="0F969ED3">
            <w:pPr>
              <w:pStyle w:val="6"/>
              <w:ind w:firstLine="480" w:firstLineChars="200"/>
              <w:jc w:val="both"/>
              <w:rPr>
                <w:rFonts w:hint="default"/>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6.3.6.2.</w:t>
            </w:r>
            <w:r>
              <w:rPr>
                <w:rFonts w:hint="default"/>
                <w:color w:val="000000" w:themeColor="text1"/>
                <w:sz w:val="24"/>
                <w:szCs w:val="24"/>
                <w:highlight w:val="none"/>
                <w:lang w:val="en-US" w:eastAsia="zh-CN"/>
                <w14:textFill>
                  <w14:solidFill>
                    <w14:schemeClr w14:val="tx1"/>
                  </w14:solidFill>
                </w14:textFill>
              </w:rPr>
              <w:t>任务管理</w:t>
            </w:r>
          </w:p>
          <w:p w14:paraId="0E875C92">
            <w:pPr>
              <w:pStyle w:val="6"/>
              <w:ind w:firstLine="400" w:firstLineChars="200"/>
              <w:jc w:val="both"/>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实现通过新增SQL、Kettle、API任务采集数据，支持运行任务并查看任务的运行结果，支持任务的启用、停用及删除、导入、导出。</w:t>
            </w:r>
          </w:p>
        </w:tc>
      </w:tr>
      <w:tr w14:paraId="35B4567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61" w:type="dxa"/>
          </w:tcPr>
          <w:p w14:paraId="760D594B">
            <w:pPr>
              <w:pStyle w:val="6"/>
              <w:rPr>
                <w:rFonts w:hint="default" w:ascii="仿宋_GB2312" w:hAnsi="仿宋_GB2312" w:eastAsia="仿宋_GB2312" w:cs="仿宋_GB2312"/>
                <w:color w:val="000000" w:themeColor="text1"/>
                <w:highlight w:val="none"/>
                <w:lang w:val="en-US" w:eastAsia="zh-CN"/>
                <w14:textFill>
                  <w14:solidFill>
                    <w14:schemeClr w14:val="tx1"/>
                  </w14:solidFill>
                </w14:textFill>
              </w:rPr>
            </w:pPr>
            <w:r>
              <w:rPr>
                <w:rFonts w:hint="eastAsia" w:ascii="仿宋_GB2312" w:hAnsi="仿宋_GB2312" w:eastAsia="仿宋_GB2312" w:cs="仿宋_GB2312"/>
                <w:color w:val="000000" w:themeColor="text1"/>
                <w:highlight w:val="none"/>
                <w:lang w:val="en-US" w:eastAsia="zh-CN"/>
                <w14:textFill>
                  <w14:solidFill>
                    <w14:schemeClr w14:val="tx1"/>
                  </w14:solidFill>
                </w14:textFill>
              </w:rPr>
              <w:t>26</w:t>
            </w:r>
          </w:p>
        </w:tc>
        <w:tc>
          <w:tcPr>
            <w:tcW w:w="777" w:type="dxa"/>
          </w:tcPr>
          <w:p w14:paraId="5978BC96">
            <w:pPr>
              <w:rPr>
                <w:color w:val="000000" w:themeColor="text1"/>
                <w:highlight w:val="none"/>
                <w14:textFill>
                  <w14:solidFill>
                    <w14:schemeClr w14:val="tx1"/>
                  </w14:solidFill>
                </w14:textFill>
              </w:rPr>
            </w:pPr>
          </w:p>
        </w:tc>
        <w:tc>
          <w:tcPr>
            <w:tcW w:w="7184" w:type="dxa"/>
          </w:tcPr>
          <w:p w14:paraId="6BF27FA2">
            <w:pPr>
              <w:pStyle w:val="6"/>
              <w:ind w:firstLine="400" w:firstLineChars="200"/>
              <w:jc w:val="both"/>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实现通过可视化界面配置任务，包含任务的基本信息、输入输出信息及调度信息。在SQL任务中，支持设置任务模式，可选择全量比较后写入、清空后全量写入、增量写入、拉链表写入，满足多种数据写入需求。在API任务中，支持新增API接口信息，可设置请求方式及请求参数、是否分页等，并可预览API接口的返回信息。支持选择任务分类、输出任务名称、选择任务模式（简易模式和专业模式）。并提供系统真实截图。</w:t>
            </w:r>
          </w:p>
        </w:tc>
      </w:tr>
      <w:tr w14:paraId="00E4176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61" w:type="dxa"/>
          </w:tcPr>
          <w:p w14:paraId="223A9BBC">
            <w:pPr>
              <w:pStyle w:val="6"/>
              <w:rPr>
                <w:rFonts w:hint="default" w:ascii="仿宋_GB2312" w:hAnsi="仿宋_GB2312" w:eastAsia="仿宋_GB2312" w:cs="仿宋_GB2312"/>
                <w:color w:val="000000" w:themeColor="text1"/>
                <w:highlight w:val="none"/>
                <w:lang w:val="en-US" w:eastAsia="zh-CN"/>
                <w14:textFill>
                  <w14:solidFill>
                    <w14:schemeClr w14:val="tx1"/>
                  </w14:solidFill>
                </w14:textFill>
              </w:rPr>
            </w:pPr>
            <w:r>
              <w:rPr>
                <w:rFonts w:hint="eastAsia" w:ascii="仿宋_GB2312" w:hAnsi="仿宋_GB2312" w:eastAsia="仿宋_GB2312" w:cs="仿宋_GB2312"/>
                <w:color w:val="000000" w:themeColor="text1"/>
                <w:highlight w:val="none"/>
                <w:lang w:val="en-US" w:eastAsia="zh-CN"/>
                <w14:textFill>
                  <w14:solidFill>
                    <w14:schemeClr w14:val="tx1"/>
                  </w14:solidFill>
                </w14:textFill>
              </w:rPr>
              <w:t>27</w:t>
            </w:r>
          </w:p>
        </w:tc>
        <w:tc>
          <w:tcPr>
            <w:tcW w:w="777" w:type="dxa"/>
          </w:tcPr>
          <w:p w14:paraId="1CC672ED">
            <w:pPr>
              <w:rPr>
                <w:color w:val="000000" w:themeColor="text1"/>
                <w:highlight w:val="none"/>
                <w14:textFill>
                  <w14:solidFill>
                    <w14:schemeClr w14:val="tx1"/>
                  </w14:solidFill>
                </w14:textFill>
              </w:rPr>
            </w:pPr>
          </w:p>
        </w:tc>
        <w:tc>
          <w:tcPr>
            <w:tcW w:w="7184" w:type="dxa"/>
          </w:tcPr>
          <w:p w14:paraId="06CEC4B3">
            <w:pPr>
              <w:pStyle w:val="6"/>
              <w:ind w:firstLine="480" w:firstLineChars="200"/>
              <w:jc w:val="both"/>
              <w:rPr>
                <w:rFonts w:hint="default"/>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6.3.6.3.</w:t>
            </w:r>
            <w:r>
              <w:rPr>
                <w:rFonts w:hint="default"/>
                <w:color w:val="000000" w:themeColor="text1"/>
                <w:sz w:val="24"/>
                <w:szCs w:val="24"/>
                <w:highlight w:val="none"/>
                <w:lang w:val="en-US" w:eastAsia="zh-CN"/>
                <w14:textFill>
                  <w14:solidFill>
                    <w14:schemeClr w14:val="tx1"/>
                  </w14:solidFill>
                </w14:textFill>
              </w:rPr>
              <w:t>调度管理</w:t>
            </w:r>
          </w:p>
          <w:p w14:paraId="370487BF">
            <w:pPr>
              <w:pStyle w:val="6"/>
              <w:ind w:firstLine="400" w:firstLineChars="200"/>
              <w:jc w:val="both"/>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实现设置任务的调度信息，设置后系统将按照调度时间自动采集数据，支持设置任务的前置任务，任务设置后将会先后被执行。</w:t>
            </w:r>
          </w:p>
          <w:p w14:paraId="13955B5A">
            <w:pPr>
              <w:pStyle w:val="6"/>
              <w:ind w:firstLine="400" w:firstLineChars="200"/>
              <w:jc w:val="both"/>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实现新增、编辑、启用、停用调度，支持使用cron表达式设置调度时间。</w:t>
            </w:r>
          </w:p>
        </w:tc>
      </w:tr>
      <w:tr w14:paraId="03ABC51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61" w:type="dxa"/>
            <w:shd w:val="clear" w:color="auto" w:fill="auto"/>
            <w:vAlign w:val="top"/>
          </w:tcPr>
          <w:p w14:paraId="3A901E55">
            <w:pPr>
              <w:pStyle w:val="6"/>
              <w:rPr>
                <w:rFonts w:hint="default" w:ascii="仿宋_GB2312" w:hAnsi="仿宋_GB2312" w:eastAsia="仿宋_GB2312" w:cs="仿宋_GB2312"/>
                <w:color w:val="000000" w:themeColor="text1"/>
                <w:highlight w:val="none"/>
                <w:lang w:val="en-US" w:eastAsia="zh-CN"/>
                <w14:textFill>
                  <w14:solidFill>
                    <w14:schemeClr w14:val="tx1"/>
                  </w14:solidFill>
                </w14:textFill>
              </w:rPr>
            </w:pPr>
            <w:r>
              <w:rPr>
                <w:rFonts w:hint="eastAsia" w:ascii="仿宋_GB2312" w:hAnsi="仿宋_GB2312" w:eastAsia="仿宋_GB2312" w:cs="仿宋_GB2312"/>
                <w:color w:val="000000" w:themeColor="text1"/>
                <w:highlight w:val="none"/>
                <w:lang w:val="en-US" w:eastAsia="zh-CN"/>
                <w14:textFill>
                  <w14:solidFill>
                    <w14:schemeClr w14:val="tx1"/>
                  </w14:solidFill>
                </w14:textFill>
              </w:rPr>
              <w:t>28</w:t>
            </w:r>
          </w:p>
        </w:tc>
        <w:tc>
          <w:tcPr>
            <w:tcW w:w="777" w:type="dxa"/>
          </w:tcPr>
          <w:p w14:paraId="2A7DEF02">
            <w:pPr>
              <w:rPr>
                <w:color w:val="000000" w:themeColor="text1"/>
                <w:highlight w:val="none"/>
                <w14:textFill>
                  <w14:solidFill>
                    <w14:schemeClr w14:val="tx1"/>
                  </w14:solidFill>
                </w14:textFill>
              </w:rPr>
            </w:pPr>
          </w:p>
        </w:tc>
        <w:tc>
          <w:tcPr>
            <w:tcW w:w="7184" w:type="dxa"/>
          </w:tcPr>
          <w:p w14:paraId="5AFB0D6B">
            <w:pPr>
              <w:pStyle w:val="6"/>
              <w:ind w:firstLine="480" w:firstLineChars="200"/>
              <w:jc w:val="both"/>
              <w:rPr>
                <w:rFonts w:hint="default"/>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6.3.7.</w:t>
            </w:r>
            <w:r>
              <w:rPr>
                <w:rFonts w:hint="default"/>
                <w:color w:val="000000" w:themeColor="text1"/>
                <w:sz w:val="24"/>
                <w:szCs w:val="24"/>
                <w:highlight w:val="none"/>
                <w:lang w:val="en-US" w:eastAsia="zh-CN"/>
                <w14:textFill>
                  <w14:solidFill>
                    <w14:schemeClr w14:val="tx1"/>
                  </w14:solidFill>
                </w14:textFill>
              </w:rPr>
              <w:t>数据权限管理</w:t>
            </w:r>
          </w:p>
          <w:p w14:paraId="6890E4CE">
            <w:pPr>
              <w:pStyle w:val="6"/>
              <w:ind w:firstLine="400" w:firstLineChars="200"/>
              <w:jc w:val="both"/>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实现灵活配置不同用户组对数据内容的操作权限、字段权限（包含仅查看、编辑需审核、编辑无需审核）及字段是否必填，实现分级分权管理数据。可针对数据中心中不正确、不完整的数据进行有针对性的数据纠错、补录。</w:t>
            </w:r>
          </w:p>
        </w:tc>
      </w:tr>
      <w:tr w14:paraId="1C632D1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61" w:type="dxa"/>
            <w:shd w:val="clear" w:color="auto" w:fill="auto"/>
            <w:vAlign w:val="top"/>
          </w:tcPr>
          <w:p w14:paraId="22F3F1F9">
            <w:pPr>
              <w:pStyle w:val="6"/>
              <w:rPr>
                <w:rFonts w:hint="default" w:ascii="仿宋_GB2312" w:hAnsi="仿宋_GB2312" w:eastAsia="仿宋_GB2312" w:cs="仿宋_GB2312"/>
                <w:color w:val="000000" w:themeColor="text1"/>
                <w:highlight w:val="none"/>
                <w:lang w:val="en-US" w:eastAsia="zh-CN"/>
                <w14:textFill>
                  <w14:solidFill>
                    <w14:schemeClr w14:val="tx1"/>
                  </w14:solidFill>
                </w14:textFill>
              </w:rPr>
            </w:pPr>
            <w:r>
              <w:rPr>
                <w:rFonts w:hint="eastAsia" w:ascii="仿宋_GB2312" w:hAnsi="仿宋_GB2312" w:eastAsia="仿宋_GB2312" w:cs="仿宋_GB2312"/>
                <w:color w:val="000000" w:themeColor="text1"/>
                <w:highlight w:val="none"/>
                <w:lang w:val="en-US" w:eastAsia="zh-CN"/>
                <w14:textFill>
                  <w14:solidFill>
                    <w14:schemeClr w14:val="tx1"/>
                  </w14:solidFill>
                </w14:textFill>
              </w:rPr>
              <w:t>29</w:t>
            </w:r>
          </w:p>
        </w:tc>
        <w:tc>
          <w:tcPr>
            <w:tcW w:w="777" w:type="dxa"/>
          </w:tcPr>
          <w:p w14:paraId="6B772378">
            <w:pPr>
              <w:rPr>
                <w:color w:val="000000" w:themeColor="text1"/>
                <w:highlight w:val="none"/>
                <w14:textFill>
                  <w14:solidFill>
                    <w14:schemeClr w14:val="tx1"/>
                  </w14:solidFill>
                </w14:textFill>
              </w:rPr>
            </w:pPr>
          </w:p>
        </w:tc>
        <w:tc>
          <w:tcPr>
            <w:tcW w:w="7184" w:type="dxa"/>
          </w:tcPr>
          <w:p w14:paraId="21D0B6E9">
            <w:pPr>
              <w:pStyle w:val="6"/>
              <w:ind w:firstLine="400" w:firstLineChars="200"/>
              <w:jc w:val="both"/>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实现配置数据来源，可使用系统默认和自定义两种，系统默认可配置数据来源业务系统名称和地址，辅助师生快速跳转源头系统提交数据管理。自定义可根据实际数据来源自行配置提示语，支持输入文字，可设置文字加粗、下划线、斜体，支持清除字体格式，支持设置文字颜色、添加文字链接地址的跳转。</w:t>
            </w:r>
          </w:p>
          <w:p w14:paraId="0A72CA53">
            <w:pPr>
              <w:pStyle w:val="6"/>
              <w:ind w:firstLine="400" w:firstLineChars="200"/>
              <w:jc w:val="both"/>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针对编辑需要审核的字段，支持配置审核流程，包括新建流程和编辑已有流程。流程设计时支持设置流程的条件模型，可用于设置条件分支。</w:t>
            </w:r>
          </w:p>
        </w:tc>
      </w:tr>
      <w:tr w14:paraId="103C7A2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61" w:type="dxa"/>
            <w:shd w:val="clear" w:color="auto" w:fill="auto"/>
            <w:vAlign w:val="top"/>
          </w:tcPr>
          <w:p w14:paraId="07A592FF">
            <w:pPr>
              <w:pStyle w:val="6"/>
              <w:rPr>
                <w:rFonts w:hint="default" w:ascii="仿宋_GB2312" w:hAnsi="仿宋_GB2312" w:eastAsia="仿宋_GB2312" w:cs="仿宋_GB2312"/>
                <w:color w:val="000000" w:themeColor="text1"/>
                <w:highlight w:val="none"/>
                <w:lang w:val="en-US" w:eastAsia="zh-CN"/>
                <w14:textFill>
                  <w14:solidFill>
                    <w14:schemeClr w14:val="tx1"/>
                  </w14:solidFill>
                </w14:textFill>
              </w:rPr>
            </w:pPr>
            <w:r>
              <w:rPr>
                <w:rFonts w:hint="eastAsia" w:ascii="仿宋_GB2312" w:hAnsi="仿宋_GB2312" w:eastAsia="仿宋_GB2312" w:cs="仿宋_GB2312"/>
                <w:color w:val="000000" w:themeColor="text1"/>
                <w:highlight w:val="none"/>
                <w:lang w:val="en-US" w:eastAsia="zh-CN"/>
                <w14:textFill>
                  <w14:solidFill>
                    <w14:schemeClr w14:val="tx1"/>
                  </w14:solidFill>
                </w14:textFill>
              </w:rPr>
              <w:t>30</w:t>
            </w:r>
          </w:p>
        </w:tc>
        <w:tc>
          <w:tcPr>
            <w:tcW w:w="777" w:type="dxa"/>
          </w:tcPr>
          <w:p w14:paraId="27E24977">
            <w:pPr>
              <w:rPr>
                <w:color w:val="000000" w:themeColor="text1"/>
                <w:highlight w:val="none"/>
                <w14:textFill>
                  <w14:solidFill>
                    <w14:schemeClr w14:val="tx1"/>
                  </w14:solidFill>
                </w14:textFill>
              </w:rPr>
            </w:pPr>
          </w:p>
        </w:tc>
        <w:tc>
          <w:tcPr>
            <w:tcW w:w="7184" w:type="dxa"/>
          </w:tcPr>
          <w:p w14:paraId="7A26C744">
            <w:pPr>
              <w:pStyle w:val="6"/>
              <w:ind w:firstLine="400" w:firstLineChars="200"/>
              <w:jc w:val="both"/>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▲实现配置审核流程的基础设置、按钮设置、任务处理人、任务和消息等。基础设置包含节点名称和节点ID；按钮设置可添加按钮类型如通过、驳回至起点、终止、撤销；任务处理人可指定审批人员类型和审批人</w:t>
            </w:r>
            <w:r>
              <w:rPr>
                <w:rFonts w:hint="eastAsia"/>
                <w:color w:val="000000" w:themeColor="text1"/>
                <w:highlight w:val="none"/>
                <w:lang w:val="en-US" w:eastAsia="zh-CN"/>
                <w14:textFill>
                  <w14:solidFill>
                    <w14:schemeClr w14:val="tx1"/>
                  </w14:solidFill>
                </w14:textFill>
              </w:rPr>
              <w:t>。</w:t>
            </w:r>
          </w:p>
        </w:tc>
      </w:tr>
      <w:tr w14:paraId="03C4ECF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61" w:type="dxa"/>
            <w:shd w:val="clear" w:color="auto" w:fill="auto"/>
            <w:vAlign w:val="top"/>
          </w:tcPr>
          <w:p w14:paraId="05613325">
            <w:pPr>
              <w:pStyle w:val="6"/>
              <w:rPr>
                <w:rFonts w:hint="default" w:ascii="仿宋_GB2312" w:hAnsi="仿宋_GB2312" w:eastAsia="仿宋_GB2312" w:cs="仿宋_GB2312"/>
                <w:color w:val="000000" w:themeColor="text1"/>
                <w:highlight w:val="none"/>
                <w:lang w:val="en-US" w:eastAsia="zh-CN"/>
                <w14:textFill>
                  <w14:solidFill>
                    <w14:schemeClr w14:val="tx1"/>
                  </w14:solidFill>
                </w14:textFill>
              </w:rPr>
            </w:pPr>
            <w:r>
              <w:rPr>
                <w:rFonts w:hint="eastAsia" w:ascii="仿宋_GB2312" w:hAnsi="仿宋_GB2312" w:eastAsia="仿宋_GB2312" w:cs="仿宋_GB2312"/>
                <w:color w:val="000000" w:themeColor="text1"/>
                <w:highlight w:val="none"/>
                <w:lang w:val="en-US" w:eastAsia="zh-CN"/>
                <w14:textFill>
                  <w14:solidFill>
                    <w14:schemeClr w14:val="tx1"/>
                  </w14:solidFill>
                </w14:textFill>
              </w:rPr>
              <w:t>31</w:t>
            </w:r>
          </w:p>
        </w:tc>
        <w:tc>
          <w:tcPr>
            <w:tcW w:w="777" w:type="dxa"/>
          </w:tcPr>
          <w:p w14:paraId="2BFF8272">
            <w:pPr>
              <w:rPr>
                <w:color w:val="000000" w:themeColor="text1"/>
                <w:highlight w:val="none"/>
                <w14:textFill>
                  <w14:solidFill>
                    <w14:schemeClr w14:val="tx1"/>
                  </w14:solidFill>
                </w14:textFill>
              </w:rPr>
            </w:pPr>
          </w:p>
        </w:tc>
        <w:tc>
          <w:tcPr>
            <w:tcW w:w="7184" w:type="dxa"/>
          </w:tcPr>
          <w:p w14:paraId="75C1ED12">
            <w:pPr>
              <w:pStyle w:val="6"/>
              <w:ind w:firstLine="400" w:firstLineChars="200"/>
              <w:jc w:val="both"/>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可通过站内信、平台任务等发送渠道进行推送待办任务和消息中心，可通过待办任务点击办理，可编辑任务和消息内容。</w:t>
            </w:r>
          </w:p>
          <w:p w14:paraId="184243EE">
            <w:pPr>
              <w:pStyle w:val="6"/>
              <w:ind w:firstLine="400" w:firstLineChars="200"/>
              <w:jc w:val="both"/>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实现可视化配置流程的条件分支，每个分支节点可自定义节点名称并可设置条件判断规则，可创建多个独立条件组并灵活组合组内（且/或）与组间逻辑关系，满足复杂场景的审核需求。</w:t>
            </w:r>
          </w:p>
        </w:tc>
      </w:tr>
      <w:tr w14:paraId="10561A5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61" w:type="dxa"/>
            <w:shd w:val="clear" w:color="auto" w:fill="auto"/>
            <w:vAlign w:val="top"/>
          </w:tcPr>
          <w:p w14:paraId="3DC8C836">
            <w:pPr>
              <w:pStyle w:val="6"/>
              <w:rPr>
                <w:rFonts w:hint="default" w:ascii="仿宋_GB2312" w:hAnsi="仿宋_GB2312" w:eastAsia="仿宋_GB2312" w:cs="仿宋_GB2312"/>
                <w:color w:val="000000" w:themeColor="text1"/>
                <w:highlight w:val="none"/>
                <w:lang w:val="en-US" w:eastAsia="zh-CN"/>
                <w14:textFill>
                  <w14:solidFill>
                    <w14:schemeClr w14:val="tx1"/>
                  </w14:solidFill>
                </w14:textFill>
              </w:rPr>
            </w:pPr>
            <w:r>
              <w:rPr>
                <w:rFonts w:hint="eastAsia" w:ascii="仿宋_GB2312" w:hAnsi="仿宋_GB2312" w:eastAsia="仿宋_GB2312" w:cs="仿宋_GB2312"/>
                <w:color w:val="000000" w:themeColor="text1"/>
                <w:highlight w:val="none"/>
                <w:lang w:val="en-US" w:eastAsia="zh-CN"/>
                <w14:textFill>
                  <w14:solidFill>
                    <w14:schemeClr w14:val="tx1"/>
                  </w14:solidFill>
                </w14:textFill>
              </w:rPr>
              <w:t>32</w:t>
            </w:r>
          </w:p>
        </w:tc>
        <w:tc>
          <w:tcPr>
            <w:tcW w:w="777" w:type="dxa"/>
          </w:tcPr>
          <w:p w14:paraId="22FB80AE">
            <w:pPr>
              <w:rPr>
                <w:color w:val="000000" w:themeColor="text1"/>
                <w:highlight w:val="none"/>
                <w14:textFill>
                  <w14:solidFill>
                    <w14:schemeClr w14:val="tx1"/>
                  </w14:solidFill>
                </w14:textFill>
              </w:rPr>
            </w:pPr>
          </w:p>
        </w:tc>
        <w:tc>
          <w:tcPr>
            <w:tcW w:w="7184" w:type="dxa"/>
          </w:tcPr>
          <w:p w14:paraId="492749AE">
            <w:pPr>
              <w:pStyle w:val="6"/>
              <w:ind w:firstLine="480" w:firstLineChars="200"/>
              <w:jc w:val="both"/>
              <w:rPr>
                <w:rFonts w:hint="default"/>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6.3.8.</w:t>
            </w:r>
            <w:r>
              <w:rPr>
                <w:rFonts w:hint="default"/>
                <w:color w:val="000000" w:themeColor="text1"/>
                <w:sz w:val="24"/>
                <w:szCs w:val="24"/>
                <w:highlight w:val="none"/>
                <w:lang w:val="en-US" w:eastAsia="zh-CN"/>
                <w14:textFill>
                  <w14:solidFill>
                    <w14:schemeClr w14:val="tx1"/>
                  </w14:solidFill>
                </w14:textFill>
              </w:rPr>
              <w:t>学院数据管理</w:t>
            </w:r>
          </w:p>
          <w:p w14:paraId="2AD7E541">
            <w:pPr>
              <w:pStyle w:val="6"/>
              <w:ind w:firstLine="400" w:firstLineChars="200"/>
              <w:jc w:val="both"/>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▲实现根据数据权限进行数据的新增、编辑、导入、导出操作。数据表单中区分出数据是人工填报还是源头同步，支持查看数据来源，可点击快速跳转到源头进行数据纠错。</w:t>
            </w:r>
          </w:p>
        </w:tc>
      </w:tr>
      <w:tr w14:paraId="0079102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61" w:type="dxa"/>
            <w:shd w:val="clear" w:color="auto" w:fill="auto"/>
            <w:vAlign w:val="top"/>
          </w:tcPr>
          <w:p w14:paraId="3EEE2D01">
            <w:pPr>
              <w:pStyle w:val="6"/>
              <w:rPr>
                <w:rFonts w:hint="default" w:ascii="仿宋_GB2312" w:hAnsi="仿宋_GB2312" w:eastAsia="仿宋_GB2312" w:cs="仿宋_GB2312"/>
                <w:color w:val="000000" w:themeColor="text1"/>
                <w:highlight w:val="none"/>
                <w:lang w:val="en-US" w:eastAsia="zh-CN"/>
                <w14:textFill>
                  <w14:solidFill>
                    <w14:schemeClr w14:val="tx1"/>
                  </w14:solidFill>
                </w14:textFill>
              </w:rPr>
            </w:pPr>
            <w:r>
              <w:rPr>
                <w:rFonts w:hint="eastAsia" w:ascii="仿宋_GB2312" w:hAnsi="仿宋_GB2312" w:eastAsia="仿宋_GB2312" w:cs="仿宋_GB2312"/>
                <w:color w:val="000000" w:themeColor="text1"/>
                <w:highlight w:val="none"/>
                <w:lang w:val="en-US" w:eastAsia="zh-CN"/>
                <w14:textFill>
                  <w14:solidFill>
                    <w14:schemeClr w14:val="tx1"/>
                  </w14:solidFill>
                </w14:textFill>
              </w:rPr>
              <w:t>33</w:t>
            </w:r>
          </w:p>
        </w:tc>
        <w:tc>
          <w:tcPr>
            <w:tcW w:w="777" w:type="dxa"/>
          </w:tcPr>
          <w:p w14:paraId="26C35962">
            <w:pPr>
              <w:rPr>
                <w:color w:val="000000" w:themeColor="text1"/>
                <w:highlight w:val="none"/>
                <w14:textFill>
                  <w14:solidFill>
                    <w14:schemeClr w14:val="tx1"/>
                  </w14:solidFill>
                </w14:textFill>
              </w:rPr>
            </w:pPr>
          </w:p>
        </w:tc>
        <w:tc>
          <w:tcPr>
            <w:tcW w:w="7184" w:type="dxa"/>
          </w:tcPr>
          <w:p w14:paraId="1A600AA1">
            <w:pPr>
              <w:pStyle w:val="6"/>
              <w:ind w:firstLine="400" w:firstLineChars="200"/>
              <w:jc w:val="both"/>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能实现查看数据状态、数据来源，数据状态包含草稿、审核中、审核通过、退回、已撤销状态。数据来源包含源头同步、人工填报，其中源头同步指来源于业务系统/数据平台的数据，人工填报指可通过手动导入和新增的方式补充的数据。</w:t>
            </w:r>
          </w:p>
        </w:tc>
      </w:tr>
      <w:tr w14:paraId="4A7DDDB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61" w:type="dxa"/>
            <w:shd w:val="clear" w:color="auto" w:fill="auto"/>
            <w:vAlign w:val="top"/>
          </w:tcPr>
          <w:p w14:paraId="02925614">
            <w:pPr>
              <w:pStyle w:val="6"/>
              <w:rPr>
                <w:rFonts w:hint="default" w:ascii="仿宋_GB2312" w:hAnsi="仿宋_GB2312" w:eastAsia="仿宋_GB2312" w:cs="仿宋_GB2312"/>
                <w:color w:val="000000" w:themeColor="text1"/>
                <w:highlight w:val="none"/>
                <w:lang w:val="en-US" w:eastAsia="zh-CN"/>
                <w14:textFill>
                  <w14:solidFill>
                    <w14:schemeClr w14:val="tx1"/>
                  </w14:solidFill>
                </w14:textFill>
              </w:rPr>
            </w:pPr>
            <w:r>
              <w:rPr>
                <w:rFonts w:hint="eastAsia" w:ascii="仿宋_GB2312" w:hAnsi="仿宋_GB2312" w:eastAsia="仿宋_GB2312" w:cs="仿宋_GB2312"/>
                <w:color w:val="000000" w:themeColor="text1"/>
                <w:highlight w:val="none"/>
                <w:lang w:val="en-US" w:eastAsia="zh-CN"/>
                <w14:textFill>
                  <w14:solidFill>
                    <w14:schemeClr w14:val="tx1"/>
                  </w14:solidFill>
                </w14:textFill>
              </w:rPr>
              <w:t>34</w:t>
            </w:r>
          </w:p>
        </w:tc>
        <w:tc>
          <w:tcPr>
            <w:tcW w:w="777" w:type="dxa"/>
          </w:tcPr>
          <w:p w14:paraId="008C8E48">
            <w:pPr>
              <w:rPr>
                <w:color w:val="000000" w:themeColor="text1"/>
                <w:highlight w:val="none"/>
                <w14:textFill>
                  <w14:solidFill>
                    <w14:schemeClr w14:val="tx1"/>
                  </w14:solidFill>
                </w14:textFill>
              </w:rPr>
            </w:pPr>
          </w:p>
        </w:tc>
        <w:tc>
          <w:tcPr>
            <w:tcW w:w="7184" w:type="dxa"/>
          </w:tcPr>
          <w:p w14:paraId="47A1FF13">
            <w:pPr>
              <w:pStyle w:val="6"/>
              <w:ind w:firstLine="400" w:firstLineChars="200"/>
              <w:jc w:val="both"/>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能实现查看审核中数据各流程节点的审批情况。支持查看变更前后的信息。</w:t>
            </w:r>
          </w:p>
          <w:p w14:paraId="5BE318A9">
            <w:pPr>
              <w:pStyle w:val="6"/>
              <w:ind w:firstLine="400" w:firstLineChars="200"/>
              <w:jc w:val="both"/>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能实现撤销还未审核的数据，撤销后可编辑重新提交。</w:t>
            </w:r>
          </w:p>
          <w:p w14:paraId="6D3C7316">
            <w:pPr>
              <w:pStyle w:val="6"/>
              <w:ind w:firstLine="400" w:firstLineChars="200"/>
              <w:jc w:val="both"/>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能实现新增数据时暂存数据，暂存数据将变为草稿状态，支持再次编辑。</w:t>
            </w:r>
          </w:p>
          <w:p w14:paraId="06196CC8">
            <w:pPr>
              <w:pStyle w:val="6"/>
              <w:ind w:firstLine="480" w:firstLineChars="200"/>
              <w:jc w:val="both"/>
              <w:rPr>
                <w:rFonts w:hint="default"/>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6.4.</w:t>
            </w:r>
            <w:r>
              <w:rPr>
                <w:rFonts w:hint="default"/>
                <w:color w:val="000000" w:themeColor="text1"/>
                <w:sz w:val="24"/>
                <w:szCs w:val="24"/>
                <w:highlight w:val="none"/>
                <w:lang w:val="en-US" w:eastAsia="zh-CN"/>
                <w14:textFill>
                  <w14:solidFill>
                    <w14:schemeClr w14:val="tx1"/>
                  </w14:solidFill>
                </w14:textFill>
              </w:rPr>
              <w:t>公共事务内容采集</w:t>
            </w:r>
          </w:p>
          <w:p w14:paraId="309D4D13">
            <w:pPr>
              <w:pStyle w:val="6"/>
              <w:ind w:firstLine="400" w:firstLineChars="200"/>
              <w:jc w:val="both"/>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根据学校实际需求，完成公共事务相关数据采集，包括网络学习培训、工会组织的运动会等各类活动、参加学校要求的其他各类会议、群体活动（学院组织的运动会、健步走、集体生日、春秋游等活动）、代表学院参赛/演出、工会志愿服务、建言献策、承担重要来访接待任务、参与相关活动的后勤保障与准各工作、申报思政论文、报告等、参加教研活动、监考、命题、迎接检查整理内务、为教研室实验课排课、试卷、资料及格案整理、参与教材编写、大纲修订等、青年教师导师、完成评教评学任务、学校层面大会、学院层面会议、党组织生活等内容，一方面进一步从相关系统进行数据集成，另一方面围绕采集内容搭建相关应用服务，实现业务的线上化，从而实现数据的采集、最后搭建专项采集任务，实现公共事务数据的采集。具体要求如下：</w:t>
            </w:r>
          </w:p>
          <w:p w14:paraId="041DEC6C">
            <w:pPr>
              <w:pStyle w:val="6"/>
              <w:ind w:firstLine="400" w:firstLineChars="200"/>
              <w:jc w:val="both"/>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1、公共事务内容模型建设</w:t>
            </w:r>
          </w:p>
          <w:p w14:paraId="275BE9F8">
            <w:pPr>
              <w:pStyle w:val="6"/>
              <w:ind w:firstLine="400" w:firstLineChars="200"/>
              <w:jc w:val="both"/>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根据公共事务内容要求在学院数据中心中建设数据模型，保障公共事务数据的结构化存储；</w:t>
            </w:r>
          </w:p>
          <w:p w14:paraId="71208C49">
            <w:pPr>
              <w:pStyle w:val="6"/>
              <w:ind w:firstLine="400" w:firstLineChars="200"/>
              <w:jc w:val="both"/>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2、公共事务数据采集表单设计</w:t>
            </w:r>
          </w:p>
          <w:p w14:paraId="4765534F">
            <w:pPr>
              <w:pStyle w:val="6"/>
              <w:ind w:firstLine="400" w:firstLineChars="200"/>
              <w:jc w:val="both"/>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根据公共事务数据采集要求，搭建采集表单，表单设计需覆盖公共事务采集的全部数据模型内容，需实现对上一周期采集数据的同步，并支持对同步数据进行修改；</w:t>
            </w:r>
          </w:p>
          <w:p w14:paraId="7BB2A553">
            <w:pPr>
              <w:pStyle w:val="6"/>
              <w:ind w:firstLine="400" w:firstLineChars="200"/>
              <w:jc w:val="both"/>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采集表单需具备以下服务能力：</w:t>
            </w:r>
          </w:p>
          <w:p w14:paraId="5003D8F3">
            <w:pPr>
              <w:pStyle w:val="6"/>
              <w:ind w:firstLine="400" w:firstLineChars="200"/>
              <w:jc w:val="both"/>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1）图片上传：提供内置图片格式检验组件，展示图片缩略图，默认支持的图片格式为png、jpg、jpeg、gif、svg、tif、bmp，可对图片大小、上传方式、图片数量、是否压缩图片、是否仅拍照（仅移动端生效）、展示上传人（仅PC端生效）、展示大小（仅PC端生效）、展示时间（仅PC端生效）功能设置。</w:t>
            </w:r>
          </w:p>
          <w:p w14:paraId="32EB1231">
            <w:pPr>
              <w:pStyle w:val="6"/>
              <w:ind w:firstLine="400" w:firstLineChars="200"/>
              <w:jc w:val="both"/>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（2）附件：提供内置附件格式检验组件，对附件的文件类型、最大上传文件数量、单个文件最大值大小做设置。</w:t>
            </w:r>
          </w:p>
          <w:p w14:paraId="6B09F733">
            <w:pPr>
              <w:pStyle w:val="6"/>
              <w:ind w:firstLine="400" w:firstLineChars="200"/>
              <w:jc w:val="both"/>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（3）下拉单选：提供下拉选择单选选项的业务组件。常用于类似于省份等选项繁多的业务场景。具备选项字典的自维护、搜索、选项清除功能。</w:t>
            </w:r>
          </w:p>
          <w:p w14:paraId="18594C02">
            <w:pPr>
              <w:pStyle w:val="6"/>
              <w:ind w:firstLine="400" w:firstLineChars="200"/>
              <w:jc w:val="both"/>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（4）下拉多选：提供下拉选择多个选项的业务组件。常用于类似于出访国家、地区等选项繁多的多选业务场景。具备选项字典的自维护、搜索、选项清除功能。</w:t>
            </w:r>
          </w:p>
          <w:p w14:paraId="4A597A92">
            <w:pPr>
              <w:pStyle w:val="6"/>
              <w:ind w:firstLine="400" w:firstLineChars="200"/>
              <w:jc w:val="both"/>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（5）说明内容：业务事项的办理说明注释组件。可对说明内容的文字大小、文字颜色、图片、链接等属性编辑。</w:t>
            </w:r>
          </w:p>
          <w:p w14:paraId="1C30C392">
            <w:pPr>
              <w:pStyle w:val="6"/>
              <w:ind w:firstLine="400" w:firstLineChars="200"/>
              <w:jc w:val="both"/>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3、公共事务采集数据审核</w:t>
            </w:r>
          </w:p>
          <w:p w14:paraId="3D7E6AB1">
            <w:pPr>
              <w:pStyle w:val="6"/>
              <w:ind w:firstLine="400" w:firstLineChars="200"/>
              <w:jc w:val="both"/>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实现自定义配置审核流程，由采集内容相关管理部门进行审核。</w:t>
            </w:r>
          </w:p>
          <w:p w14:paraId="310138D5">
            <w:pPr>
              <w:pStyle w:val="6"/>
              <w:ind w:firstLine="400" w:firstLineChars="200"/>
              <w:jc w:val="both"/>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4、采集数据同步</w:t>
            </w:r>
          </w:p>
          <w:p w14:paraId="5652E5F9">
            <w:pPr>
              <w:pStyle w:val="6"/>
              <w:ind w:firstLine="400" w:firstLineChars="200"/>
              <w:jc w:val="both"/>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一方面实现公共数据采集时可以从学院数据中心同步基本数据和往期数据，减少老师填报，另一方面实现公共事务采集数据同步至学院数据中心，并支持数据同步至学院数据看板，实现公共事务数据同步至数据资产平台数据湖。</w:t>
            </w:r>
          </w:p>
        </w:tc>
      </w:tr>
      <w:tr w14:paraId="30AE14C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61" w:type="dxa"/>
            <w:shd w:val="clear" w:color="auto" w:fill="auto"/>
            <w:vAlign w:val="top"/>
          </w:tcPr>
          <w:p w14:paraId="219D52DB">
            <w:pPr>
              <w:pStyle w:val="6"/>
              <w:rPr>
                <w:rFonts w:hint="default" w:ascii="仿宋_GB2312" w:hAnsi="仿宋_GB2312" w:eastAsia="仿宋_GB2312" w:cs="仿宋_GB2312"/>
                <w:color w:val="000000" w:themeColor="text1"/>
                <w:highlight w:val="none"/>
                <w:lang w:val="en-US" w:eastAsia="zh-CN"/>
                <w14:textFill>
                  <w14:solidFill>
                    <w14:schemeClr w14:val="tx1"/>
                  </w14:solidFill>
                </w14:textFill>
              </w:rPr>
            </w:pPr>
            <w:r>
              <w:rPr>
                <w:rFonts w:hint="eastAsia" w:ascii="仿宋_GB2312" w:hAnsi="仿宋_GB2312" w:eastAsia="仿宋_GB2312" w:cs="仿宋_GB2312"/>
                <w:color w:val="000000" w:themeColor="text1"/>
                <w:highlight w:val="none"/>
                <w:lang w:val="en-US" w:eastAsia="zh-CN"/>
                <w14:textFill>
                  <w14:solidFill>
                    <w14:schemeClr w14:val="tx1"/>
                  </w14:solidFill>
                </w14:textFill>
              </w:rPr>
              <w:t>35</w:t>
            </w:r>
          </w:p>
        </w:tc>
        <w:tc>
          <w:tcPr>
            <w:tcW w:w="777" w:type="dxa"/>
          </w:tcPr>
          <w:p w14:paraId="64CF0553">
            <w:pPr>
              <w:rPr>
                <w:color w:val="000000" w:themeColor="text1"/>
                <w:highlight w:val="none"/>
                <w14:textFill>
                  <w14:solidFill>
                    <w14:schemeClr w14:val="tx1"/>
                  </w14:solidFill>
                </w14:textFill>
              </w:rPr>
            </w:pPr>
          </w:p>
        </w:tc>
        <w:tc>
          <w:tcPr>
            <w:tcW w:w="7184" w:type="dxa"/>
          </w:tcPr>
          <w:p w14:paraId="13319E01">
            <w:pPr>
              <w:pStyle w:val="6"/>
              <w:ind w:firstLine="400" w:firstLineChars="200"/>
              <w:jc w:val="both"/>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w:t>
            </w:r>
            <w:r>
              <w:rPr>
                <w:rFonts w:hint="default"/>
                <w:color w:val="000000" w:themeColor="text1"/>
                <w:highlight w:val="none"/>
                <w:lang w:val="en-US" w:eastAsia="zh-CN"/>
                <w14:textFill>
                  <w14:solidFill>
                    <w14:schemeClr w14:val="tx1"/>
                  </w14:solidFill>
                </w14:textFill>
              </w:rPr>
              <w:t>5、提供公共事务数据采集服务，公共事务数据采集可通过AI自动生成采集表单，实现数据的导入、填充、审核，引用现有已经采集的表单数据。</w:t>
            </w:r>
            <w:r>
              <w:rPr>
                <w:rFonts w:hint="default"/>
                <w:b/>
                <w:bCs/>
                <w:color w:val="000000" w:themeColor="text1"/>
                <w:highlight w:val="none"/>
                <w:lang w:val="en-US" w:eastAsia="zh-CN"/>
                <w14:textFill>
                  <w14:solidFill>
                    <w14:schemeClr w14:val="tx1"/>
                  </w14:solidFill>
                </w14:textFill>
              </w:rPr>
              <w:t>（需提供演示）</w:t>
            </w:r>
          </w:p>
        </w:tc>
      </w:tr>
      <w:tr w14:paraId="33CB786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61" w:type="dxa"/>
            <w:shd w:val="clear" w:color="auto" w:fill="auto"/>
            <w:vAlign w:val="top"/>
          </w:tcPr>
          <w:p w14:paraId="69C8A0D6">
            <w:pPr>
              <w:pStyle w:val="6"/>
              <w:rPr>
                <w:rFonts w:hint="default" w:ascii="仿宋_GB2312" w:hAnsi="仿宋_GB2312" w:eastAsia="仿宋_GB2312" w:cs="仿宋_GB2312"/>
                <w:color w:val="000000" w:themeColor="text1"/>
                <w:highlight w:val="none"/>
                <w:lang w:val="en-US" w:eastAsia="zh-CN"/>
                <w14:textFill>
                  <w14:solidFill>
                    <w14:schemeClr w14:val="tx1"/>
                  </w14:solidFill>
                </w14:textFill>
              </w:rPr>
            </w:pPr>
            <w:r>
              <w:rPr>
                <w:rFonts w:hint="eastAsia" w:ascii="仿宋_GB2312" w:hAnsi="仿宋_GB2312" w:eastAsia="仿宋_GB2312" w:cs="仿宋_GB2312"/>
                <w:color w:val="000000" w:themeColor="text1"/>
                <w:highlight w:val="none"/>
                <w:lang w:val="en-US" w:eastAsia="zh-CN"/>
                <w14:textFill>
                  <w14:solidFill>
                    <w14:schemeClr w14:val="tx1"/>
                  </w14:solidFill>
                </w14:textFill>
              </w:rPr>
              <w:t>36</w:t>
            </w:r>
          </w:p>
        </w:tc>
        <w:tc>
          <w:tcPr>
            <w:tcW w:w="777" w:type="dxa"/>
          </w:tcPr>
          <w:p w14:paraId="6A8C26AA">
            <w:pPr>
              <w:rPr>
                <w:color w:val="000000" w:themeColor="text1"/>
                <w:highlight w:val="none"/>
                <w14:textFill>
                  <w14:solidFill>
                    <w14:schemeClr w14:val="tx1"/>
                  </w14:solidFill>
                </w14:textFill>
              </w:rPr>
            </w:pPr>
          </w:p>
        </w:tc>
        <w:tc>
          <w:tcPr>
            <w:tcW w:w="7184" w:type="dxa"/>
          </w:tcPr>
          <w:p w14:paraId="70F3A681">
            <w:pPr>
              <w:pStyle w:val="6"/>
              <w:ind w:firstLine="480" w:firstLineChars="200"/>
              <w:jc w:val="both"/>
              <w:rPr>
                <w:rFonts w:hint="default"/>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6.5.</w:t>
            </w:r>
            <w:r>
              <w:rPr>
                <w:rFonts w:hint="default"/>
                <w:color w:val="000000" w:themeColor="text1"/>
                <w:sz w:val="24"/>
                <w:szCs w:val="24"/>
                <w:highlight w:val="none"/>
                <w:lang w:val="en-US" w:eastAsia="zh-CN"/>
                <w14:textFill>
                  <w14:solidFill>
                    <w14:schemeClr w14:val="tx1"/>
                  </w14:solidFill>
                </w14:textFill>
              </w:rPr>
              <w:t>二级学院驾驶舱</w:t>
            </w:r>
          </w:p>
          <w:p w14:paraId="1C5A796E">
            <w:pPr>
              <w:pStyle w:val="6"/>
              <w:ind w:firstLine="400" w:firstLineChars="200"/>
              <w:jc w:val="both"/>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围绕临床医学院、药学院、护理与康复学院、医学技术学院、口腔医学院、公共卫生学院、外国语学院、基础医学部、卫生管理学院、生命科学与工程学院、马克思主义学院、体育部的业务需求，构建12个数字学院驾驶舱。数字学院看板需教务、人事、科研、学科、学生、招就、年度公共事务、创新创业八大数据主题：具体数据主题内容包括以下部分：</w:t>
            </w:r>
          </w:p>
          <w:p w14:paraId="353078B2">
            <w:pPr>
              <w:pStyle w:val="6"/>
              <w:ind w:firstLine="400" w:firstLineChars="200"/>
              <w:jc w:val="both"/>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1、主题1：学院教务数据看板</w:t>
            </w:r>
          </w:p>
          <w:p w14:paraId="514C2DEC">
            <w:pPr>
              <w:pStyle w:val="6"/>
              <w:ind w:firstLine="400" w:firstLineChars="200"/>
              <w:jc w:val="both"/>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（1）</w:t>
            </w:r>
            <w:r>
              <w:rPr>
                <w:rFonts w:hint="default"/>
                <w:color w:val="000000" w:themeColor="text1"/>
                <w:highlight w:val="none"/>
                <w:lang w:val="en-US" w:eastAsia="zh-CN"/>
                <w14:textFill>
                  <w14:solidFill>
                    <w14:schemeClr w14:val="tx1"/>
                  </w14:solidFill>
                </w14:textFill>
              </w:rPr>
              <w:t>课程教学：开课门数、总学时、本专科/研究生课程分布、课程类型占比、一流课程数量</w:t>
            </w:r>
          </w:p>
          <w:p w14:paraId="2BC52E3C">
            <w:pPr>
              <w:pStyle w:val="6"/>
              <w:ind w:firstLine="400" w:firstLineChars="200"/>
              <w:jc w:val="both"/>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（2）</w:t>
            </w:r>
            <w:r>
              <w:rPr>
                <w:rFonts w:hint="default"/>
                <w:color w:val="000000" w:themeColor="text1"/>
                <w:highlight w:val="none"/>
                <w:lang w:val="en-US" w:eastAsia="zh-CN"/>
                <w14:textFill>
                  <w14:solidFill>
                    <w14:schemeClr w14:val="tx1"/>
                  </w14:solidFill>
                </w14:textFill>
              </w:rPr>
              <w:t>教学质量：评教平均分、优秀率、合格率、课程满意度、近三年趋势</w:t>
            </w:r>
          </w:p>
          <w:p w14:paraId="29DB982D">
            <w:pPr>
              <w:pStyle w:val="6"/>
              <w:ind w:firstLine="400" w:firstLineChars="200"/>
              <w:jc w:val="both"/>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（3）</w:t>
            </w:r>
            <w:r>
              <w:rPr>
                <w:rFonts w:hint="default"/>
                <w:color w:val="000000" w:themeColor="text1"/>
                <w:highlight w:val="none"/>
                <w:lang w:val="en-US" w:eastAsia="zh-CN"/>
                <w14:textFill>
                  <w14:solidFill>
                    <w14:schemeClr w14:val="tx1"/>
                  </w14:solidFill>
                </w14:textFill>
              </w:rPr>
              <w:t>教学成果：教改项目、教学成果奖、精品课程、教材建设、教学论文数量</w:t>
            </w:r>
          </w:p>
          <w:p w14:paraId="6E315E8F">
            <w:pPr>
              <w:pStyle w:val="6"/>
              <w:ind w:firstLine="400" w:firstLineChars="200"/>
              <w:jc w:val="both"/>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（4）</w:t>
            </w:r>
            <w:r>
              <w:rPr>
                <w:rFonts w:hint="default"/>
                <w:color w:val="000000" w:themeColor="text1"/>
                <w:highlight w:val="none"/>
                <w:lang w:val="en-US" w:eastAsia="zh-CN"/>
                <w14:textFill>
                  <w14:solidFill>
                    <w14:schemeClr w14:val="tx1"/>
                  </w14:solidFill>
                </w14:textFill>
              </w:rPr>
              <w:t>教学工作量：教师人均课时、高课时教师排行、课时完成率、超课时统计</w:t>
            </w:r>
          </w:p>
          <w:p w14:paraId="7375E35D">
            <w:pPr>
              <w:pStyle w:val="6"/>
              <w:ind w:firstLine="400" w:firstLineChars="200"/>
              <w:jc w:val="both"/>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（5）</w:t>
            </w:r>
            <w:r>
              <w:rPr>
                <w:rFonts w:hint="default"/>
                <w:color w:val="000000" w:themeColor="text1"/>
                <w:highlight w:val="none"/>
                <w:lang w:val="en-US" w:eastAsia="zh-CN"/>
                <w14:textFill>
                  <w14:solidFill>
                    <w14:schemeClr w14:val="tx1"/>
                  </w14:solidFill>
                </w14:textFill>
              </w:rPr>
              <w:t>实践教学：实验课开出率、实习基地数量、实践教学项目、指导学生竞赛获奖</w:t>
            </w:r>
          </w:p>
          <w:p w14:paraId="41ADF6ED">
            <w:pPr>
              <w:pStyle w:val="6"/>
              <w:ind w:firstLine="400" w:firstLineChars="200"/>
              <w:jc w:val="both"/>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2、主题2：学院人事数据看板</w:t>
            </w:r>
          </w:p>
          <w:p w14:paraId="42FC3EDF">
            <w:pPr>
              <w:pStyle w:val="6"/>
              <w:ind w:firstLine="400" w:firstLineChars="200"/>
              <w:jc w:val="both"/>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（1）</w:t>
            </w:r>
            <w:r>
              <w:rPr>
                <w:rFonts w:hint="default"/>
                <w:color w:val="000000" w:themeColor="text1"/>
                <w:highlight w:val="none"/>
                <w:lang w:val="en-US" w:eastAsia="zh-CN"/>
                <w14:textFill>
                  <w14:solidFill>
                    <w14:schemeClr w14:val="tx1"/>
                  </w14:solidFill>
                </w14:textFill>
              </w:rPr>
              <w:t>师资规模：教职工总数、专任教师、外聘教师、辅导员、行政人员数量及占比</w:t>
            </w:r>
          </w:p>
          <w:p w14:paraId="7FD8C084">
            <w:pPr>
              <w:pStyle w:val="6"/>
              <w:ind w:firstLine="400" w:firstLineChars="200"/>
              <w:jc w:val="both"/>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（2）</w:t>
            </w:r>
            <w:r>
              <w:rPr>
                <w:rFonts w:hint="default"/>
                <w:color w:val="000000" w:themeColor="text1"/>
                <w:highlight w:val="none"/>
                <w:lang w:val="en-US" w:eastAsia="zh-CN"/>
                <w14:textFill>
                  <w14:solidFill>
                    <w14:schemeClr w14:val="tx1"/>
                  </w14:solidFill>
                </w14:textFill>
              </w:rPr>
              <w:t>结构分析：职称结构（正高/副高/中级/初级）、学历结构（博士/硕士/本科）、年龄结构、性别结构、学缘结构</w:t>
            </w:r>
          </w:p>
          <w:p w14:paraId="6F7234F1">
            <w:pPr>
              <w:pStyle w:val="6"/>
              <w:ind w:firstLine="400" w:firstLineChars="200"/>
              <w:jc w:val="both"/>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（3）</w:t>
            </w:r>
            <w:r>
              <w:rPr>
                <w:rFonts w:hint="default"/>
                <w:color w:val="000000" w:themeColor="text1"/>
                <w:highlight w:val="none"/>
                <w:lang w:val="en-US" w:eastAsia="zh-CN"/>
                <w14:textFill>
                  <w14:solidFill>
                    <w14:schemeClr w14:val="tx1"/>
                  </w14:solidFill>
                </w14:textFill>
              </w:rPr>
              <w:t>高层次人才：国家级/省部级人才称号、青年人才、团队负责人数量及年度新增</w:t>
            </w:r>
          </w:p>
          <w:p w14:paraId="55B80B9D">
            <w:pPr>
              <w:pStyle w:val="6"/>
              <w:ind w:firstLine="400" w:firstLineChars="200"/>
              <w:jc w:val="both"/>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（4）</w:t>
            </w:r>
            <w:r>
              <w:rPr>
                <w:rFonts w:hint="default"/>
                <w:color w:val="000000" w:themeColor="text1"/>
                <w:highlight w:val="none"/>
                <w:lang w:val="en-US" w:eastAsia="zh-CN"/>
                <w14:textFill>
                  <w14:solidFill>
                    <w14:schemeClr w14:val="tx1"/>
                  </w14:solidFill>
                </w14:textFill>
              </w:rPr>
              <w:t>师资动态：新进教师、退休教师、职称晋升、岗位变动、培训进修统计</w:t>
            </w:r>
          </w:p>
          <w:p w14:paraId="6D94A281">
            <w:pPr>
              <w:pStyle w:val="6"/>
              <w:ind w:firstLine="400" w:firstLineChars="200"/>
              <w:jc w:val="both"/>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（5）</w:t>
            </w:r>
            <w:r>
              <w:rPr>
                <w:rFonts w:hint="default"/>
                <w:color w:val="000000" w:themeColor="text1"/>
                <w:highlight w:val="none"/>
                <w:lang w:val="en-US" w:eastAsia="zh-CN"/>
                <w14:textFill>
                  <w14:solidFill>
                    <w14:schemeClr w14:val="tx1"/>
                  </w14:solidFill>
                </w14:textFill>
              </w:rPr>
              <w:t>考核情况：年度考核优秀/合格/不合格人数、聘期考核结果、公共事务完成率</w:t>
            </w:r>
          </w:p>
          <w:p w14:paraId="0A917B18">
            <w:pPr>
              <w:pStyle w:val="6"/>
              <w:ind w:firstLine="400" w:firstLineChars="200"/>
              <w:jc w:val="both"/>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3、主题3：学院科研数据看板</w:t>
            </w:r>
          </w:p>
          <w:p w14:paraId="2F0EE425">
            <w:pPr>
              <w:pStyle w:val="6"/>
              <w:ind w:firstLine="400" w:firstLineChars="200"/>
              <w:jc w:val="both"/>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（1）</w:t>
            </w:r>
            <w:r>
              <w:rPr>
                <w:rFonts w:hint="default"/>
                <w:color w:val="000000" w:themeColor="text1"/>
                <w:highlight w:val="none"/>
                <w:lang w:val="en-US" w:eastAsia="zh-CN"/>
                <w14:textFill>
                  <w14:solidFill>
                    <w14:schemeClr w14:val="tx1"/>
                  </w14:solidFill>
                </w14:textFill>
              </w:rPr>
              <w:t>科研项目：项目总数、纵向/横向项目数量、国家级/省部级/市厅级分布、在研/结题项目、年度立项趋势</w:t>
            </w:r>
          </w:p>
          <w:p w14:paraId="127305BD">
            <w:pPr>
              <w:pStyle w:val="6"/>
              <w:ind w:firstLine="400" w:firstLineChars="200"/>
              <w:jc w:val="both"/>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（2）</w:t>
            </w:r>
            <w:r>
              <w:rPr>
                <w:rFonts w:hint="default"/>
                <w:color w:val="000000" w:themeColor="text1"/>
                <w:highlight w:val="none"/>
                <w:lang w:val="en-US" w:eastAsia="zh-CN"/>
                <w14:textFill>
                  <w14:solidFill>
                    <w14:schemeClr w14:val="tx1"/>
                  </w14:solidFill>
                </w14:textFill>
              </w:rPr>
              <w:t>科研经费：到款总额、纵向经费、横向经费、人均经费、年度经费趋势、项目经费明细</w:t>
            </w:r>
          </w:p>
          <w:p w14:paraId="57A2FC29">
            <w:pPr>
              <w:pStyle w:val="6"/>
              <w:ind w:firstLine="400" w:firstLineChars="200"/>
              <w:jc w:val="both"/>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（3）</w:t>
            </w:r>
            <w:r>
              <w:rPr>
                <w:rFonts w:hint="default"/>
                <w:color w:val="000000" w:themeColor="text1"/>
                <w:highlight w:val="none"/>
                <w:lang w:val="en-US" w:eastAsia="zh-CN"/>
                <w14:textFill>
                  <w14:solidFill>
                    <w14:schemeClr w14:val="tx1"/>
                  </w14:solidFill>
                </w14:textFill>
              </w:rPr>
              <w:t>科研成果：论文（SCI/核心/普刊）、专利（发明/实用新型/软著）、著作、研究报告、作品数量及年度产出</w:t>
            </w:r>
          </w:p>
          <w:p w14:paraId="3F1F81A8">
            <w:pPr>
              <w:pStyle w:val="6"/>
              <w:ind w:firstLine="400" w:firstLineChars="200"/>
              <w:jc w:val="both"/>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（4）</w:t>
            </w:r>
            <w:r>
              <w:rPr>
                <w:rFonts w:hint="default"/>
                <w:color w:val="000000" w:themeColor="text1"/>
                <w:highlight w:val="none"/>
                <w:lang w:val="en-US" w:eastAsia="zh-CN"/>
                <w14:textFill>
                  <w14:solidFill>
                    <w14:schemeClr w14:val="tx1"/>
                  </w14:solidFill>
                </w14:textFill>
              </w:rPr>
              <w:t>科研获奖：国家级/省部级/行业奖项、获奖级别分布、年度获奖统计</w:t>
            </w:r>
          </w:p>
          <w:p w14:paraId="693DD77B">
            <w:pPr>
              <w:pStyle w:val="6"/>
              <w:ind w:firstLine="400" w:firstLineChars="200"/>
              <w:jc w:val="both"/>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（5）</w:t>
            </w:r>
            <w:r>
              <w:rPr>
                <w:rFonts w:hint="default"/>
                <w:color w:val="000000" w:themeColor="text1"/>
                <w:highlight w:val="none"/>
                <w:lang w:val="en-US" w:eastAsia="zh-CN"/>
                <w14:textFill>
                  <w14:solidFill>
                    <w14:schemeClr w14:val="tx1"/>
                  </w14:solidFill>
                </w14:textFill>
              </w:rPr>
              <w:t>科研团队：科研团队数量、核心成员、在研项目、成果产出</w:t>
            </w:r>
          </w:p>
          <w:p w14:paraId="670E4C89">
            <w:pPr>
              <w:pStyle w:val="6"/>
              <w:ind w:firstLine="400" w:firstLineChars="200"/>
              <w:jc w:val="both"/>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4、</w:t>
            </w:r>
            <w:r>
              <w:rPr>
                <w:rFonts w:hint="default"/>
                <w:color w:val="000000" w:themeColor="text1"/>
                <w:highlight w:val="none"/>
                <w:lang w:val="en-US" w:eastAsia="zh-CN"/>
                <w14:textFill>
                  <w14:solidFill>
                    <w14:schemeClr w14:val="tx1"/>
                  </w14:solidFill>
                </w14:textFill>
              </w:rPr>
              <w:t>主题4：学院学科数据看板</w:t>
            </w:r>
          </w:p>
          <w:p w14:paraId="1178A334">
            <w:pPr>
              <w:pStyle w:val="6"/>
              <w:ind w:firstLine="400" w:firstLineChars="200"/>
              <w:jc w:val="both"/>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（1）</w:t>
            </w:r>
            <w:r>
              <w:rPr>
                <w:rFonts w:hint="default"/>
                <w:color w:val="000000" w:themeColor="text1"/>
                <w:highlight w:val="none"/>
                <w:lang w:val="en-US" w:eastAsia="zh-CN"/>
                <w14:textFill>
                  <w14:solidFill>
                    <w14:schemeClr w14:val="tx1"/>
                  </w14:solidFill>
                </w14:textFill>
              </w:rPr>
              <w:t>学科概况：学科门类、一级/二级学科数量、重点学科、特色学科、ESI学科、一流学科情况</w:t>
            </w:r>
          </w:p>
          <w:p w14:paraId="2F1B52E8">
            <w:pPr>
              <w:pStyle w:val="6"/>
              <w:ind w:firstLine="400" w:firstLineChars="200"/>
              <w:jc w:val="both"/>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（2）</w:t>
            </w:r>
            <w:r>
              <w:rPr>
                <w:rFonts w:hint="default"/>
                <w:color w:val="000000" w:themeColor="text1"/>
                <w:highlight w:val="none"/>
                <w:lang w:val="en-US" w:eastAsia="zh-CN"/>
                <w14:textFill>
                  <w14:solidFill>
                    <w14:schemeClr w14:val="tx1"/>
                  </w14:solidFill>
                </w14:textFill>
              </w:rPr>
              <w:t>学科队伍：学科带头人、学术骨干、中青年教师、导师数量、导师结构</w:t>
            </w:r>
          </w:p>
          <w:p w14:paraId="3191ACDC">
            <w:pPr>
              <w:pStyle w:val="6"/>
              <w:ind w:firstLine="400" w:firstLineChars="200"/>
              <w:jc w:val="both"/>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（3）</w:t>
            </w:r>
            <w:r>
              <w:rPr>
                <w:rFonts w:hint="default"/>
                <w:color w:val="000000" w:themeColor="text1"/>
                <w:highlight w:val="none"/>
                <w:lang w:val="en-US" w:eastAsia="zh-CN"/>
                <w14:textFill>
                  <w14:solidFill>
                    <w14:schemeClr w14:val="tx1"/>
                  </w14:solidFill>
                </w14:textFill>
              </w:rPr>
              <w:t>人才培养：各层次在校生（本科/硕士）、招生规模、毕业人数、学位授予率、培养质量</w:t>
            </w:r>
          </w:p>
          <w:p w14:paraId="3B63AF8A">
            <w:pPr>
              <w:pStyle w:val="6"/>
              <w:ind w:firstLine="400" w:firstLineChars="200"/>
              <w:jc w:val="both"/>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（4）</w:t>
            </w:r>
            <w:r>
              <w:rPr>
                <w:rFonts w:hint="default"/>
                <w:color w:val="000000" w:themeColor="text1"/>
                <w:highlight w:val="none"/>
                <w:lang w:val="en-US" w:eastAsia="zh-CN"/>
                <w14:textFill>
                  <w14:solidFill>
                    <w14:schemeClr w14:val="tx1"/>
                  </w14:solidFill>
                </w14:textFill>
              </w:rPr>
              <w:t>学科建设：建设经费、平台数量、实验室建设、学科评估结果、年度建设进展</w:t>
            </w:r>
          </w:p>
          <w:p w14:paraId="52E39C2D">
            <w:pPr>
              <w:pStyle w:val="6"/>
              <w:ind w:firstLine="400" w:firstLineChars="200"/>
              <w:jc w:val="both"/>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5、主题5：学院学生数据看板</w:t>
            </w:r>
          </w:p>
          <w:p w14:paraId="31354D70">
            <w:pPr>
              <w:pStyle w:val="6"/>
              <w:ind w:firstLine="400" w:firstLineChars="200"/>
              <w:jc w:val="both"/>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（1）</w:t>
            </w:r>
            <w:r>
              <w:rPr>
                <w:rFonts w:hint="default"/>
                <w:color w:val="000000" w:themeColor="text1"/>
                <w:highlight w:val="none"/>
                <w:lang w:val="en-US" w:eastAsia="zh-CN"/>
                <w14:textFill>
                  <w14:solidFill>
                    <w14:schemeClr w14:val="tx1"/>
                  </w14:solidFill>
                </w14:textFill>
              </w:rPr>
              <w:t>学生规模：在校生总数、各年级/专业分布、男女比例、生源地分布、少数民族学生</w:t>
            </w:r>
          </w:p>
          <w:p w14:paraId="3B0407EB">
            <w:pPr>
              <w:pStyle w:val="6"/>
              <w:ind w:firstLine="400" w:firstLineChars="200"/>
              <w:jc w:val="both"/>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（2）</w:t>
            </w:r>
            <w:r>
              <w:rPr>
                <w:rFonts w:hint="default"/>
                <w:color w:val="000000" w:themeColor="text1"/>
                <w:highlight w:val="none"/>
                <w:lang w:val="en-US" w:eastAsia="zh-CN"/>
                <w14:textFill>
                  <w14:solidFill>
                    <w14:schemeClr w14:val="tx1"/>
                  </w14:solidFill>
                </w14:textFill>
              </w:rPr>
              <w:t>学籍管理：报到率、退学/休学/复学、留级/降级、学籍异动统计、毕业率、学位获取率</w:t>
            </w:r>
          </w:p>
          <w:p w14:paraId="01135AF4">
            <w:pPr>
              <w:pStyle w:val="6"/>
              <w:ind w:firstLine="400" w:firstLineChars="200"/>
              <w:jc w:val="both"/>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（3）</w:t>
            </w:r>
            <w:r>
              <w:rPr>
                <w:rFonts w:hint="default"/>
                <w:color w:val="000000" w:themeColor="text1"/>
                <w:highlight w:val="none"/>
                <w:lang w:val="en-US" w:eastAsia="zh-CN"/>
                <w14:textFill>
                  <w14:solidFill>
                    <w14:schemeClr w14:val="tx1"/>
                  </w14:solidFill>
                </w14:textFill>
              </w:rPr>
              <w:t>学生奖惩：奖学金、助学金、荣誉称号、违纪处分、竞赛获奖、创新创业成果</w:t>
            </w:r>
          </w:p>
          <w:p w14:paraId="002DBA84">
            <w:pPr>
              <w:pStyle w:val="6"/>
              <w:ind w:firstLine="400" w:firstLineChars="200"/>
              <w:jc w:val="both"/>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（4）</w:t>
            </w:r>
            <w:r>
              <w:rPr>
                <w:rFonts w:hint="default"/>
                <w:color w:val="000000" w:themeColor="text1"/>
                <w:highlight w:val="none"/>
                <w:lang w:val="en-US" w:eastAsia="zh-CN"/>
                <w14:textFill>
                  <w14:solidFill>
                    <w14:schemeClr w14:val="tx1"/>
                  </w14:solidFill>
                </w14:textFill>
              </w:rPr>
              <w:t>日常管理：请假、查寝、宿舍卫生、晚归/违纪、思政活动</w:t>
            </w:r>
          </w:p>
          <w:p w14:paraId="67009C1D">
            <w:pPr>
              <w:pStyle w:val="6"/>
              <w:ind w:firstLine="400" w:firstLineChars="200"/>
              <w:jc w:val="both"/>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（5）</w:t>
            </w:r>
            <w:r>
              <w:rPr>
                <w:rFonts w:hint="default"/>
                <w:color w:val="000000" w:themeColor="text1"/>
                <w:highlight w:val="none"/>
                <w:lang w:val="en-US" w:eastAsia="zh-CN"/>
                <w14:textFill>
                  <w14:solidFill>
                    <w14:schemeClr w14:val="tx1"/>
                  </w14:solidFill>
                </w14:textFill>
              </w:rPr>
              <w:t>学生发展：学业成绩、体测达标率、社团活动、志愿服务、社会实践</w:t>
            </w:r>
          </w:p>
          <w:p w14:paraId="32D022E9">
            <w:pPr>
              <w:pStyle w:val="6"/>
              <w:ind w:firstLine="400" w:firstLineChars="200"/>
              <w:jc w:val="both"/>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6、主题6：学院招就数据看板</w:t>
            </w:r>
          </w:p>
          <w:p w14:paraId="37727B98">
            <w:pPr>
              <w:pStyle w:val="6"/>
              <w:ind w:firstLine="400" w:firstLineChars="200"/>
              <w:jc w:val="both"/>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（1）</w:t>
            </w:r>
            <w:r>
              <w:rPr>
                <w:rFonts w:hint="default"/>
                <w:color w:val="000000" w:themeColor="text1"/>
                <w:highlight w:val="none"/>
                <w:lang w:val="en-US" w:eastAsia="zh-CN"/>
                <w14:textFill>
                  <w14:solidFill>
                    <w14:schemeClr w14:val="tx1"/>
                  </w14:solidFill>
                </w14:textFill>
              </w:rPr>
              <w:t>招生数据：历年招生计划、实际录取人数、生源质量、分数线、报到率、专业热度排名</w:t>
            </w:r>
          </w:p>
          <w:p w14:paraId="3CBA06BA">
            <w:pPr>
              <w:pStyle w:val="6"/>
              <w:ind w:firstLine="400" w:firstLineChars="200"/>
              <w:jc w:val="both"/>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（2）</w:t>
            </w:r>
            <w:r>
              <w:rPr>
                <w:rFonts w:hint="default"/>
                <w:color w:val="000000" w:themeColor="text1"/>
                <w:highlight w:val="none"/>
                <w:lang w:val="en-US" w:eastAsia="zh-CN"/>
                <w14:textFill>
                  <w14:solidFill>
                    <w14:schemeClr w14:val="tx1"/>
                  </w14:solidFill>
                </w14:textFill>
              </w:rPr>
              <w:t>就业数据：毕业生总数、就业率、升学率、签约率、灵活就业率、待就业率</w:t>
            </w:r>
          </w:p>
          <w:p w14:paraId="7E5ED518">
            <w:pPr>
              <w:pStyle w:val="6"/>
              <w:ind w:firstLine="400" w:firstLineChars="200"/>
              <w:jc w:val="both"/>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（3）</w:t>
            </w:r>
            <w:r>
              <w:rPr>
                <w:rFonts w:hint="default"/>
                <w:color w:val="000000" w:themeColor="text1"/>
                <w:highlight w:val="none"/>
                <w:lang w:val="en-US" w:eastAsia="zh-CN"/>
                <w14:textFill>
                  <w14:solidFill>
                    <w14:schemeClr w14:val="tx1"/>
                  </w14:solidFill>
                </w14:textFill>
              </w:rPr>
              <w:t>就业质量：就业单位行业分布、地域分布、国企/民企/事业单位占比、薪资水平、专业对口率</w:t>
            </w:r>
          </w:p>
          <w:p w14:paraId="16AF30D0">
            <w:pPr>
              <w:pStyle w:val="6"/>
              <w:ind w:firstLine="400" w:firstLineChars="200"/>
              <w:jc w:val="both"/>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（4）</w:t>
            </w:r>
            <w:r>
              <w:rPr>
                <w:rFonts w:hint="default"/>
                <w:color w:val="000000" w:themeColor="text1"/>
                <w:highlight w:val="none"/>
                <w:lang w:val="en-US" w:eastAsia="zh-CN"/>
                <w14:textFill>
                  <w14:solidFill>
                    <w14:schemeClr w14:val="tx1"/>
                  </w14:solidFill>
                </w14:textFill>
              </w:rPr>
              <w:t>升学情况：国内读研院校分布、考研率、出国（境）留学情况</w:t>
            </w:r>
          </w:p>
          <w:p w14:paraId="08856D7A">
            <w:pPr>
              <w:pStyle w:val="6"/>
              <w:ind w:firstLine="400" w:firstLineChars="200"/>
              <w:jc w:val="both"/>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（5）</w:t>
            </w:r>
            <w:r>
              <w:rPr>
                <w:rFonts w:hint="default"/>
                <w:color w:val="000000" w:themeColor="text1"/>
                <w:highlight w:val="none"/>
                <w:lang w:val="en-US" w:eastAsia="zh-CN"/>
                <w14:textFill>
                  <w14:solidFill>
                    <w14:schemeClr w14:val="tx1"/>
                  </w14:solidFill>
                </w14:textFill>
              </w:rPr>
              <w:t>历年对比：近五年招生规模、就业率、升学率、就业质量趋势</w:t>
            </w:r>
          </w:p>
          <w:p w14:paraId="3428B75C">
            <w:pPr>
              <w:pStyle w:val="6"/>
              <w:ind w:firstLine="400" w:firstLineChars="200"/>
              <w:jc w:val="both"/>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7、主题7：学院年度公共事务看板</w:t>
            </w:r>
          </w:p>
          <w:p w14:paraId="12C20CFA">
            <w:pPr>
              <w:pStyle w:val="6"/>
              <w:ind w:firstLine="400" w:firstLineChars="200"/>
              <w:jc w:val="both"/>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（1）</w:t>
            </w:r>
            <w:r>
              <w:rPr>
                <w:rFonts w:hint="default"/>
                <w:color w:val="000000" w:themeColor="text1"/>
                <w:highlight w:val="none"/>
                <w:lang w:val="en-US" w:eastAsia="zh-CN"/>
                <w14:textFill>
                  <w14:solidFill>
                    <w14:schemeClr w14:val="tx1"/>
                  </w14:solidFill>
                </w14:textFill>
              </w:rPr>
              <w:t>会议参与：校级/院级会议、党组织生活、教研活动、监考命题、迎检准备</w:t>
            </w:r>
          </w:p>
          <w:p w14:paraId="0B15F56E">
            <w:pPr>
              <w:pStyle w:val="6"/>
              <w:ind w:firstLine="400" w:firstLineChars="200"/>
              <w:jc w:val="both"/>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（2）</w:t>
            </w:r>
            <w:r>
              <w:rPr>
                <w:rFonts w:hint="default"/>
                <w:color w:val="000000" w:themeColor="text1"/>
                <w:highlight w:val="none"/>
                <w:lang w:val="en-US" w:eastAsia="zh-CN"/>
                <w14:textFill>
                  <w14:solidFill>
                    <w14:schemeClr w14:val="tx1"/>
                  </w14:solidFill>
                </w14:textFill>
              </w:rPr>
              <w:t>活动参与：运动会、健步走、集体生日、春秋游、志愿服务、代表学院参赛/演出</w:t>
            </w:r>
          </w:p>
          <w:p w14:paraId="4CBCD7F1">
            <w:pPr>
              <w:pStyle w:val="6"/>
              <w:ind w:firstLine="400" w:firstLineChars="200"/>
              <w:jc w:val="both"/>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（3）</w:t>
            </w:r>
            <w:r>
              <w:rPr>
                <w:rFonts w:hint="default"/>
                <w:color w:val="000000" w:themeColor="text1"/>
                <w:highlight w:val="none"/>
                <w:lang w:val="en-US" w:eastAsia="zh-CN"/>
                <w14:textFill>
                  <w14:solidFill>
                    <w14:schemeClr w14:val="tx1"/>
                  </w14:solidFill>
                </w14:textFill>
              </w:rPr>
              <w:t>培训学习：网络培训、继续教育、学术讲座、外出进修</w:t>
            </w:r>
          </w:p>
          <w:p w14:paraId="2619EA43">
            <w:pPr>
              <w:pStyle w:val="6"/>
              <w:ind w:firstLine="400" w:firstLineChars="200"/>
              <w:jc w:val="both"/>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（4）</w:t>
            </w:r>
            <w:r>
              <w:rPr>
                <w:rFonts w:hint="default"/>
                <w:color w:val="000000" w:themeColor="text1"/>
                <w:highlight w:val="none"/>
                <w:lang w:val="en-US" w:eastAsia="zh-CN"/>
                <w14:textFill>
                  <w14:solidFill>
                    <w14:schemeClr w14:val="tx1"/>
                  </w14:solidFill>
                </w14:textFill>
              </w:rPr>
              <w:t>工作贡献：建言献策、来访接待、后勤保障、教材编写、大纲修订、青年导师、评教评学</w:t>
            </w:r>
          </w:p>
          <w:p w14:paraId="38DE6524">
            <w:pPr>
              <w:pStyle w:val="6"/>
              <w:ind w:firstLine="400" w:firstLineChars="200"/>
              <w:jc w:val="both"/>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（5）</w:t>
            </w:r>
            <w:r>
              <w:rPr>
                <w:rFonts w:hint="default"/>
                <w:color w:val="000000" w:themeColor="text1"/>
                <w:highlight w:val="none"/>
                <w:lang w:val="en-US" w:eastAsia="zh-CN"/>
                <w14:textFill>
                  <w14:solidFill>
                    <w14:schemeClr w14:val="tx1"/>
                  </w14:solidFill>
                </w14:textFill>
              </w:rPr>
              <w:t>统计分析：公共事务参与率、人均完成项、分类统计、年度对比、未完成提醒。</w:t>
            </w:r>
          </w:p>
          <w:p w14:paraId="03B43F92">
            <w:pPr>
              <w:pStyle w:val="6"/>
              <w:ind w:firstLine="400" w:firstLineChars="200"/>
              <w:jc w:val="both"/>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8、主题8：创新创业看板</w:t>
            </w:r>
          </w:p>
          <w:p w14:paraId="4FA9CA12">
            <w:pPr>
              <w:pStyle w:val="6"/>
              <w:ind w:firstLine="400" w:firstLineChars="200"/>
              <w:jc w:val="both"/>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（1）</w:t>
            </w:r>
            <w:r>
              <w:rPr>
                <w:rFonts w:hint="default"/>
                <w:color w:val="000000" w:themeColor="text1"/>
                <w:highlight w:val="none"/>
                <w:lang w:val="en-US" w:eastAsia="zh-CN"/>
                <w14:textFill>
                  <w14:solidFill>
                    <w14:schemeClr w14:val="tx1"/>
                  </w14:solidFill>
                </w14:textFill>
              </w:rPr>
              <w:t>整体概览总览：在校创业学生总人数、创新创业参与总人数、双创课程开课数、选课总人次、双创赛事参赛总数、获奖总数、孵化基地入驻项目数、毕业出园项目数、年度双创经费投入、校企合作项目总数</w:t>
            </w:r>
          </w:p>
          <w:p w14:paraId="099885BA">
            <w:pPr>
              <w:pStyle w:val="6"/>
              <w:ind w:firstLine="400" w:firstLineChars="200"/>
              <w:jc w:val="both"/>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（2）</w:t>
            </w:r>
            <w:r>
              <w:rPr>
                <w:rFonts w:hint="default"/>
                <w:color w:val="000000" w:themeColor="text1"/>
                <w:highlight w:val="none"/>
                <w:lang w:val="en-US" w:eastAsia="zh-CN"/>
                <w14:textFill>
                  <w14:solidFill>
                    <w14:schemeClr w14:val="tx1"/>
                  </w14:solidFill>
                </w14:textFill>
              </w:rPr>
              <w:t>学生参与维度：各学院 / 年级双创参与人数、参与率、男女参与比例、专业参与分布、意向创业方向分布（科技、文创、电商、现代农业等）、双创社团、双创训练营参训人数</w:t>
            </w:r>
          </w:p>
          <w:p w14:paraId="3CCBBB73">
            <w:pPr>
              <w:pStyle w:val="6"/>
              <w:ind w:firstLine="400" w:firstLineChars="200"/>
              <w:jc w:val="both"/>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（3）</w:t>
            </w:r>
            <w:r>
              <w:rPr>
                <w:rFonts w:hint="default"/>
                <w:color w:val="000000" w:themeColor="text1"/>
                <w:highlight w:val="none"/>
                <w:lang w:val="en-US" w:eastAsia="zh-CN"/>
                <w14:textFill>
                  <w14:solidFill>
                    <w14:schemeClr w14:val="tx1"/>
                  </w14:solidFill>
                </w14:textFill>
              </w:rPr>
              <w:t>赛事竞赛数据：互联网 +、挑战杯等顶级赛事报名数、校级 / 省级 / 国家级参赛数、金、银、铜奖获奖数量、获奖层级占比、历年赛事获奖同比 / 环比增长、优秀参赛项目类别统计</w:t>
            </w:r>
          </w:p>
          <w:p w14:paraId="2051DA7A">
            <w:pPr>
              <w:pStyle w:val="6"/>
              <w:ind w:firstLine="400" w:firstLineChars="200"/>
              <w:jc w:val="both"/>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（4）</w:t>
            </w:r>
            <w:r>
              <w:rPr>
                <w:rFonts w:hint="default"/>
                <w:color w:val="000000" w:themeColor="text1"/>
                <w:highlight w:val="none"/>
                <w:lang w:val="en-US" w:eastAsia="zh-CN"/>
                <w14:textFill>
                  <w14:solidFill>
                    <w14:schemeClr w14:val="tx1"/>
                  </w14:solidFill>
                </w14:textFill>
              </w:rPr>
              <w:t>创业项目孵化数据：在孵项目数量、已落地实体项目数量、项目行业分类、高新技术项目占比、项目成立公司数量、营业执照注册数、创业项目营收总额、带动就业人数、投融资对接成功数、获得风投 / 扶持资金总额</w:t>
            </w:r>
          </w:p>
          <w:p w14:paraId="2EE0DFE9">
            <w:pPr>
              <w:pStyle w:val="6"/>
              <w:ind w:firstLine="400" w:firstLineChars="200"/>
              <w:jc w:val="both"/>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（5）</w:t>
            </w:r>
            <w:r>
              <w:rPr>
                <w:rFonts w:hint="default"/>
                <w:color w:val="000000" w:themeColor="text1"/>
                <w:highlight w:val="none"/>
                <w:lang w:val="en-US" w:eastAsia="zh-CN"/>
                <w14:textFill>
                  <w14:solidFill>
                    <w14:schemeClr w14:val="tx1"/>
                  </w14:solidFill>
                </w14:textFill>
              </w:rPr>
              <w:t>师资与教学数据：双创导师总数（校内 + 校外企业导师）、双创专任教师人数、师资培训次数、双创公开课、讲座、沙龙举办场次、师生共创项目数量、教师指导获奖项目数</w:t>
            </w:r>
          </w:p>
          <w:p w14:paraId="14435B53">
            <w:pPr>
              <w:pStyle w:val="6"/>
              <w:ind w:firstLine="400" w:firstLineChars="200"/>
              <w:jc w:val="both"/>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（6）</w:t>
            </w:r>
            <w:r>
              <w:rPr>
                <w:rFonts w:hint="default"/>
                <w:color w:val="000000" w:themeColor="text1"/>
                <w:highlight w:val="none"/>
                <w:lang w:val="en-US" w:eastAsia="zh-CN"/>
                <w14:textFill>
                  <w14:solidFill>
                    <w14:schemeClr w14:val="tx1"/>
                  </w14:solidFill>
                </w14:textFill>
              </w:rPr>
              <w:t>校企产学研数据：合作企业数量、双创实践基地数量、校企联合孵化项目、实习创业岗位数量、专利成果（学生实用新型、发明专利数）、双创成果转化数量、横向科研创业项目数</w:t>
            </w:r>
          </w:p>
          <w:p w14:paraId="1E6C3291">
            <w:pPr>
              <w:pStyle w:val="6"/>
              <w:ind w:firstLine="400" w:firstLineChars="200"/>
              <w:jc w:val="both"/>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学院数据驾驶舱中显示的内容可根据学校实际数据情况进行调整。</w:t>
            </w:r>
          </w:p>
          <w:p w14:paraId="6749AA5E">
            <w:pPr>
              <w:pStyle w:val="6"/>
              <w:ind w:firstLine="480" w:firstLineChars="200"/>
              <w:jc w:val="both"/>
              <w:rPr>
                <w:rFonts w:hint="default"/>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6.6.</w:t>
            </w:r>
            <w:r>
              <w:rPr>
                <w:rFonts w:hint="default"/>
                <w:color w:val="000000" w:themeColor="text1"/>
                <w:sz w:val="24"/>
                <w:szCs w:val="24"/>
                <w:highlight w:val="none"/>
                <w:lang w:val="en-US" w:eastAsia="zh-CN"/>
                <w14:textFill>
                  <w14:solidFill>
                    <w14:schemeClr w14:val="tx1"/>
                  </w14:solidFill>
                </w14:textFill>
              </w:rPr>
              <w:t>校级/部门数据决策驾驶舱</w:t>
            </w:r>
          </w:p>
          <w:p w14:paraId="6F2345BD">
            <w:pPr>
              <w:pStyle w:val="6"/>
              <w:ind w:firstLine="480" w:firstLineChars="200"/>
              <w:jc w:val="both"/>
              <w:rPr>
                <w:rFonts w:hint="default"/>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6.6.1.</w:t>
            </w:r>
            <w:r>
              <w:rPr>
                <w:rFonts w:hint="default"/>
                <w:color w:val="000000" w:themeColor="text1"/>
                <w:sz w:val="24"/>
                <w:szCs w:val="24"/>
                <w:highlight w:val="none"/>
                <w:lang w:val="en-US" w:eastAsia="zh-CN"/>
                <w14:textFill>
                  <w14:solidFill>
                    <w14:schemeClr w14:val="tx1"/>
                  </w14:solidFill>
                </w14:textFill>
              </w:rPr>
              <w:t>需求调研及现状摸底</w:t>
            </w:r>
          </w:p>
          <w:p w14:paraId="78F12B3A">
            <w:pPr>
              <w:pStyle w:val="6"/>
              <w:ind w:firstLine="400" w:firstLineChars="200"/>
              <w:jc w:val="both"/>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1、开展对教务、人事、科研、学科、学生、招就、创新创业等部门的需求框架调研，整理各部门对管理驾驶舱的预期目标、业务痛点及业务诉求；</w:t>
            </w:r>
          </w:p>
          <w:p w14:paraId="6F7359C1">
            <w:pPr>
              <w:pStyle w:val="6"/>
              <w:ind w:firstLine="400" w:firstLineChars="200"/>
              <w:jc w:val="both"/>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2、基于驾驶舱的预期目标，摸底现有业务系统的基本数据情况，核查数据完成性、准确性，评估业务数据情况；</w:t>
            </w:r>
          </w:p>
          <w:p w14:paraId="74A47D45">
            <w:pPr>
              <w:pStyle w:val="6"/>
              <w:ind w:firstLine="400" w:firstLineChars="200"/>
              <w:jc w:val="both"/>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3、基于部门管理者视角，按业务流程、管理主题、核心职能科室调研管理驾驶舱建设思路；</w:t>
            </w:r>
          </w:p>
          <w:p w14:paraId="0B4696A2">
            <w:pPr>
              <w:pStyle w:val="6"/>
              <w:ind w:firstLine="480" w:firstLineChars="200"/>
              <w:jc w:val="both"/>
              <w:rPr>
                <w:rFonts w:hint="default"/>
                <w:color w:val="000000" w:themeColor="text1"/>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6.6.2.</w:t>
            </w:r>
            <w:r>
              <w:rPr>
                <w:rFonts w:hint="default"/>
                <w:color w:val="000000" w:themeColor="text1"/>
                <w:sz w:val="24"/>
                <w:szCs w:val="24"/>
                <w:highlight w:val="none"/>
                <w:lang w:val="en-US" w:eastAsia="zh-CN"/>
                <w14:textFill>
                  <w14:solidFill>
                    <w14:schemeClr w14:val="tx1"/>
                  </w14:solidFill>
                </w14:textFill>
              </w:rPr>
              <w:t>驾驶舱设计</w:t>
            </w:r>
          </w:p>
          <w:p w14:paraId="2300876D">
            <w:pPr>
              <w:pStyle w:val="6"/>
              <w:ind w:firstLine="400" w:firstLineChars="200"/>
              <w:jc w:val="both"/>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1、驾驶舱原型设计：基于需求调研结果，完成驾驶舱原型设计，包括整体框架设计、交互设计、各页面内容布局设计、并选择合适的可视化图表展示数据内容及分析方式，同时说明图表之间的交互逻辑，提供不少于两版《驾驶舱原型设计稿》；</w:t>
            </w:r>
          </w:p>
          <w:p w14:paraId="04B864FD">
            <w:pPr>
              <w:pStyle w:val="6"/>
              <w:ind w:firstLine="400" w:firstLineChars="200"/>
              <w:jc w:val="both"/>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2、基于原型设计，完驾驶舱视觉稿设计，布局上要求层次清晰、分区明确，色彩搭配要符合学校形象及各部门管理业务特点，并突出重点，同时可视化图表要准确直观。</w:t>
            </w:r>
          </w:p>
          <w:p w14:paraId="0168DD5A">
            <w:pPr>
              <w:pStyle w:val="6"/>
              <w:ind w:firstLine="480" w:firstLineChars="200"/>
              <w:jc w:val="both"/>
              <w:rPr>
                <w:rFonts w:hint="default"/>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6.6.3.</w:t>
            </w:r>
            <w:r>
              <w:rPr>
                <w:rFonts w:hint="default"/>
                <w:color w:val="000000" w:themeColor="text1"/>
                <w:sz w:val="24"/>
                <w:szCs w:val="24"/>
                <w:highlight w:val="none"/>
                <w:lang w:val="en-US" w:eastAsia="zh-CN"/>
                <w14:textFill>
                  <w14:solidFill>
                    <w14:schemeClr w14:val="tx1"/>
                  </w14:solidFill>
                </w14:textFill>
              </w:rPr>
              <w:t>校领导驾驶舱</w:t>
            </w:r>
          </w:p>
          <w:p w14:paraId="5051047E">
            <w:pPr>
              <w:pStyle w:val="6"/>
              <w:ind w:firstLine="400" w:firstLineChars="200"/>
              <w:jc w:val="both"/>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对学校现有校情分析驾驶舱进行优化改造，聚焦战略决策支撑，总体展示学校基本校情，教务、人事、科研、学科、学生、招就、创新创业内容，需实现和二级学院和部门驾驶舱的融合，支持下钻进入对应的部门业务驾驶舱或学院驾驶舱。</w:t>
            </w:r>
          </w:p>
          <w:p w14:paraId="45C6C5E0">
            <w:pPr>
              <w:pStyle w:val="6"/>
              <w:ind w:firstLine="480" w:firstLineChars="200"/>
              <w:jc w:val="both"/>
              <w:rPr>
                <w:rFonts w:hint="default"/>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6.6.4.</w:t>
            </w:r>
            <w:r>
              <w:rPr>
                <w:rFonts w:hint="default"/>
                <w:color w:val="000000" w:themeColor="text1"/>
                <w:sz w:val="24"/>
                <w:szCs w:val="24"/>
                <w:highlight w:val="none"/>
                <w:lang w:val="en-US" w:eastAsia="zh-CN"/>
                <w14:textFill>
                  <w14:solidFill>
                    <w14:schemeClr w14:val="tx1"/>
                  </w14:solidFill>
                </w14:textFill>
              </w:rPr>
              <w:t>部门驾驶舱建设内容</w:t>
            </w:r>
          </w:p>
          <w:p w14:paraId="37D0FBFB">
            <w:pPr>
              <w:pStyle w:val="6"/>
              <w:ind w:firstLine="400" w:firstLineChars="200"/>
              <w:jc w:val="both"/>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结合学校现有校级决策驾驶舱，围绕学校核心部门（教务、人事、科研、学科、学生、招就）建设部门决策驾驶舱，将驾驶舱融合至学校现有数据门户中，实现校内数据应用的一体化访问，并可以实现数据一级或二级的下钻，具体下钻情况需根据学校实际要求进行配置。</w:t>
            </w:r>
          </w:p>
          <w:p w14:paraId="7A8080ED">
            <w:pPr>
              <w:pStyle w:val="6"/>
              <w:ind w:firstLine="400" w:firstLineChars="200"/>
              <w:jc w:val="both"/>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各部门驾驶舱中可以针对部门管理的核心数据，按照不同学院的数据进行对比展示，清晰展示不同学院的核心业务指标，关键指标可按照12个学院进行比对展示。具体要求如下：</w:t>
            </w:r>
          </w:p>
          <w:p w14:paraId="0FF0C88E">
            <w:pPr>
              <w:pStyle w:val="6"/>
              <w:ind w:firstLine="400" w:firstLineChars="200"/>
              <w:jc w:val="both"/>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1.</w:t>
            </w:r>
            <w:r>
              <w:rPr>
                <w:rFonts w:hint="default"/>
                <w:color w:val="000000" w:themeColor="text1"/>
                <w:highlight w:val="none"/>
                <w:lang w:val="en-US" w:eastAsia="zh-CN"/>
                <w14:textFill>
                  <w14:solidFill>
                    <w14:schemeClr w14:val="tx1"/>
                  </w14:solidFill>
                </w14:textFill>
              </w:rPr>
              <w:t>教务决策驾驶舱</w:t>
            </w:r>
          </w:p>
          <w:p w14:paraId="386E511F">
            <w:pPr>
              <w:pStyle w:val="6"/>
              <w:ind w:firstLine="400" w:firstLineChars="200"/>
              <w:jc w:val="both"/>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教务决策驾驶舱可以实现对学校教学管理工作各维度数据进行分析和展示，具体包括学年成绩分布、学院教室分布、近五年考试挂科及学分达成率、专任教师数、教室总量、评教平均分、开课课程数、开课课时数、考试通过率、评教合格率、学年成绩等级、学年成绩区间、近五年课程属性选择分析等内容。</w:t>
            </w:r>
          </w:p>
          <w:p w14:paraId="59B8EAE5">
            <w:pPr>
              <w:pStyle w:val="6"/>
              <w:ind w:firstLine="400" w:firstLineChars="200"/>
              <w:jc w:val="both"/>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2.</w:t>
            </w:r>
            <w:r>
              <w:rPr>
                <w:rFonts w:hint="default"/>
                <w:color w:val="000000" w:themeColor="text1"/>
                <w:highlight w:val="none"/>
                <w:lang w:val="en-US" w:eastAsia="zh-CN"/>
                <w14:textFill>
                  <w14:solidFill>
                    <w14:schemeClr w14:val="tx1"/>
                  </w14:solidFill>
                </w14:textFill>
              </w:rPr>
              <w:t>人事决策驾驶舱</w:t>
            </w:r>
          </w:p>
          <w:p w14:paraId="5D7BE936">
            <w:pPr>
              <w:pStyle w:val="6"/>
              <w:ind w:firstLine="400" w:firstLineChars="200"/>
              <w:jc w:val="both"/>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人事决策驾驶舱可以实现对全校教师进行各维度的数据分析和展示，具体包括用人方式分析、学历比例分布分析、学位比例分布分析、教职工状态分析、专业技术职务级别分布、学院专任教师人数分布、政治面貌比例分析、性别比例分析、年龄比例分析等内容。</w:t>
            </w:r>
          </w:p>
          <w:p w14:paraId="4E48D58A">
            <w:pPr>
              <w:pStyle w:val="6"/>
              <w:ind w:firstLine="400" w:firstLineChars="200"/>
              <w:jc w:val="both"/>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3.</w:t>
            </w:r>
            <w:r>
              <w:rPr>
                <w:rFonts w:hint="default"/>
                <w:color w:val="000000" w:themeColor="text1"/>
                <w:highlight w:val="none"/>
                <w:lang w:val="en-US" w:eastAsia="zh-CN"/>
                <w14:textFill>
                  <w14:solidFill>
                    <w14:schemeClr w14:val="tx1"/>
                  </w14:solidFill>
                </w14:textFill>
              </w:rPr>
              <w:t>科研决策驾驶舱</w:t>
            </w:r>
          </w:p>
          <w:p w14:paraId="069636D8">
            <w:pPr>
              <w:pStyle w:val="6"/>
              <w:ind w:firstLine="400" w:firstLineChars="200"/>
              <w:jc w:val="both"/>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科学研究分析大屏是对学校科学研究情况进行各维度的数据分析和展示，具体包括科研项目统计（科研项目总数、横向科研项目、纵向科研项目、项目级别分布、近五年科研项目立项/结项、科研项目所属单位分布等）、科研经费统计、科研人员统计、科研成果统计（著作总数、论文发表总数、专利总数、获奖总数、获奖级别分布）等内容。</w:t>
            </w:r>
          </w:p>
          <w:p w14:paraId="04C271F1">
            <w:pPr>
              <w:pStyle w:val="6"/>
              <w:ind w:firstLine="400" w:firstLineChars="200"/>
              <w:jc w:val="both"/>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4.</w:t>
            </w:r>
            <w:r>
              <w:rPr>
                <w:rFonts w:hint="default"/>
                <w:color w:val="000000" w:themeColor="text1"/>
                <w:highlight w:val="none"/>
                <w:lang w:val="en-US" w:eastAsia="zh-CN"/>
                <w14:textFill>
                  <w14:solidFill>
                    <w14:schemeClr w14:val="tx1"/>
                  </w14:solidFill>
                </w14:textFill>
              </w:rPr>
              <w:t>学科决策驾驶舱</w:t>
            </w:r>
          </w:p>
          <w:p w14:paraId="6A3EA004">
            <w:pPr>
              <w:pStyle w:val="6"/>
              <w:ind w:firstLine="400" w:firstLineChars="200"/>
              <w:jc w:val="both"/>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建设学科决策驾驶舱，从学校基本信息、学科概况、师资队伍、人才培养、科学研究、社会服务，此类学科建设核心维度，以可视化大屏形式，展示学科整体的学科建设情况。</w:t>
            </w:r>
          </w:p>
          <w:p w14:paraId="6F6BC0C9">
            <w:pPr>
              <w:pStyle w:val="6"/>
              <w:ind w:firstLine="400" w:firstLineChars="200"/>
              <w:jc w:val="both"/>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5</w:t>
            </w:r>
            <w:r>
              <w:rPr>
                <w:rFonts w:hint="eastAsia"/>
                <w:color w:val="000000" w:themeColor="text1"/>
                <w:highlight w:val="none"/>
                <w:lang w:val="en-US" w:eastAsia="zh-CN"/>
                <w14:textFill>
                  <w14:solidFill>
                    <w14:schemeClr w14:val="tx1"/>
                  </w14:solidFill>
                </w14:textFill>
              </w:rPr>
              <w:t>.</w:t>
            </w:r>
            <w:r>
              <w:rPr>
                <w:rFonts w:hint="default"/>
                <w:color w:val="000000" w:themeColor="text1"/>
                <w:highlight w:val="none"/>
                <w:lang w:val="en-US" w:eastAsia="zh-CN"/>
                <w14:textFill>
                  <w14:solidFill>
                    <w14:schemeClr w14:val="tx1"/>
                  </w14:solidFill>
                </w14:textFill>
              </w:rPr>
              <w:t>学生决策驾驶舱</w:t>
            </w:r>
          </w:p>
          <w:p w14:paraId="52E45A7B">
            <w:pPr>
              <w:pStyle w:val="6"/>
              <w:ind w:firstLine="400" w:firstLineChars="200"/>
              <w:jc w:val="both"/>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本专科生学生工作分析大屏是对学校学生管理工作进行各维度的分析和展示，具体包括当前在校人数、学生数量、学生请假情况、学生查寝情况、学籍异动情况、政工队伍、奖助学金、社团数量、活动数量、学生活动等内容。</w:t>
            </w:r>
          </w:p>
          <w:p w14:paraId="0A657FB0">
            <w:pPr>
              <w:pStyle w:val="6"/>
              <w:ind w:firstLine="400" w:firstLineChars="200"/>
              <w:jc w:val="both"/>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6</w:t>
            </w:r>
            <w:r>
              <w:rPr>
                <w:rFonts w:hint="eastAsia"/>
                <w:color w:val="000000" w:themeColor="text1"/>
                <w:highlight w:val="none"/>
                <w:lang w:val="en-US" w:eastAsia="zh-CN"/>
                <w14:textFill>
                  <w14:solidFill>
                    <w14:schemeClr w14:val="tx1"/>
                  </w14:solidFill>
                </w14:textFill>
              </w:rPr>
              <w:t>.</w:t>
            </w:r>
            <w:r>
              <w:rPr>
                <w:rFonts w:hint="default"/>
                <w:color w:val="000000" w:themeColor="text1"/>
                <w:highlight w:val="none"/>
                <w:lang w:val="en-US" w:eastAsia="zh-CN"/>
                <w14:textFill>
                  <w14:solidFill>
                    <w14:schemeClr w14:val="tx1"/>
                  </w14:solidFill>
                </w14:textFill>
              </w:rPr>
              <w:t>招就决策驾驶舱</w:t>
            </w:r>
          </w:p>
          <w:p w14:paraId="2ADFC057">
            <w:pPr>
              <w:pStyle w:val="6"/>
              <w:ind w:firstLine="400" w:firstLineChars="200"/>
              <w:jc w:val="both"/>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实现以图形化方式展示学校招生数据情况，包括招生省份分布、招生计划、生源地分析、招生选科、科目情况等不同内容；实现以图形化方式展示学校就业数据情况，包括但不限于本年毕业生就业率、近五年就业率趋势、各学院就业率排名、各学历不同专业就业率排名、本科生毕业生规模、研究生毕业生规模、就业类别分类国内升学质量、就业单位行业分布。</w:t>
            </w:r>
          </w:p>
          <w:p w14:paraId="14DBDFC4">
            <w:pPr>
              <w:pStyle w:val="6"/>
              <w:ind w:firstLine="400" w:firstLineChars="200"/>
              <w:jc w:val="both"/>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7.</w:t>
            </w:r>
            <w:r>
              <w:rPr>
                <w:rFonts w:hint="default"/>
                <w:color w:val="000000" w:themeColor="text1"/>
                <w:highlight w:val="none"/>
                <w:lang w:val="en-US" w:eastAsia="zh-CN"/>
                <w14:textFill>
                  <w14:solidFill>
                    <w14:schemeClr w14:val="tx1"/>
                  </w14:solidFill>
                </w14:textFill>
              </w:rPr>
              <w:t>创新创业决策驾驶舱驶舱，聚焦创新创业教育成效与成果转化，</w:t>
            </w:r>
          </w:p>
          <w:p w14:paraId="6717EB5A">
            <w:pPr>
              <w:pStyle w:val="6"/>
              <w:ind w:firstLine="400" w:firstLineChars="200"/>
              <w:jc w:val="both"/>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 xml:space="preserve">学院数据内容包含但不限于上述数据内容，可根据学校实际数据情况进行调整。 </w:t>
            </w:r>
          </w:p>
          <w:p w14:paraId="444C7E51">
            <w:pPr>
              <w:pStyle w:val="6"/>
              <w:ind w:firstLine="480" w:firstLineChars="200"/>
              <w:jc w:val="both"/>
              <w:rPr>
                <w:rFonts w:hint="default"/>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6.6.5.</w:t>
            </w:r>
            <w:r>
              <w:rPr>
                <w:rFonts w:hint="default"/>
                <w:color w:val="000000" w:themeColor="text1"/>
                <w:sz w:val="24"/>
                <w:szCs w:val="24"/>
                <w:highlight w:val="none"/>
                <w:lang w:val="en-US" w:eastAsia="zh-CN"/>
                <w14:textFill>
                  <w14:solidFill>
                    <w14:schemeClr w14:val="tx1"/>
                  </w14:solidFill>
                </w14:textFill>
              </w:rPr>
              <w:t>数据决策分析工具</w:t>
            </w:r>
          </w:p>
          <w:p w14:paraId="180D6F35">
            <w:pPr>
              <w:pStyle w:val="6"/>
              <w:ind w:firstLine="400" w:firstLineChars="200"/>
              <w:jc w:val="both"/>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（1）</w:t>
            </w:r>
            <w:r>
              <w:rPr>
                <w:rFonts w:hint="default"/>
                <w:color w:val="000000" w:themeColor="text1"/>
                <w:highlight w:val="none"/>
                <w:lang w:val="en-US" w:eastAsia="zh-CN"/>
                <w14:textFill>
                  <w14:solidFill>
                    <w14:schemeClr w14:val="tx1"/>
                  </w14:solidFill>
                </w14:textFill>
              </w:rPr>
              <w:t>系统架构：采用C/S+B/S架构。</w:t>
            </w:r>
          </w:p>
          <w:p w14:paraId="71122893">
            <w:pPr>
              <w:pStyle w:val="6"/>
              <w:ind w:firstLine="400" w:firstLineChars="200"/>
              <w:jc w:val="both"/>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（2）</w:t>
            </w:r>
            <w:r>
              <w:rPr>
                <w:rFonts w:hint="default"/>
                <w:color w:val="000000" w:themeColor="text1"/>
                <w:highlight w:val="none"/>
                <w:lang w:val="en-US" w:eastAsia="zh-CN"/>
                <w14:textFill>
                  <w14:solidFill>
                    <w14:schemeClr w14:val="tx1"/>
                  </w14:solidFill>
                </w14:textFill>
              </w:rPr>
              <w:t>浏览器兼容：兼容chrome、edge、360等主流浏览器（HTML5架构，兼容性强），且无需安装任何插件。</w:t>
            </w:r>
          </w:p>
          <w:p w14:paraId="032BE275">
            <w:pPr>
              <w:pStyle w:val="6"/>
              <w:ind w:firstLine="400" w:firstLineChars="200"/>
              <w:jc w:val="both"/>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（3）</w:t>
            </w:r>
            <w:r>
              <w:rPr>
                <w:rFonts w:hint="default"/>
                <w:color w:val="000000" w:themeColor="text1"/>
                <w:highlight w:val="none"/>
                <w:lang w:val="en-US" w:eastAsia="zh-CN"/>
                <w14:textFill>
                  <w14:solidFill>
                    <w14:schemeClr w14:val="tx1"/>
                  </w14:solidFill>
                </w14:textFill>
              </w:rPr>
              <w:t>跨平台支持：具有良好的跨平台支持，支持主流操作系统。</w:t>
            </w:r>
          </w:p>
          <w:p w14:paraId="60CF651D">
            <w:pPr>
              <w:pStyle w:val="6"/>
              <w:ind w:firstLine="400" w:firstLineChars="200"/>
              <w:jc w:val="both"/>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（4）</w:t>
            </w:r>
            <w:r>
              <w:rPr>
                <w:rFonts w:hint="default"/>
                <w:color w:val="000000" w:themeColor="text1"/>
                <w:highlight w:val="none"/>
                <w:lang w:val="en-US" w:eastAsia="zh-CN"/>
                <w14:textFill>
                  <w14:solidFill>
                    <w14:schemeClr w14:val="tx1"/>
                  </w14:solidFill>
                </w14:textFill>
              </w:rPr>
              <w:t>语言支持：支持直接在设计器中进行中英文语言切换，平台语言实现自动切换。</w:t>
            </w:r>
          </w:p>
          <w:p w14:paraId="7E415EAD">
            <w:pPr>
              <w:pStyle w:val="6"/>
              <w:ind w:firstLine="400" w:firstLineChars="200"/>
              <w:jc w:val="both"/>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（5）</w:t>
            </w:r>
            <w:r>
              <w:rPr>
                <w:rFonts w:hint="default"/>
                <w:color w:val="000000" w:themeColor="text1"/>
                <w:highlight w:val="none"/>
                <w:lang w:val="en-US" w:eastAsia="zh-CN"/>
                <w14:textFill>
                  <w14:solidFill>
                    <w14:schemeClr w14:val="tx1"/>
                  </w14:solidFill>
                </w14:textFill>
              </w:rPr>
              <w:t>应用服务器：支持主流web应用服务器。</w:t>
            </w:r>
          </w:p>
          <w:p w14:paraId="46BF489F">
            <w:pPr>
              <w:pStyle w:val="6"/>
              <w:ind w:firstLine="400" w:firstLineChars="200"/>
              <w:jc w:val="both"/>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（6）</w:t>
            </w:r>
            <w:r>
              <w:rPr>
                <w:rFonts w:hint="default"/>
                <w:color w:val="000000" w:themeColor="text1"/>
                <w:highlight w:val="none"/>
                <w:lang w:val="en-US" w:eastAsia="zh-CN"/>
                <w14:textFill>
                  <w14:solidFill>
                    <w14:schemeClr w14:val="tx1"/>
                  </w14:solidFill>
                </w14:textFill>
              </w:rPr>
              <w:t>多种连接方式：支持JDBC、ODBC、JNDI等数据连接方式，支持导入外部数据库jar驱动进行其他种类的数据库连接。</w:t>
            </w:r>
          </w:p>
          <w:p w14:paraId="2F4772A4">
            <w:pPr>
              <w:pStyle w:val="6"/>
              <w:ind w:firstLine="400" w:firstLineChars="200"/>
              <w:jc w:val="both"/>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（7）</w:t>
            </w:r>
            <w:r>
              <w:rPr>
                <w:rFonts w:hint="default"/>
                <w:color w:val="000000" w:themeColor="text1"/>
                <w:highlight w:val="none"/>
                <w:lang w:val="en-US" w:eastAsia="zh-CN"/>
                <w14:textFill>
                  <w14:solidFill>
                    <w14:schemeClr w14:val="tx1"/>
                  </w14:solidFill>
                </w14:textFill>
              </w:rPr>
              <w:t>主流关系型数据库：支持主流数据库类型，适配国产数据库。</w:t>
            </w:r>
          </w:p>
          <w:p w14:paraId="3F93F0BF">
            <w:pPr>
              <w:pStyle w:val="6"/>
              <w:ind w:firstLine="400" w:firstLineChars="200"/>
              <w:jc w:val="both"/>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（8）</w:t>
            </w:r>
            <w:r>
              <w:rPr>
                <w:rFonts w:hint="default"/>
                <w:color w:val="000000" w:themeColor="text1"/>
                <w:highlight w:val="none"/>
                <w:lang w:val="en-US" w:eastAsia="zh-CN"/>
                <w14:textFill>
                  <w14:solidFill>
                    <w14:schemeClr w14:val="tx1"/>
                  </w14:solidFill>
                </w14:textFill>
              </w:rPr>
              <w:t>文件数据集取数：支持从excel、TXT、xml等文件中取数进行报表分析。</w:t>
            </w:r>
          </w:p>
          <w:p w14:paraId="677FA753">
            <w:pPr>
              <w:pStyle w:val="6"/>
              <w:ind w:firstLine="400" w:firstLineChars="200"/>
              <w:jc w:val="both"/>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（9）</w:t>
            </w:r>
            <w:r>
              <w:rPr>
                <w:rFonts w:hint="default"/>
                <w:color w:val="000000" w:themeColor="text1"/>
                <w:highlight w:val="none"/>
                <w:lang w:val="en-US" w:eastAsia="zh-CN"/>
                <w14:textFill>
                  <w14:solidFill>
                    <w14:schemeClr w14:val="tx1"/>
                  </w14:solidFill>
                </w14:textFill>
              </w:rPr>
              <w:t>内置数据集：支持内置数据集，数据直接內建在模板文件里。</w:t>
            </w:r>
          </w:p>
          <w:p w14:paraId="4DBF8F21">
            <w:pPr>
              <w:pStyle w:val="6"/>
              <w:ind w:firstLine="400" w:firstLineChars="200"/>
              <w:jc w:val="both"/>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（10）</w:t>
            </w:r>
            <w:r>
              <w:rPr>
                <w:rFonts w:hint="default"/>
                <w:color w:val="000000" w:themeColor="text1"/>
                <w:highlight w:val="none"/>
                <w:lang w:val="en-US" w:eastAsia="zh-CN"/>
                <w14:textFill>
                  <w14:solidFill>
                    <w14:schemeClr w14:val="tx1"/>
                  </w14:solidFill>
                </w14:textFill>
              </w:rPr>
              <w:t>关联数据集：支持关联数据集，将不同来源数据进行关联整合，包括合并和依条件选择两种方式。</w:t>
            </w:r>
          </w:p>
          <w:p w14:paraId="41EE0603">
            <w:pPr>
              <w:pStyle w:val="6"/>
              <w:ind w:firstLine="400" w:firstLineChars="200"/>
              <w:jc w:val="both"/>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（11）</w:t>
            </w:r>
            <w:r>
              <w:rPr>
                <w:rFonts w:hint="default"/>
                <w:color w:val="000000" w:themeColor="text1"/>
                <w:highlight w:val="none"/>
                <w:lang w:val="en-US" w:eastAsia="zh-CN"/>
                <w14:textFill>
                  <w14:solidFill>
                    <w14:schemeClr w14:val="tx1"/>
                  </w14:solidFill>
                </w14:textFill>
              </w:rPr>
              <w:t>模板数据集和服务器数据集：支持模板数据集和服务器数据集，模板数据集仅能在当前模板使用，服务器数据集可被所有模板使用。</w:t>
            </w:r>
          </w:p>
          <w:p w14:paraId="2945CB7A">
            <w:pPr>
              <w:pStyle w:val="6"/>
              <w:ind w:firstLine="400" w:firstLineChars="200"/>
              <w:jc w:val="both"/>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（12）</w:t>
            </w:r>
            <w:r>
              <w:rPr>
                <w:rFonts w:hint="default"/>
                <w:color w:val="000000" w:themeColor="text1"/>
                <w:highlight w:val="none"/>
                <w:lang w:val="en-US" w:eastAsia="zh-CN"/>
                <w14:textFill>
                  <w14:solidFill>
                    <w14:schemeClr w14:val="tx1"/>
                  </w14:solidFill>
                </w14:textFill>
              </w:rPr>
              <w:t>多报表运行环境：支持多工作目录，可随时在多个工程项目上切换工作。</w:t>
            </w:r>
          </w:p>
          <w:p w14:paraId="7A4D63CE">
            <w:pPr>
              <w:pStyle w:val="6"/>
              <w:ind w:firstLine="400" w:firstLineChars="200"/>
              <w:jc w:val="both"/>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（13）</w:t>
            </w:r>
            <w:r>
              <w:rPr>
                <w:rFonts w:hint="default"/>
                <w:color w:val="000000" w:themeColor="text1"/>
                <w:highlight w:val="none"/>
                <w:lang w:val="en-US" w:eastAsia="zh-CN"/>
                <w14:textFill>
                  <w14:solidFill>
                    <w14:schemeClr w14:val="tx1"/>
                  </w14:solidFill>
                </w14:textFill>
              </w:rPr>
              <w:t>增强分析统计模块：支持自定义分组(包括条件分组和公式分组)，以及层次坐标公式(包括同比，环比，排名，占比和累计等需要层次坐标比较的模板制作)。</w:t>
            </w:r>
          </w:p>
          <w:p w14:paraId="4F5EABEE">
            <w:pPr>
              <w:pStyle w:val="6"/>
              <w:ind w:firstLine="400" w:firstLineChars="200"/>
              <w:jc w:val="both"/>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（14）</w:t>
            </w:r>
            <w:r>
              <w:rPr>
                <w:rFonts w:hint="default"/>
                <w:color w:val="000000" w:themeColor="text1"/>
                <w:highlight w:val="none"/>
                <w:lang w:val="en-US" w:eastAsia="zh-CN"/>
                <w14:textFill>
                  <w14:solidFill>
                    <w14:schemeClr w14:val="tx1"/>
                  </w14:solidFill>
                </w14:textFill>
              </w:rPr>
              <w:t>模板权限集成：通过数据集认证，LADP等认证方式与其它信息系统集成，并对报表页面实现权限控制。</w:t>
            </w:r>
          </w:p>
          <w:p w14:paraId="0DA43094">
            <w:pPr>
              <w:pStyle w:val="6"/>
              <w:ind w:firstLine="400" w:firstLineChars="200"/>
              <w:jc w:val="both"/>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（15）</w:t>
            </w:r>
            <w:r>
              <w:rPr>
                <w:rFonts w:hint="default"/>
                <w:color w:val="000000" w:themeColor="text1"/>
                <w:highlight w:val="none"/>
                <w:lang w:val="en-US" w:eastAsia="zh-CN"/>
                <w14:textFill>
                  <w14:solidFill>
                    <w14:schemeClr w14:val="tx1"/>
                  </w14:solidFill>
                </w14:textFill>
              </w:rPr>
              <w:t>远程设计：采用三层结构来实现设计器在远程服务上创建和修改报表模板。</w:t>
            </w:r>
          </w:p>
          <w:p w14:paraId="0439644A">
            <w:pPr>
              <w:pStyle w:val="6"/>
              <w:ind w:firstLine="400" w:firstLineChars="200"/>
              <w:jc w:val="both"/>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（16）</w:t>
            </w:r>
            <w:r>
              <w:rPr>
                <w:rFonts w:hint="default"/>
                <w:color w:val="000000" w:themeColor="text1"/>
                <w:highlight w:val="none"/>
                <w:lang w:val="en-US" w:eastAsia="zh-CN"/>
                <w14:textFill>
                  <w14:solidFill>
                    <w14:schemeClr w14:val="tx1"/>
                  </w14:solidFill>
                </w14:textFill>
              </w:rPr>
              <w:t>决策报表：通过简单灵活的组件拖拽操作方式快速制作组件式报表，比传统格子报表更美观，智能排布组件布局，交互效果更佳，极适合构建决策驾驶舱。</w:t>
            </w:r>
          </w:p>
          <w:p w14:paraId="7EECA917">
            <w:pPr>
              <w:pStyle w:val="6"/>
              <w:ind w:firstLine="400" w:firstLineChars="200"/>
              <w:jc w:val="both"/>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（17）</w:t>
            </w:r>
            <w:r>
              <w:rPr>
                <w:rFonts w:hint="default"/>
                <w:color w:val="000000" w:themeColor="text1"/>
                <w:highlight w:val="none"/>
                <w:lang w:val="en-US" w:eastAsia="zh-CN"/>
                <w14:textFill>
                  <w14:solidFill>
                    <w14:schemeClr w14:val="tx1"/>
                  </w14:solidFill>
                </w14:textFill>
              </w:rPr>
              <w:t>图表高级交互：包括图表联动（点击图表中数据，其余图表或单元格数据变化），监控刷新和闪烁动画。</w:t>
            </w:r>
          </w:p>
          <w:p w14:paraId="5E8D4B84">
            <w:pPr>
              <w:pStyle w:val="6"/>
              <w:ind w:firstLine="400" w:firstLineChars="200"/>
              <w:jc w:val="both"/>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（18）</w:t>
            </w:r>
            <w:r>
              <w:rPr>
                <w:rFonts w:hint="default"/>
                <w:color w:val="000000" w:themeColor="text1"/>
                <w:highlight w:val="none"/>
                <w:lang w:val="en-US" w:eastAsia="zh-CN"/>
                <w14:textFill>
                  <w14:solidFill>
                    <w14:schemeClr w14:val="tx1"/>
                  </w14:solidFill>
                </w14:textFill>
              </w:rPr>
              <w:t>地图：将与地理位置有关的属性、指标等直观地反映在地图上，支持内置地图、自定义地图以及GIS地图，让数据以地图的形式展现出来。</w:t>
            </w:r>
          </w:p>
          <w:p w14:paraId="53F6B575">
            <w:pPr>
              <w:pStyle w:val="6"/>
              <w:ind w:firstLine="480" w:firstLineChars="200"/>
              <w:jc w:val="both"/>
              <w:rPr>
                <w:rFonts w:hint="default"/>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6.7.</w:t>
            </w:r>
            <w:r>
              <w:rPr>
                <w:rFonts w:hint="default"/>
                <w:color w:val="000000" w:themeColor="text1"/>
                <w:sz w:val="24"/>
                <w:szCs w:val="24"/>
                <w:highlight w:val="none"/>
                <w:lang w:val="en-US" w:eastAsia="zh-CN"/>
                <w14:textFill>
                  <w14:solidFill>
                    <w14:schemeClr w14:val="tx1"/>
                  </w14:solidFill>
                </w14:textFill>
              </w:rPr>
              <w:t>教职工年度绩效考核</w:t>
            </w:r>
          </w:p>
          <w:p w14:paraId="48C476FE">
            <w:pPr>
              <w:pStyle w:val="6"/>
              <w:ind w:firstLine="400" w:firstLineChars="200"/>
              <w:jc w:val="both"/>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依据各学院绩效评价政策文件，可以按岗位分类灵活创建量化方案并转化为计算公式，具备复杂业绩指标计算能力，可基于学院数据中心的数据自动核算各项得分、总分并生成排名，深度支撑学院教师业绩核算等核心业务场景的量化需求，服务期内满足学校各类教师的考核服务需求，具体要求如下：</w:t>
            </w:r>
          </w:p>
          <w:p w14:paraId="1C06A70E">
            <w:pPr>
              <w:pStyle w:val="6"/>
              <w:ind w:firstLine="480" w:firstLineChars="200"/>
              <w:jc w:val="both"/>
              <w:rPr>
                <w:rFonts w:hint="default"/>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6.7.1.</w:t>
            </w:r>
            <w:r>
              <w:rPr>
                <w:rFonts w:hint="default"/>
                <w:color w:val="000000" w:themeColor="text1"/>
                <w:sz w:val="24"/>
                <w:szCs w:val="24"/>
                <w:highlight w:val="none"/>
                <w:lang w:val="en-US" w:eastAsia="zh-CN"/>
                <w14:textFill>
                  <w14:solidFill>
                    <w14:schemeClr w14:val="tx1"/>
                  </w14:solidFill>
                </w14:textFill>
              </w:rPr>
              <w:t>考核方案管理</w:t>
            </w:r>
          </w:p>
          <w:p w14:paraId="40D80020">
            <w:pPr>
              <w:pStyle w:val="6"/>
              <w:ind w:firstLine="400" w:firstLineChars="200"/>
              <w:jc w:val="both"/>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系统应具备考核方案基本设置、维护、检测与开启功能，可设定考核年份、批次名称、填报序列、优秀率、特殊考核人员、填报内容、考核环节、特殊考核部门在内的信息。具体功能要求如下：</w:t>
            </w:r>
          </w:p>
          <w:p w14:paraId="4642C647">
            <w:pPr>
              <w:pStyle w:val="6"/>
              <w:ind w:firstLine="400" w:firstLineChars="200"/>
              <w:jc w:val="both"/>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（1）系统需参考《西安医学院2026-2028年校本部岗位聘用及绩效工资分配实施办法》、《2026年绩效管理与目标考核实施方案》等有关文件自定义配置考核指标。</w:t>
            </w:r>
          </w:p>
          <w:p w14:paraId="0464FC05">
            <w:pPr>
              <w:pStyle w:val="6"/>
              <w:ind w:firstLine="400" w:firstLineChars="200"/>
              <w:jc w:val="both"/>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 xml:space="preserve">（2）考核机构/人员管理：对于考核机构系统应支持3种模式：机构合并按原单位考核、机构合并按特殊组考核、自定义，以满足特殊部门考核场景。对于考核人员系统应支持初始化各单位考核名单后，推送给各单位确认，人事处可以选择等待单位确认结果也可以直接批量确认。同时应支持对特殊人员单独设置报送单位、填报序列、特殊类型设置，满足个别人员特殊考核场景需要。 </w:t>
            </w:r>
          </w:p>
          <w:p w14:paraId="318E891B">
            <w:pPr>
              <w:pStyle w:val="6"/>
              <w:ind w:firstLine="400" w:firstLineChars="200"/>
              <w:jc w:val="both"/>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3）考核内容管理：系统需要能够自定义填报内容，明确信息填写方式、数据集成项、大文本项，支持分项排序自定义及佐证附件上传。需要拥有组合条件限制功能，可对不同业务表填报数量进行自定义要求。同时，系统应支持对单位秘书与单位领导单独设置评定页面、上报汇总表、上报说明板块的内容与顺序。</w:t>
            </w:r>
          </w:p>
          <w:p w14:paraId="459BEABE">
            <w:pPr>
              <w:pStyle w:val="6"/>
              <w:ind w:firstLine="400" w:firstLineChars="200"/>
              <w:jc w:val="both"/>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可以实现业绩核算方案库管理，可以按照不同学院定义不同的业绩核算方案，并支持融合学院数据中心，实现数据的自动获取。</w:t>
            </w:r>
          </w:p>
          <w:p w14:paraId="62ADFB59">
            <w:pPr>
              <w:pStyle w:val="6"/>
              <w:ind w:firstLine="400" w:firstLineChars="200"/>
              <w:jc w:val="both"/>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系统可以实现标准项（如项目级别、课程类型）映射分值；实现引用业务表字段（如基本信息、课堂教学、论文信息、获奖信息、科研项目）作为计算项；</w:t>
            </w:r>
          </w:p>
          <w:p w14:paraId="278698E4">
            <w:pPr>
              <w:pStyle w:val="6"/>
              <w:ind w:firstLine="400" w:firstLineChars="200"/>
              <w:jc w:val="both"/>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可以实现编辑数据公式、自定义计算规则；</w:t>
            </w:r>
          </w:p>
          <w:p w14:paraId="46AA6AC3">
            <w:pPr>
              <w:pStyle w:val="6"/>
              <w:ind w:firstLine="400" w:firstLineChars="200"/>
              <w:jc w:val="both"/>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可以实现通过横、纵向表头构建交叉标准分值映射表（如国家级精品课程按排名赋分）；</w:t>
            </w:r>
          </w:p>
          <w:p w14:paraId="776DC0D2">
            <w:pPr>
              <w:pStyle w:val="6"/>
              <w:ind w:firstLine="400" w:firstLineChars="200"/>
              <w:jc w:val="both"/>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实现公式计算，提供if、&amp;&amp;、||等逻辑运算，加减乘除、求和、平均数、对数等算术运算，大于、小于、大于等于等比较运算。</w:t>
            </w:r>
          </w:p>
          <w:p w14:paraId="68250581">
            <w:pPr>
              <w:pStyle w:val="6"/>
              <w:ind w:firstLine="400" w:firstLineChars="200"/>
              <w:jc w:val="both"/>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实现常量值计算，可授权二级单位调整调剂系数、标准等指标。</w:t>
            </w:r>
          </w:p>
          <w:p w14:paraId="766FDA0B">
            <w:pPr>
              <w:pStyle w:val="6"/>
              <w:ind w:firstLine="400" w:firstLineChars="200"/>
              <w:jc w:val="both"/>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实现跨方案复制同层级计算项；</w:t>
            </w:r>
          </w:p>
          <w:p w14:paraId="37C5D66F">
            <w:pPr>
              <w:pStyle w:val="6"/>
              <w:ind w:firstLine="400" w:firstLineChars="200"/>
              <w:jc w:val="both"/>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实现自定义核算项类型，可通过接口实现分值计算；</w:t>
            </w:r>
          </w:p>
          <w:p w14:paraId="59CB9B23">
            <w:pPr>
              <w:pStyle w:val="6"/>
              <w:ind w:firstLine="400" w:firstLineChars="200"/>
              <w:jc w:val="both"/>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针对项目、论文、教学等团队协作类业绩，实现角色转变，从“业绩记录视角”拆分至“管理视角”。</w:t>
            </w:r>
          </w:p>
          <w:p w14:paraId="394D515D">
            <w:pPr>
              <w:pStyle w:val="6"/>
              <w:ind w:firstLine="400" w:firstLineChars="200"/>
              <w:jc w:val="both"/>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分配权限可设为“个人（组长）”“管理员（审核人员）”“个人+管理员”；</w:t>
            </w:r>
          </w:p>
          <w:p w14:paraId="5C0AB384">
            <w:pPr>
              <w:pStyle w:val="6"/>
              <w:ind w:firstLine="400" w:firstLineChars="200"/>
              <w:jc w:val="both"/>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分配方式实现百分比、分值，可设分配上限；</w:t>
            </w:r>
          </w:p>
          <w:p w14:paraId="5A7157D2">
            <w:pPr>
              <w:pStyle w:val="6"/>
              <w:ind w:firstLine="400" w:firstLineChars="200"/>
              <w:jc w:val="both"/>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实现通过SQL语句定义组长认定条件，可配置组长分配时的可编辑字段（如科研项目组员排名字段）；</w:t>
            </w:r>
          </w:p>
          <w:p w14:paraId="1B52AF6C">
            <w:pPr>
              <w:pStyle w:val="6"/>
              <w:ind w:firstLine="400" w:firstLineChars="200"/>
              <w:jc w:val="both"/>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1）</w:t>
            </w:r>
            <w:r>
              <w:rPr>
                <w:rFonts w:hint="default"/>
                <w:color w:val="000000" w:themeColor="text1"/>
                <w:highlight w:val="none"/>
                <w:lang w:val="en-US" w:eastAsia="zh-CN"/>
                <w14:textFill>
                  <w14:solidFill>
                    <w14:schemeClr w14:val="tx1"/>
                  </w14:solidFill>
                </w14:textFill>
              </w:rPr>
              <w:t>专任教师：包括基础教学任务、科研任务（85%）+公共事务任务（15%）。</w:t>
            </w:r>
          </w:p>
          <w:p w14:paraId="11D58665">
            <w:pPr>
              <w:pStyle w:val="6"/>
              <w:ind w:firstLine="400" w:firstLineChars="200"/>
              <w:jc w:val="both"/>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2）</w:t>
            </w:r>
            <w:r>
              <w:rPr>
                <w:rFonts w:hint="default"/>
                <w:color w:val="000000" w:themeColor="text1"/>
                <w:highlight w:val="none"/>
                <w:lang w:val="en-US" w:eastAsia="zh-CN"/>
                <w14:textFill>
                  <w14:solidFill>
                    <w14:schemeClr w14:val="tx1"/>
                  </w14:solidFill>
                </w14:textFill>
              </w:rPr>
              <w:t>辅导员：包括基础学生工作、教学科研任务（85%）+公共事务任务（15%）。</w:t>
            </w:r>
          </w:p>
          <w:p w14:paraId="57EE2632">
            <w:pPr>
              <w:pStyle w:val="6"/>
              <w:ind w:firstLine="400" w:firstLineChars="200"/>
              <w:jc w:val="both"/>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3）</w:t>
            </w:r>
            <w:r>
              <w:rPr>
                <w:rFonts w:hint="default"/>
                <w:color w:val="000000" w:themeColor="text1"/>
                <w:highlight w:val="none"/>
                <w:lang w:val="en-US" w:eastAsia="zh-CN"/>
                <w14:textFill>
                  <w14:solidFill>
                    <w14:schemeClr w14:val="tx1"/>
                  </w14:solidFill>
                </w14:textFill>
              </w:rPr>
              <w:t>其他专业技术岗位：包括基本目标任务（85%）+公共事务任务（15%）。</w:t>
            </w:r>
          </w:p>
          <w:p w14:paraId="4830436F">
            <w:pPr>
              <w:pStyle w:val="6"/>
              <w:ind w:firstLine="400" w:firstLineChars="200"/>
              <w:jc w:val="both"/>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4）</w:t>
            </w:r>
            <w:r>
              <w:rPr>
                <w:rFonts w:hint="default"/>
                <w:color w:val="000000" w:themeColor="text1"/>
                <w:highlight w:val="none"/>
                <w:lang w:val="en-US" w:eastAsia="zh-CN"/>
                <w14:textFill>
                  <w14:solidFill>
                    <w14:schemeClr w14:val="tx1"/>
                  </w14:solidFill>
                </w14:textFill>
              </w:rPr>
              <w:t>管理、工勤技能岗位：包括基本目标任务（85%）+公共事务任务（15%）。</w:t>
            </w:r>
          </w:p>
          <w:p w14:paraId="2814198A">
            <w:pPr>
              <w:pStyle w:val="6"/>
              <w:ind w:firstLine="400" w:firstLineChars="200"/>
              <w:jc w:val="both"/>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5）</w:t>
            </w:r>
            <w:r>
              <w:rPr>
                <w:rFonts w:hint="default"/>
                <w:color w:val="000000" w:themeColor="text1"/>
                <w:highlight w:val="none"/>
                <w:lang w:val="en-US" w:eastAsia="zh-CN"/>
                <w14:textFill>
                  <w14:solidFill>
                    <w14:schemeClr w14:val="tx1"/>
                  </w14:solidFill>
                </w14:textFill>
              </w:rPr>
              <w:t>.“双肩挑”（双岗聘用备案）人员：包括管理、教学科研任务（85%）+公共事务任务（15%）。</w:t>
            </w:r>
          </w:p>
          <w:p w14:paraId="16990325">
            <w:pPr>
              <w:pStyle w:val="6"/>
              <w:ind w:firstLine="400" w:firstLineChars="200"/>
              <w:jc w:val="both"/>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实现教师年度考核、年度绩效考核、师德师风考核、干部考核、辅导员考核、量化积分考核等多种考核模式。</w:t>
            </w:r>
          </w:p>
          <w:p w14:paraId="358EED7C">
            <w:pPr>
              <w:pStyle w:val="6"/>
              <w:ind w:firstLine="400" w:firstLineChars="200"/>
              <w:jc w:val="both"/>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教学业绩当量指标包含但不限于教学成果奖、专业建设、课程建设、教材建设、现代/未来产业学院、教师教学竞赛、教改项目、学科竞赛、指导学生实践项目、指导青年教师、校内教学研讨、指导本科生新生导师制、论文抽检、组织竞赛、教指委委员、基层组织负责人、特色业绩、教学论文等内容。具体指标的配置和量化积分要求需根据学校实际情况进行配置。</w:t>
            </w:r>
          </w:p>
          <w:p w14:paraId="42DA0570">
            <w:pPr>
              <w:pStyle w:val="6"/>
              <w:ind w:firstLine="400" w:firstLineChars="200"/>
              <w:jc w:val="both"/>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科研业绩当量指标包含但不限于科研论文、科研项目等各类科研数据，参考《西安医学院2026-2028年校本部岗位聘用及绩效工资分配实施办法》（西医党发〔2025〕61号）附件7《西安医学院教学、科研、学科、人才业绩分值量化体系表》中“西安医学院科学研究业绩分值量化体系表”，具体指标的配置和量化积分要求需根据学校实际情况进行配置。</w:t>
            </w:r>
          </w:p>
          <w:p w14:paraId="38C709EC">
            <w:pPr>
              <w:pStyle w:val="6"/>
              <w:ind w:firstLine="400" w:firstLineChars="200"/>
              <w:jc w:val="both"/>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所有考核指标可按照学校实际情况进行配置，具体考核指标及数据包含但不限于上述内容。</w:t>
            </w:r>
          </w:p>
          <w:p w14:paraId="6952D3F1">
            <w:pPr>
              <w:pStyle w:val="6"/>
              <w:ind w:firstLine="400" w:firstLineChars="200"/>
              <w:jc w:val="both"/>
              <w:rPr>
                <w:rFonts w:hint="default"/>
                <w:color w:val="000000" w:themeColor="text1"/>
                <w:highlight w:val="none"/>
                <w:lang w:val="en-US" w:eastAsia="zh-CN"/>
                <w14:textFill>
                  <w14:solidFill>
                    <w14:schemeClr w14:val="tx1"/>
                  </w14:solidFill>
                </w14:textFill>
              </w:rPr>
            </w:pPr>
            <w:bookmarkStart w:id="4" w:name="OLE_LINK15"/>
            <w:r>
              <w:rPr>
                <w:rFonts w:hint="eastAsia"/>
                <w:color w:val="000000" w:themeColor="text1"/>
                <w:highlight w:val="none"/>
                <w:lang w:val="en-US" w:eastAsia="zh-CN"/>
                <w14:textFill>
                  <w14:solidFill>
                    <w14:schemeClr w14:val="tx1"/>
                  </w14:solidFill>
                </w14:textFill>
              </w:rPr>
              <w:t>（4）</w:t>
            </w:r>
            <w:r>
              <w:rPr>
                <w:rFonts w:hint="default"/>
                <w:color w:val="000000" w:themeColor="text1"/>
                <w:highlight w:val="none"/>
                <w:lang w:val="en-US" w:eastAsia="zh-CN"/>
                <w14:textFill>
                  <w14:solidFill>
                    <w14:schemeClr w14:val="tx1"/>
                  </w14:solidFill>
                </w14:textFill>
              </w:rPr>
              <w:t>考核批次管理：系统应支持在同一个考核批次里，根据人员类别设置不同的优秀率方案，并自动计算显示各单位优秀人数，同时可以二次核定优秀人数</w:t>
            </w:r>
            <w:bookmarkEnd w:id="4"/>
            <w:r>
              <w:rPr>
                <w:rFonts w:hint="default"/>
                <w:color w:val="000000" w:themeColor="text1"/>
                <w:highlight w:val="none"/>
                <w:lang w:val="en-US" w:eastAsia="zh-CN"/>
                <w14:textFill>
                  <w14:solidFill>
                    <w14:schemeClr w14:val="tx1"/>
                  </w14:solidFill>
                </w14:textFill>
              </w:rPr>
              <w:t>。</w:t>
            </w:r>
            <w:bookmarkStart w:id="5" w:name="_Hlk24643322"/>
            <w:r>
              <w:rPr>
                <w:rFonts w:hint="default"/>
                <w:color w:val="000000" w:themeColor="text1"/>
                <w:highlight w:val="none"/>
                <w:lang w:val="en-US" w:eastAsia="zh-CN"/>
                <w14:textFill>
                  <w14:solidFill>
                    <w14:schemeClr w14:val="tx1"/>
                  </w14:solidFill>
                </w14:textFill>
              </w:rPr>
              <w:t>同时，针对</w:t>
            </w:r>
            <w:bookmarkStart w:id="6" w:name="_Hlk501634072"/>
            <w:r>
              <w:rPr>
                <w:rFonts w:hint="default"/>
                <w:color w:val="000000" w:themeColor="text1"/>
                <w:highlight w:val="none"/>
                <w:lang w:val="en-US" w:eastAsia="zh-CN"/>
                <w14:textFill>
                  <w14:solidFill>
                    <w14:schemeClr w14:val="tx1"/>
                  </w14:solidFill>
                </w14:textFill>
              </w:rPr>
              <w:t>各分项内容，应支持自定义排序与上传佐证材料附件功能</w:t>
            </w:r>
            <w:bookmarkEnd w:id="5"/>
            <w:bookmarkEnd w:id="6"/>
            <w:r>
              <w:rPr>
                <w:rFonts w:hint="default"/>
                <w:color w:val="000000" w:themeColor="text1"/>
                <w:highlight w:val="none"/>
                <w:lang w:val="en-US" w:eastAsia="zh-CN"/>
                <w14:textFill>
                  <w14:solidFill>
                    <w14:schemeClr w14:val="tx1"/>
                  </w14:solidFill>
                </w14:textFill>
              </w:rPr>
              <w:t>。</w:t>
            </w:r>
          </w:p>
          <w:p w14:paraId="14657949">
            <w:pPr>
              <w:pStyle w:val="6"/>
              <w:ind w:firstLine="400" w:firstLineChars="200"/>
              <w:jc w:val="both"/>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（5）</w:t>
            </w:r>
            <w:r>
              <w:rPr>
                <w:rFonts w:hint="default"/>
                <w:color w:val="000000" w:themeColor="text1"/>
                <w:highlight w:val="none"/>
                <w:lang w:val="en-US" w:eastAsia="zh-CN"/>
                <w14:textFill>
                  <w14:solidFill>
                    <w14:schemeClr w14:val="tx1"/>
                  </w14:solidFill>
                </w14:textFill>
              </w:rPr>
              <w:t>考核类别，需支持教师年终绩效考核、辅导员考核、干部考核和其他专技人员考核。其中辅导员考核需实现和学工系统的互联互通，完成学工系统的考核结果同步；处科级干部考核遵循学校干部考核办法，进校线上考核，支持线上进行民主测评；其他专技人员考核支持按照考核要求定义考核规则实现线上考核。</w:t>
            </w:r>
          </w:p>
          <w:p w14:paraId="70D2CB1C">
            <w:pPr>
              <w:pStyle w:val="6"/>
              <w:ind w:firstLine="400" w:firstLineChars="200"/>
              <w:jc w:val="both"/>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（6）</w:t>
            </w:r>
            <w:r>
              <w:rPr>
                <w:rFonts w:hint="default"/>
                <w:color w:val="000000" w:themeColor="text1"/>
                <w:highlight w:val="none"/>
                <w:lang w:val="en-US" w:eastAsia="zh-CN"/>
                <w14:textFill>
                  <w14:solidFill>
                    <w14:schemeClr w14:val="tx1"/>
                  </w14:solidFill>
                </w14:textFill>
              </w:rPr>
              <w:t>要求根据各二级学院的实际需求，配置不同的考核方案，制定不少于12个不同的考核数据模型。</w:t>
            </w:r>
          </w:p>
          <w:p w14:paraId="15F8C581">
            <w:pPr>
              <w:pStyle w:val="6"/>
              <w:ind w:firstLine="480" w:firstLineChars="200"/>
              <w:jc w:val="both"/>
              <w:rPr>
                <w:rFonts w:hint="default"/>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6.7.2.</w:t>
            </w:r>
            <w:r>
              <w:rPr>
                <w:rFonts w:hint="default"/>
                <w:color w:val="000000" w:themeColor="text1"/>
                <w:sz w:val="24"/>
                <w:szCs w:val="24"/>
                <w:highlight w:val="none"/>
                <w:lang w:val="en-US" w:eastAsia="zh-CN"/>
                <w14:textFill>
                  <w14:solidFill>
                    <w14:schemeClr w14:val="tx1"/>
                  </w14:solidFill>
                </w14:textFill>
              </w:rPr>
              <w:t>个人考核填报</w:t>
            </w:r>
            <w:bookmarkStart w:id="7" w:name="_Hlk24644215"/>
          </w:p>
          <w:p w14:paraId="05D54EA5">
            <w:pPr>
              <w:pStyle w:val="6"/>
              <w:ind w:firstLine="400" w:firstLineChars="200"/>
              <w:jc w:val="both"/>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系统应为参与考核的教职工提供个人考核信息在线填报功能，部分已有数据可通过系统集成共享实现自动化的数据加载，减少填报人员重复填写相关数据的工作量。系统</w:t>
            </w:r>
            <w:bookmarkStart w:id="8" w:name="_Hlk501634143"/>
            <w:r>
              <w:rPr>
                <w:rFonts w:hint="default"/>
                <w:color w:val="000000" w:themeColor="text1"/>
                <w:highlight w:val="none"/>
                <w:lang w:val="en-US" w:eastAsia="zh-CN"/>
                <w14:textFill>
                  <w14:solidFill>
                    <w14:schemeClr w14:val="tx1"/>
                  </w14:solidFill>
                </w14:textFill>
              </w:rPr>
              <w:t>应支持通过不同颜色展示个人考核审批情况，可在同一个页面看到考核各环节进度以及业务数据审核情况、审核明细等信息</w:t>
            </w:r>
            <w:bookmarkEnd w:id="8"/>
            <w:r>
              <w:rPr>
                <w:rFonts w:hint="default"/>
                <w:color w:val="000000" w:themeColor="text1"/>
                <w:highlight w:val="none"/>
                <w:lang w:val="en-US" w:eastAsia="zh-CN"/>
                <w14:textFill>
                  <w14:solidFill>
                    <w14:schemeClr w14:val="tx1"/>
                  </w14:solidFill>
                </w14:textFill>
              </w:rPr>
              <w:t>；</w:t>
            </w:r>
            <w:bookmarkEnd w:id="7"/>
            <w:bookmarkStart w:id="9" w:name="_Hlk24644307"/>
            <w:r>
              <w:rPr>
                <w:rFonts w:hint="default"/>
                <w:color w:val="000000" w:themeColor="text1"/>
                <w:highlight w:val="none"/>
                <w:lang w:val="en-US" w:eastAsia="zh-CN"/>
                <w14:textFill>
                  <w14:solidFill>
                    <w14:schemeClr w14:val="tx1"/>
                  </w14:solidFill>
                </w14:textFill>
              </w:rPr>
              <w:t>提供考核填报说明，在填报之前可以直观地了解到需要填报的数据和相关要求。</w:t>
            </w:r>
            <w:bookmarkEnd w:id="9"/>
            <w:r>
              <w:rPr>
                <w:rFonts w:hint="default"/>
                <w:color w:val="000000" w:themeColor="text1"/>
                <w:highlight w:val="none"/>
                <w:lang w:val="en-US" w:eastAsia="zh-CN"/>
                <w14:textFill>
                  <w14:solidFill>
                    <w14:schemeClr w14:val="tx1"/>
                  </w14:solidFill>
                </w14:textFill>
              </w:rPr>
              <w:t>填报完成后可自动生成相应报表，教职工可预览、打印报表并查看考核进度。</w:t>
            </w:r>
          </w:p>
          <w:p w14:paraId="46470933">
            <w:pPr>
              <w:pStyle w:val="6"/>
              <w:ind w:firstLine="480" w:firstLineChars="200"/>
              <w:jc w:val="both"/>
              <w:rPr>
                <w:rFonts w:hint="default"/>
                <w:color w:val="000000" w:themeColor="text1"/>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6.7.3.</w:t>
            </w:r>
            <w:r>
              <w:rPr>
                <w:rFonts w:hint="default"/>
                <w:color w:val="000000" w:themeColor="text1"/>
                <w:sz w:val="24"/>
                <w:szCs w:val="24"/>
                <w:highlight w:val="none"/>
                <w:lang w:val="en-US" w:eastAsia="zh-CN"/>
                <w14:textFill>
                  <w14:solidFill>
                    <w14:schemeClr w14:val="tx1"/>
                  </w14:solidFill>
                </w14:textFill>
              </w:rPr>
              <w:t>年度考核（部门审核）</w:t>
            </w:r>
          </w:p>
          <w:p w14:paraId="44488837">
            <w:pPr>
              <w:pStyle w:val="6"/>
              <w:ind w:firstLine="400" w:firstLineChars="200"/>
              <w:jc w:val="both"/>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部门对管辖范围内的教职工考核结果进行初审评定，包括但不限于考核结果登记、考核表打印、考核结果统计与确认、考核进度监控、考核历史查询以及考核结果统计分析等工作，评定结果分为优秀、合格、基本合格、不合格等级别，评定后提交部门领导审核。</w:t>
            </w:r>
          </w:p>
          <w:p w14:paraId="74AD16C2">
            <w:pPr>
              <w:pStyle w:val="6"/>
              <w:ind w:firstLine="480" w:firstLineChars="200"/>
              <w:jc w:val="both"/>
              <w:rPr>
                <w:rFonts w:hint="default"/>
                <w:color w:val="000000" w:themeColor="text1"/>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6.7.4.</w:t>
            </w:r>
            <w:r>
              <w:rPr>
                <w:rFonts w:hint="default"/>
                <w:color w:val="000000" w:themeColor="text1"/>
                <w:sz w:val="24"/>
                <w:szCs w:val="24"/>
                <w:highlight w:val="none"/>
                <w:lang w:val="en-US" w:eastAsia="zh-CN"/>
                <w14:textFill>
                  <w14:solidFill>
                    <w14:schemeClr w14:val="tx1"/>
                  </w14:solidFill>
                </w14:textFill>
              </w:rPr>
              <w:t>年度考核（部门领导审核）</w:t>
            </w:r>
          </w:p>
          <w:p w14:paraId="2C768D24">
            <w:pPr>
              <w:pStyle w:val="6"/>
              <w:ind w:firstLine="400" w:firstLineChars="200"/>
              <w:jc w:val="both"/>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部门领导对部门上报的考核评定结果进行确认，并提交至人事处进行最终评定审核。具备考核结果审核、考核表打印、考核结果统计与确认、考核进度监控、考核历史查询以及考核结果统计分析等功能。</w:t>
            </w:r>
          </w:p>
          <w:p w14:paraId="4208973C">
            <w:pPr>
              <w:pStyle w:val="6"/>
              <w:ind w:firstLine="480" w:firstLineChars="200"/>
              <w:jc w:val="both"/>
              <w:rPr>
                <w:rFonts w:hint="default"/>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6.7.5.</w:t>
            </w:r>
            <w:r>
              <w:rPr>
                <w:rFonts w:hint="default"/>
                <w:color w:val="000000" w:themeColor="text1"/>
                <w:sz w:val="24"/>
                <w:szCs w:val="24"/>
                <w:highlight w:val="none"/>
                <w:lang w:val="en-US" w:eastAsia="zh-CN"/>
                <w14:textFill>
                  <w14:solidFill>
                    <w14:schemeClr w14:val="tx1"/>
                  </w14:solidFill>
                </w14:textFill>
              </w:rPr>
              <w:t>年度考核（组织部审核）</w:t>
            </w:r>
          </w:p>
          <w:p w14:paraId="7D78EF97">
            <w:pPr>
              <w:pStyle w:val="6"/>
              <w:ind w:firstLine="400" w:firstLineChars="200"/>
              <w:jc w:val="both"/>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组织部对管理、教辅单位及二级学院等部门进行审核，包括优秀率分配、部门考核结果审核、考核表打印、考核历史查询和考核结果统计分析。优秀率分配可自动计算优秀人数指标，组织部可根据计算结果微调确认分配优秀指标。可对已评定并提交的单位考核结果进行处理和审核。</w:t>
            </w:r>
          </w:p>
          <w:p w14:paraId="65A1845B">
            <w:pPr>
              <w:pStyle w:val="6"/>
              <w:ind w:firstLine="480" w:firstLineChars="200"/>
              <w:jc w:val="both"/>
              <w:rPr>
                <w:rFonts w:hint="default"/>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6.7.6.</w:t>
            </w:r>
            <w:r>
              <w:rPr>
                <w:rFonts w:hint="default"/>
                <w:color w:val="000000" w:themeColor="text1"/>
                <w:sz w:val="24"/>
                <w:szCs w:val="24"/>
                <w:highlight w:val="none"/>
                <w:lang w:val="en-US" w:eastAsia="zh-CN"/>
                <w14:textFill>
                  <w14:solidFill>
                    <w14:schemeClr w14:val="tx1"/>
                  </w14:solidFill>
                </w14:textFill>
              </w:rPr>
              <w:t>职能部门数据审核</w:t>
            </w:r>
          </w:p>
          <w:p w14:paraId="2DABC5A6">
            <w:pPr>
              <w:pStyle w:val="6"/>
              <w:ind w:firstLine="400" w:firstLineChars="200"/>
              <w:jc w:val="both"/>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科技处、教务处、研究生处等部门对教职工的填报的科研、教学、研究生等信息，对相关数据进行审核，以保证年度考核所使用的相关信息准确、完整。</w:t>
            </w:r>
          </w:p>
          <w:p w14:paraId="6831FAF2">
            <w:pPr>
              <w:pStyle w:val="6"/>
              <w:ind w:firstLine="480" w:firstLineChars="200"/>
              <w:jc w:val="both"/>
              <w:rPr>
                <w:rFonts w:hint="default"/>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6.7.7.</w:t>
            </w:r>
            <w:r>
              <w:rPr>
                <w:rFonts w:hint="default"/>
                <w:color w:val="000000" w:themeColor="text1"/>
                <w:sz w:val="24"/>
                <w:szCs w:val="24"/>
                <w:highlight w:val="none"/>
                <w:lang w:val="en-US" w:eastAsia="zh-CN"/>
                <w14:textFill>
                  <w14:solidFill>
                    <w14:schemeClr w14:val="tx1"/>
                  </w14:solidFill>
                </w14:textFill>
              </w:rPr>
              <w:t>考核学校审批</w:t>
            </w:r>
          </w:p>
          <w:p w14:paraId="2989EC8F">
            <w:pPr>
              <w:pStyle w:val="6"/>
              <w:ind w:firstLine="400" w:firstLineChars="200"/>
              <w:jc w:val="both"/>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人事处在线审核全校人员的申报信息，填写审核意见，监控各部门考核情况，具备考核表预览打印、考核历史查询和考核结果统计分析功能。能对各单位人员进行考核结果评定，支持复制单位评定等级进行批量评定，确定后发布考核结果。同时可按部门分组的形式监控考核进展，钻取各部门优秀率分布并以图表显示。</w:t>
            </w:r>
          </w:p>
          <w:p w14:paraId="3CEEC174">
            <w:pPr>
              <w:pStyle w:val="6"/>
              <w:ind w:firstLine="480" w:firstLineChars="200"/>
              <w:jc w:val="both"/>
              <w:rPr>
                <w:rFonts w:hint="default"/>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6.7.8.</w:t>
            </w:r>
            <w:r>
              <w:rPr>
                <w:rFonts w:hint="default"/>
                <w:color w:val="000000" w:themeColor="text1"/>
                <w:sz w:val="24"/>
                <w:szCs w:val="24"/>
                <w:highlight w:val="none"/>
                <w:lang w:val="en-US" w:eastAsia="zh-CN"/>
                <w14:textFill>
                  <w14:solidFill>
                    <w14:schemeClr w14:val="tx1"/>
                  </w14:solidFill>
                </w14:textFill>
              </w:rPr>
              <w:t>量化结果核算</w:t>
            </w:r>
          </w:p>
          <w:p w14:paraId="47718002">
            <w:pPr>
              <w:pStyle w:val="6"/>
              <w:ind w:firstLine="400" w:firstLineChars="200"/>
              <w:jc w:val="both"/>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学校落地年度考核量化方案，支持量化计算的填报表，可在量化方案中设置方案并关联批次。填报表可配置积分预览项，教职工可查看自己的量化结果及得分明细，量化结果核算页面展示相关信息及纠错反馈。</w:t>
            </w:r>
          </w:p>
          <w:p w14:paraId="04AEC89C">
            <w:pPr>
              <w:pStyle w:val="6"/>
              <w:ind w:firstLine="480" w:firstLineChars="200"/>
              <w:jc w:val="both"/>
              <w:rPr>
                <w:rFonts w:hint="default"/>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6.7.9.</w:t>
            </w:r>
            <w:r>
              <w:rPr>
                <w:rFonts w:hint="default"/>
                <w:color w:val="000000" w:themeColor="text1"/>
                <w:sz w:val="24"/>
                <w:szCs w:val="24"/>
                <w:highlight w:val="none"/>
                <w:lang w:val="en-US" w:eastAsia="zh-CN"/>
                <w14:textFill>
                  <w14:solidFill>
                    <w14:schemeClr w14:val="tx1"/>
                  </w14:solidFill>
                </w14:textFill>
              </w:rPr>
              <w:t>公示</w:t>
            </w:r>
          </w:p>
          <w:p w14:paraId="6B10607E">
            <w:pPr>
              <w:pStyle w:val="6"/>
              <w:ind w:firstLine="400" w:firstLineChars="200"/>
              <w:jc w:val="both"/>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院级、校级设置公示名单信息，所有教职工在规定时间内可查看公示信息。</w:t>
            </w:r>
          </w:p>
          <w:p w14:paraId="47AC70FA">
            <w:pPr>
              <w:pStyle w:val="6"/>
              <w:ind w:firstLine="480" w:firstLineChars="200"/>
              <w:jc w:val="both"/>
              <w:rPr>
                <w:rFonts w:hint="default"/>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6.7.10.</w:t>
            </w:r>
            <w:r>
              <w:rPr>
                <w:rFonts w:hint="default"/>
                <w:color w:val="000000" w:themeColor="text1"/>
                <w:sz w:val="24"/>
                <w:szCs w:val="24"/>
                <w:highlight w:val="none"/>
                <w:lang w:val="en-US" w:eastAsia="zh-CN"/>
                <w14:textFill>
                  <w14:solidFill>
                    <w14:schemeClr w14:val="tx1"/>
                  </w14:solidFill>
                </w14:textFill>
              </w:rPr>
              <w:t>考核统计分析</w:t>
            </w:r>
          </w:p>
          <w:p w14:paraId="71044059">
            <w:pPr>
              <w:pStyle w:val="6"/>
              <w:ind w:firstLine="400" w:firstLineChars="200"/>
              <w:jc w:val="both"/>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通过图形和详细列表对全校所有人员的考核结果进行统计分析。</w:t>
            </w:r>
          </w:p>
          <w:p w14:paraId="09CB6A6B">
            <w:pPr>
              <w:pStyle w:val="6"/>
              <w:ind w:firstLine="480" w:firstLineChars="200"/>
              <w:jc w:val="both"/>
              <w:rPr>
                <w:rFonts w:hint="default"/>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6.7.11.</w:t>
            </w:r>
            <w:r>
              <w:rPr>
                <w:rFonts w:hint="default"/>
                <w:color w:val="000000" w:themeColor="text1"/>
                <w:sz w:val="24"/>
                <w:szCs w:val="24"/>
                <w:highlight w:val="none"/>
                <w:lang w:val="en-US" w:eastAsia="zh-CN"/>
                <w14:textFill>
                  <w14:solidFill>
                    <w14:schemeClr w14:val="tx1"/>
                  </w14:solidFill>
                </w14:textFill>
              </w:rPr>
              <w:t>AI年度考核</w:t>
            </w:r>
          </w:p>
          <w:p w14:paraId="412B57CF">
            <w:pPr>
              <w:pStyle w:val="6"/>
              <w:ind w:firstLine="400" w:firstLineChars="200"/>
              <w:jc w:val="both"/>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教职工在填报业绩数据时，自动识别附件材料填写数据；管理员在审核业绩数据时，自动识别材料与数据的一致性，并标记差异内容。</w:t>
            </w:r>
          </w:p>
          <w:p w14:paraId="297944E4">
            <w:pPr>
              <w:pStyle w:val="6"/>
              <w:ind w:firstLine="480" w:firstLineChars="200"/>
              <w:jc w:val="both"/>
              <w:rPr>
                <w:rFonts w:hint="default"/>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6.7.12.</w:t>
            </w:r>
            <w:r>
              <w:rPr>
                <w:rFonts w:hint="default"/>
                <w:color w:val="000000" w:themeColor="text1"/>
                <w:sz w:val="24"/>
                <w:szCs w:val="24"/>
                <w:highlight w:val="none"/>
                <w:lang w:val="en-US" w:eastAsia="zh-CN"/>
                <w14:textFill>
                  <w14:solidFill>
                    <w14:schemeClr w14:val="tx1"/>
                  </w14:solidFill>
                </w14:textFill>
              </w:rPr>
              <w:t>考核业绩数据提醒</w:t>
            </w:r>
          </w:p>
          <w:p w14:paraId="03568ACD">
            <w:pPr>
              <w:pStyle w:val="6"/>
              <w:ind w:firstLine="400" w:firstLineChars="200"/>
              <w:jc w:val="both"/>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考核周期性内可对年度绩效目标达成不足的人员进行提醒通知。</w:t>
            </w:r>
          </w:p>
          <w:p w14:paraId="0426B011">
            <w:pPr>
              <w:pStyle w:val="6"/>
              <w:ind w:firstLine="480" w:firstLineChars="200"/>
              <w:jc w:val="both"/>
              <w:rPr>
                <w:rFonts w:hint="default"/>
                <w:color w:val="000000" w:themeColor="text1"/>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6.7.13.</w:t>
            </w:r>
            <w:r>
              <w:rPr>
                <w:rFonts w:hint="default"/>
                <w:color w:val="000000" w:themeColor="text1"/>
                <w:sz w:val="24"/>
                <w:szCs w:val="24"/>
                <w:highlight w:val="none"/>
                <w:lang w:val="en-US" w:eastAsia="zh-CN"/>
                <w14:textFill>
                  <w14:solidFill>
                    <w14:schemeClr w14:val="tx1"/>
                  </w14:solidFill>
                </w14:textFill>
              </w:rPr>
              <w:t>教师业绩画像</w:t>
            </w:r>
          </w:p>
          <w:p w14:paraId="6AA572BF">
            <w:pPr>
              <w:pStyle w:val="6"/>
              <w:ind w:firstLine="400" w:firstLineChars="200"/>
              <w:jc w:val="both"/>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基于教师绩效数据，一键生成教师业绩画像。按照教师业绩数据画像需包括教师基本信息、教育教学信息、科研信息、公共事务事务信息等。画像支持自定义生成时间。</w:t>
            </w:r>
          </w:p>
          <w:p w14:paraId="5624E810">
            <w:pPr>
              <w:pStyle w:val="6"/>
              <w:ind w:firstLine="480" w:firstLineChars="200"/>
              <w:jc w:val="both"/>
              <w:rPr>
                <w:rFonts w:hint="default"/>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6.8.</w:t>
            </w:r>
            <w:r>
              <w:rPr>
                <w:rFonts w:hint="default"/>
                <w:color w:val="000000" w:themeColor="text1"/>
                <w:sz w:val="24"/>
                <w:szCs w:val="24"/>
                <w:highlight w:val="none"/>
                <w:lang w:val="en-US" w:eastAsia="zh-CN"/>
                <w14:textFill>
                  <w14:solidFill>
                    <w14:schemeClr w14:val="tx1"/>
                  </w14:solidFill>
                </w14:textFill>
              </w:rPr>
              <w:t>对接集成</w:t>
            </w:r>
          </w:p>
          <w:p w14:paraId="3AA31F95">
            <w:pPr>
              <w:pStyle w:val="6"/>
              <w:ind w:firstLine="400" w:firstLineChars="200"/>
              <w:jc w:val="both"/>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本次项目所有内容均基于学校数据中心，完成包括用户、认证、门户等在内的各个层面的集成整合，达到数字化校园的使用及管理一致性。</w:t>
            </w:r>
          </w:p>
          <w:p w14:paraId="3DE89AD2">
            <w:pPr>
              <w:pStyle w:val="6"/>
              <w:ind w:firstLine="480" w:firstLineChars="200"/>
              <w:jc w:val="both"/>
              <w:rPr>
                <w:rFonts w:hint="default"/>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6.8.1.</w:t>
            </w:r>
            <w:r>
              <w:rPr>
                <w:rFonts w:hint="default"/>
                <w:color w:val="000000" w:themeColor="text1"/>
                <w:sz w:val="24"/>
                <w:szCs w:val="24"/>
                <w:highlight w:val="none"/>
                <w:lang w:val="en-US" w:eastAsia="zh-CN"/>
                <w14:textFill>
                  <w14:solidFill>
                    <w14:schemeClr w14:val="tx1"/>
                  </w14:solidFill>
                </w14:textFill>
              </w:rPr>
              <w:t>完成认证集成</w:t>
            </w:r>
          </w:p>
          <w:p w14:paraId="013FE214">
            <w:pPr>
              <w:pStyle w:val="6"/>
              <w:ind w:firstLine="400" w:firstLineChars="200"/>
              <w:jc w:val="both"/>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所有系统及应用（含数据展示服务），必须与学校统一身份认证平台进行认证对接，作为认证权限中心和智慧校园的用户权威身份信息。如对接产生的一切费用都必须包含在此次报价内。</w:t>
            </w:r>
          </w:p>
          <w:p w14:paraId="0C369C64">
            <w:pPr>
              <w:pStyle w:val="6"/>
              <w:ind w:firstLine="480" w:firstLineChars="200"/>
              <w:jc w:val="both"/>
              <w:rPr>
                <w:rFonts w:hint="default"/>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6.8.2.</w:t>
            </w:r>
            <w:r>
              <w:rPr>
                <w:rFonts w:hint="default"/>
                <w:color w:val="000000" w:themeColor="text1"/>
                <w:sz w:val="24"/>
                <w:szCs w:val="24"/>
                <w:highlight w:val="none"/>
                <w:lang w:val="en-US" w:eastAsia="zh-CN"/>
                <w14:textFill>
                  <w14:solidFill>
                    <w14:schemeClr w14:val="tx1"/>
                  </w14:solidFill>
                </w14:textFill>
              </w:rPr>
              <w:t>门户及服务集成</w:t>
            </w:r>
          </w:p>
          <w:p w14:paraId="55B9AA30">
            <w:pPr>
              <w:pStyle w:val="6"/>
              <w:ind w:firstLine="400" w:firstLineChars="200"/>
              <w:jc w:val="both"/>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与一网通办平台的集成：本项目所涉及的系统及应用，必须与学校一网通办平台进行集成与整合，一网通办平台作为学校系统访问的唯一服务入口。对接产生的一切费用都必须包含在此次报价内。</w:t>
            </w:r>
          </w:p>
          <w:p w14:paraId="1075D8A7">
            <w:pPr>
              <w:pStyle w:val="6"/>
              <w:ind w:firstLine="400" w:firstLineChars="200"/>
              <w:jc w:val="both"/>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移动端集成：移动端服务要求符合H5规范，可独立运行，实现移动服务接入学校移动端APP今日校园及企业微信。</w:t>
            </w:r>
          </w:p>
          <w:p w14:paraId="76FF330C">
            <w:pPr>
              <w:pStyle w:val="6"/>
              <w:ind w:firstLine="400" w:firstLineChars="200"/>
              <w:jc w:val="both"/>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服务集成：本项目内涉及流程类任务及消息通知类信息需通过调用学校任务中及消息中心接口，实时发送任务及信息，例如预警提醒消息等，实际集成内容依学校实际需求为准。</w:t>
            </w:r>
          </w:p>
          <w:p w14:paraId="3D22B4C0">
            <w:pPr>
              <w:pStyle w:val="6"/>
              <w:ind w:firstLine="480" w:firstLineChars="200"/>
              <w:jc w:val="both"/>
              <w:rPr>
                <w:rFonts w:hint="default"/>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6.8.3.</w:t>
            </w:r>
            <w:r>
              <w:rPr>
                <w:rFonts w:hint="default"/>
                <w:color w:val="000000" w:themeColor="text1"/>
                <w:sz w:val="24"/>
                <w:szCs w:val="24"/>
                <w:highlight w:val="none"/>
                <w:lang w:val="en-US" w:eastAsia="zh-CN"/>
                <w14:textFill>
                  <w14:solidFill>
                    <w14:schemeClr w14:val="tx1"/>
                  </w14:solidFill>
                </w14:textFill>
              </w:rPr>
              <w:t>数据集成对接</w:t>
            </w:r>
          </w:p>
          <w:p w14:paraId="444BE524">
            <w:pPr>
              <w:pStyle w:val="6"/>
              <w:ind w:firstLine="400" w:firstLineChars="200"/>
              <w:jc w:val="both"/>
              <w:rPr>
                <w:rFonts w:hint="eastAsia"/>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完成与学校数据中心对接，本次项目中所需数据需与学校数据中心平台进行融合对接，并且系统产生的所有数据均需按照学校要求同步至学校数据平台，如需与学校现有其他业务系统的数据集成，需基于学校数据资产管理平台进行集成，对接产生的一切费用都必须包含在此次报价内。</w:t>
            </w:r>
          </w:p>
        </w:tc>
      </w:tr>
    </w:tbl>
    <w:p w14:paraId="4453AA6D"/>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moder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F8F6122"/>
    <w:rsid w:val="21766946"/>
    <w:rsid w:val="55626957"/>
    <w:rsid w:val="6F8F612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60" w:lineRule="auto"/>
      <w:jc w:val="both"/>
    </w:pPr>
    <w:rPr>
      <w:rFonts w:eastAsia="宋体" w:asciiTheme="minorAscii" w:hAnsiTheme="minorAscii" w:cstheme="minorBidi"/>
      <w:kern w:val="2"/>
      <w:sz w:val="24"/>
      <w:szCs w:val="24"/>
      <w:lang w:val="en-US" w:eastAsia="zh-CN" w:bidi="ar-SA"/>
    </w:rPr>
  </w:style>
  <w:style w:type="character" w:default="1" w:styleId="5">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Body Text"/>
    <w:basedOn w:val="1"/>
    <w:next w:val="1"/>
    <w:unhideWhenUsed/>
    <w:qFormat/>
    <w:uiPriority w:val="0"/>
    <w:pPr>
      <w:spacing w:after="120" w:line="240" w:lineRule="auto"/>
    </w:pPr>
  </w:style>
  <w:style w:type="table" w:styleId="4">
    <w:name w:val="Table Grid"/>
    <w:basedOn w:val="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6">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19</Pages>
  <Words>19646</Words>
  <Characters>20175</Characters>
  <Lines>0</Lines>
  <Paragraphs>0</Paragraphs>
  <TotalTime>0</TotalTime>
  <ScaleCrop>false</ScaleCrop>
  <LinksUpToDate>false</LinksUpToDate>
  <CharactersWithSpaces>20218</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2026-08-06T11:16:00Z</dcterms:created>
  <dc:creator>好好的</dc:creator>
  <cp:lastModifiedBy>好好的</cp:lastModifiedBy>
  <dcterms:modified xsi:type="dcterms:W3CDTF">2026-08-07T10:46:08Z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44F37AA3CD3A4D9BB216C48251942D92_11</vt:lpwstr>
  </property>
  <property fmtid="{D5CDD505-2E9C-101B-9397-08002B2CF9AE}" pid="4" name="KSOTemplateDocerSaveRecord">
    <vt:lpwstr>eyJoZGlkIjoiNGI5OTM1M2UwMTUxOGI1ZjZmZGRiNjY2YjkzZTljYmIiLCJ1c2VySWQiOiIzMzEzMzk0MDUifQ==</vt:lpwstr>
  </property>
</Properties>
</file>