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C1852E">
      <w:pPr>
        <w:tabs>
          <w:tab w:val="left" w:pos="360"/>
        </w:tabs>
        <w:spacing w:line="360" w:lineRule="auto"/>
        <w:jc w:val="center"/>
        <w:outlineLvl w:val="2"/>
        <w:rPr>
          <w:rFonts w:hint="eastAsia" w:ascii="仿宋" w:hAnsi="仿宋" w:eastAsia="仿宋" w:cs="仿宋"/>
          <w:b/>
          <w:bCs/>
          <w:sz w:val="28"/>
          <w:szCs w:val="28"/>
        </w:rPr>
      </w:pPr>
      <w:bookmarkStart w:id="0" w:name="_Toc22274"/>
      <w:bookmarkStart w:id="1" w:name="_Toc10765"/>
      <w:bookmarkStart w:id="2" w:name="_Toc16426"/>
      <w:bookmarkStart w:id="3" w:name="_Toc22861"/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一</w:t>
      </w: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服务要求及技术要求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偏离表</w:t>
      </w:r>
      <w:bookmarkEnd w:id="0"/>
      <w:bookmarkEnd w:id="1"/>
      <w:bookmarkEnd w:id="2"/>
      <w:bookmarkEnd w:id="3"/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2"/>
        <w:gridCol w:w="3537"/>
        <w:gridCol w:w="2270"/>
        <w:gridCol w:w="2270"/>
      </w:tblGrid>
      <w:tr w14:paraId="01D365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</w:tcBorders>
            <w:shd w:val="clear" w:color="auto" w:fill="F79646"/>
            <w:vAlign w:val="center"/>
          </w:tcPr>
          <w:p w14:paraId="476748BD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-31" w:leftChars="-15" w:right="0"/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3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79646"/>
            <w:vAlign w:val="center"/>
          </w:tcPr>
          <w:p w14:paraId="7F6059B6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-31" w:leftChars="-15" w:right="0"/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磋商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文件技术条款</w:t>
            </w:r>
          </w:p>
        </w:tc>
        <w:tc>
          <w:tcPr>
            <w:tcW w:w="2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79646"/>
            <w:vAlign w:val="center"/>
          </w:tcPr>
          <w:p w14:paraId="23BF0A38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-31" w:leftChars="-15" w:right="0"/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文件条款响应</w:t>
            </w:r>
          </w:p>
        </w:tc>
        <w:tc>
          <w:tcPr>
            <w:tcW w:w="2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79646"/>
            <w:vAlign w:val="center"/>
          </w:tcPr>
          <w:p w14:paraId="2E90A166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-31" w:leftChars="-15" w:right="0"/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偏离及其响应</w:t>
            </w:r>
          </w:p>
        </w:tc>
      </w:tr>
      <w:tr w14:paraId="59D001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002" w:type="dxa"/>
            <w:tcBorders>
              <w:top w:val="single" w:color="auto" w:sz="4" w:space="0"/>
            </w:tcBorders>
            <w:vAlign w:val="center"/>
          </w:tcPr>
          <w:p w14:paraId="12FC70BF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537" w:type="dxa"/>
            <w:tcBorders>
              <w:top w:val="single" w:color="auto" w:sz="4" w:space="0"/>
            </w:tcBorders>
            <w:vAlign w:val="center"/>
          </w:tcPr>
          <w:p w14:paraId="1A1662ED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tcBorders>
              <w:top w:val="single" w:color="auto" w:sz="4" w:space="0"/>
            </w:tcBorders>
            <w:vAlign w:val="center"/>
          </w:tcPr>
          <w:p w14:paraId="5E5205BB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tcBorders>
              <w:top w:val="single" w:color="auto" w:sz="4" w:space="0"/>
            </w:tcBorders>
            <w:vAlign w:val="center"/>
          </w:tcPr>
          <w:p w14:paraId="202623E4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</w:tr>
      <w:tr w14:paraId="4A74C4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002" w:type="dxa"/>
            <w:vAlign w:val="center"/>
          </w:tcPr>
          <w:p w14:paraId="0FA1EF41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537" w:type="dxa"/>
            <w:vAlign w:val="center"/>
          </w:tcPr>
          <w:p w14:paraId="163A1606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6D64DB4E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71B1581C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</w:tr>
      <w:tr w14:paraId="62B654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002" w:type="dxa"/>
            <w:vAlign w:val="center"/>
          </w:tcPr>
          <w:p w14:paraId="711A9941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537" w:type="dxa"/>
            <w:vAlign w:val="center"/>
          </w:tcPr>
          <w:p w14:paraId="6E8D9F0C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7C32150A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09BDC54F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</w:tr>
      <w:tr w14:paraId="105F73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002" w:type="dxa"/>
            <w:vAlign w:val="center"/>
          </w:tcPr>
          <w:p w14:paraId="3CE9BDA0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537" w:type="dxa"/>
            <w:vAlign w:val="center"/>
          </w:tcPr>
          <w:p w14:paraId="2ED885FE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3428CD6F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77DAE7E5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</w:tr>
      <w:tr w14:paraId="25B8F9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002" w:type="dxa"/>
            <w:vAlign w:val="center"/>
          </w:tcPr>
          <w:p w14:paraId="6D0824AD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537" w:type="dxa"/>
            <w:vAlign w:val="center"/>
          </w:tcPr>
          <w:p w14:paraId="600174DB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59288D9E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069F6E79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</w:tr>
      <w:tr w14:paraId="40FC19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002" w:type="dxa"/>
            <w:vAlign w:val="center"/>
          </w:tcPr>
          <w:p w14:paraId="61DD2AA6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537" w:type="dxa"/>
            <w:vAlign w:val="center"/>
          </w:tcPr>
          <w:p w14:paraId="3D9FDA60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77770009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6E8CF6D5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</w:tr>
      <w:tr w14:paraId="1483B5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002" w:type="dxa"/>
            <w:vAlign w:val="center"/>
          </w:tcPr>
          <w:p w14:paraId="3A5AA473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537" w:type="dxa"/>
            <w:vAlign w:val="center"/>
          </w:tcPr>
          <w:p w14:paraId="64B2256E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0116CB95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7F209D89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</w:tr>
      <w:tr w14:paraId="10902D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002" w:type="dxa"/>
            <w:vAlign w:val="center"/>
          </w:tcPr>
          <w:p w14:paraId="74F3507E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537" w:type="dxa"/>
            <w:vAlign w:val="center"/>
          </w:tcPr>
          <w:p w14:paraId="2CA7525A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5087BF39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645DEE31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</w:tr>
      <w:tr w14:paraId="3BDF8D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  <w:jc w:val="center"/>
        </w:trPr>
        <w:tc>
          <w:tcPr>
            <w:tcW w:w="1002" w:type="dxa"/>
            <w:vAlign w:val="center"/>
          </w:tcPr>
          <w:p w14:paraId="2EA91F53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537" w:type="dxa"/>
            <w:vAlign w:val="center"/>
          </w:tcPr>
          <w:p w14:paraId="2CB9BE62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5A40027F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475309F4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</w:tr>
      <w:tr w14:paraId="5F900C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1002" w:type="dxa"/>
            <w:vAlign w:val="center"/>
          </w:tcPr>
          <w:p w14:paraId="031F8A54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537" w:type="dxa"/>
            <w:vAlign w:val="center"/>
          </w:tcPr>
          <w:p w14:paraId="7D747932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08BC011D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67180EA4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</w:tr>
    </w:tbl>
    <w:p w14:paraId="74C29D13">
      <w:pPr>
        <w:pStyle w:val="2"/>
        <w:spacing w:line="360" w:lineRule="auto"/>
        <w:ind w:left="1080" w:leftChars="257" w:hanging="540"/>
        <w:rPr>
          <w:rFonts w:ascii="仿宋" w:hAnsi="仿宋" w:eastAsia="仿宋" w:cs="仿宋"/>
          <w:sz w:val="24"/>
        </w:rPr>
      </w:pPr>
    </w:p>
    <w:p w14:paraId="4D8B1BAC">
      <w:pPr>
        <w:pStyle w:val="2"/>
        <w:tabs>
          <w:tab w:val="left" w:pos="5580"/>
        </w:tabs>
        <w:spacing w:line="360" w:lineRule="auto"/>
        <w:ind w:left="1080" w:leftChars="257" w:hanging="540"/>
        <w:jc w:val="right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eastAsia="zh-CN"/>
        </w:rPr>
        <w:t>供应商</w:t>
      </w:r>
      <w:r>
        <w:rPr>
          <w:rFonts w:hint="eastAsia" w:ascii="仿宋" w:hAnsi="仿宋" w:eastAsia="仿宋" w:cs="仿宋"/>
          <w:sz w:val="24"/>
          <w:szCs w:val="24"/>
        </w:rPr>
        <w:t>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    </w:t>
      </w:r>
      <w:r>
        <w:rPr>
          <w:rFonts w:hint="eastAsia" w:ascii="仿宋" w:hAnsi="仿宋" w:eastAsia="仿宋" w:cs="仿宋"/>
          <w:sz w:val="24"/>
          <w:szCs w:val="24"/>
        </w:rPr>
        <w:t>（</w:t>
      </w:r>
      <w:r>
        <w:rPr>
          <w:rFonts w:hint="eastAsia" w:ascii="仿宋" w:hAnsi="仿宋" w:eastAsia="仿宋" w:cs="仿宋"/>
          <w:color w:val="C00000"/>
          <w:sz w:val="24"/>
          <w:szCs w:val="24"/>
        </w:rPr>
        <w:t>盖</w:t>
      </w:r>
      <w:r>
        <w:rPr>
          <w:rFonts w:hint="eastAsia" w:ascii="仿宋" w:hAnsi="仿宋" w:eastAsia="仿宋" w:cs="仿宋"/>
          <w:color w:val="C00000"/>
          <w:sz w:val="24"/>
          <w:szCs w:val="24"/>
          <w:lang w:val="en-US" w:eastAsia="zh-CN"/>
        </w:rPr>
        <w:t>公</w:t>
      </w:r>
      <w:r>
        <w:rPr>
          <w:rFonts w:hint="eastAsia" w:ascii="仿宋" w:hAnsi="仿宋" w:eastAsia="仿宋" w:cs="仿宋"/>
          <w:color w:val="C00000"/>
          <w:sz w:val="24"/>
          <w:szCs w:val="24"/>
        </w:rPr>
        <w:t>章</w:t>
      </w:r>
      <w:r>
        <w:rPr>
          <w:rFonts w:hint="eastAsia" w:ascii="仿宋" w:hAnsi="仿宋" w:eastAsia="仿宋" w:cs="仿宋"/>
          <w:sz w:val="24"/>
          <w:szCs w:val="24"/>
        </w:rPr>
        <w:t>）</w:t>
      </w:r>
    </w:p>
    <w:p w14:paraId="4B25A276">
      <w:pPr>
        <w:spacing w:line="440" w:lineRule="exact"/>
        <w:jc w:val="right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年   月   日</w:t>
      </w:r>
    </w:p>
    <w:p w14:paraId="44287237">
      <w:pPr>
        <w:pStyle w:val="2"/>
        <w:spacing w:line="360" w:lineRule="auto"/>
        <w:rPr>
          <w:rFonts w:ascii="仿宋" w:hAnsi="仿宋" w:eastAsia="仿宋" w:cs="仿宋"/>
          <w:sz w:val="24"/>
          <w:u w:val="single"/>
        </w:rPr>
      </w:pPr>
    </w:p>
    <w:p w14:paraId="790C2B09">
      <w:pPr>
        <w:pStyle w:val="2"/>
        <w:spacing w:line="360" w:lineRule="auto"/>
        <w:rPr>
          <w:rFonts w:ascii="仿宋" w:hAnsi="仿宋" w:eastAsia="仿宋" w:cs="仿宋"/>
          <w:szCs w:val="21"/>
        </w:rPr>
      </w:pPr>
      <w:r>
        <w:rPr>
          <w:rFonts w:hint="eastAsia" w:ascii="仿宋" w:hAnsi="仿宋" w:eastAsia="仿宋" w:cs="仿宋"/>
          <w:szCs w:val="21"/>
        </w:rPr>
        <w:t>注： 1.本表只填写</w:t>
      </w:r>
      <w:r>
        <w:rPr>
          <w:rFonts w:hint="eastAsia" w:ascii="仿宋" w:hAnsi="仿宋" w:eastAsia="仿宋" w:cs="仿宋"/>
          <w:szCs w:val="21"/>
          <w:lang w:eastAsia="zh-CN"/>
        </w:rPr>
        <w:t>磋商响应文件</w:t>
      </w:r>
      <w:r>
        <w:rPr>
          <w:rFonts w:hint="eastAsia" w:ascii="仿宋" w:hAnsi="仿宋" w:eastAsia="仿宋" w:cs="仿宋"/>
          <w:szCs w:val="21"/>
        </w:rPr>
        <w:t>中与</w:t>
      </w:r>
      <w:r>
        <w:rPr>
          <w:rFonts w:hint="eastAsia" w:ascii="仿宋" w:hAnsi="仿宋" w:eastAsia="仿宋" w:cs="仿宋"/>
          <w:szCs w:val="21"/>
          <w:lang w:eastAsia="zh-CN"/>
        </w:rPr>
        <w:t>磋商文件</w:t>
      </w:r>
      <w:r>
        <w:rPr>
          <w:rFonts w:hint="eastAsia" w:ascii="仿宋" w:hAnsi="仿宋" w:eastAsia="仿宋" w:cs="仿宋"/>
          <w:szCs w:val="21"/>
        </w:rPr>
        <w:t>有偏离（包括正偏离、负偏离）的内容，</w:t>
      </w:r>
      <w:r>
        <w:rPr>
          <w:rFonts w:hint="eastAsia" w:ascii="仿宋" w:hAnsi="仿宋" w:eastAsia="仿宋" w:cs="仿宋"/>
          <w:szCs w:val="21"/>
          <w:lang w:eastAsia="zh-CN"/>
        </w:rPr>
        <w:t>磋商响应文件</w:t>
      </w:r>
      <w:r>
        <w:rPr>
          <w:rFonts w:hint="eastAsia" w:ascii="仿宋" w:hAnsi="仿宋" w:eastAsia="仿宋" w:cs="仿宋"/>
          <w:szCs w:val="21"/>
        </w:rPr>
        <w:t>中与</w:t>
      </w:r>
      <w:r>
        <w:rPr>
          <w:rFonts w:hint="eastAsia" w:ascii="仿宋" w:hAnsi="仿宋" w:eastAsia="仿宋" w:cs="仿宋"/>
          <w:szCs w:val="21"/>
          <w:lang w:eastAsia="zh-CN"/>
        </w:rPr>
        <w:t>磋商文件</w:t>
      </w:r>
      <w:r>
        <w:rPr>
          <w:rFonts w:hint="eastAsia" w:ascii="仿宋" w:hAnsi="仿宋" w:eastAsia="仿宋" w:cs="仿宋"/>
          <w:szCs w:val="21"/>
        </w:rPr>
        <w:t>条款要求完全一致</w:t>
      </w:r>
      <w:r>
        <w:rPr>
          <w:rFonts w:hint="eastAsia" w:ascii="仿宋" w:hAnsi="仿宋" w:eastAsia="仿宋" w:cs="仿宋"/>
          <w:szCs w:val="21"/>
          <w:lang w:val="en-US" w:eastAsia="zh-CN"/>
        </w:rPr>
        <w:t>或完全响应内容</w:t>
      </w:r>
      <w:r>
        <w:rPr>
          <w:rFonts w:hint="eastAsia" w:ascii="仿宋" w:hAnsi="仿宋" w:eastAsia="仿宋" w:cs="仿宋"/>
          <w:szCs w:val="21"/>
        </w:rPr>
        <w:t>的不用在此表中列出，</w:t>
      </w:r>
      <w:r>
        <w:rPr>
          <w:rFonts w:hint="eastAsia" w:ascii="仿宋" w:hAnsi="仿宋" w:eastAsia="仿宋" w:cs="仿宋"/>
          <w:b/>
          <w:bCs/>
          <w:szCs w:val="21"/>
        </w:rPr>
        <w:t>提交空白表格</w:t>
      </w:r>
      <w:r>
        <w:rPr>
          <w:rFonts w:hint="eastAsia" w:ascii="仿宋" w:hAnsi="仿宋" w:eastAsia="仿宋" w:cs="仿宋"/>
          <w:b/>
          <w:bCs/>
          <w:szCs w:val="21"/>
          <w:lang w:val="en-US" w:eastAsia="zh-CN"/>
        </w:rPr>
        <w:t>或未填写的条款均</w:t>
      </w:r>
      <w:r>
        <w:rPr>
          <w:rFonts w:hint="eastAsia" w:ascii="仿宋" w:hAnsi="仿宋" w:eastAsia="仿宋" w:cs="仿宋"/>
          <w:b/>
          <w:bCs/>
          <w:szCs w:val="21"/>
        </w:rPr>
        <w:t>视为</w:t>
      </w:r>
      <w:r>
        <w:rPr>
          <w:rFonts w:hint="eastAsia" w:ascii="仿宋" w:hAnsi="仿宋" w:eastAsia="仿宋" w:cs="仿宋"/>
          <w:b/>
          <w:bCs/>
          <w:szCs w:val="21"/>
          <w:lang w:eastAsia="zh-CN"/>
        </w:rPr>
        <w:t>供应商</w:t>
      </w:r>
      <w:r>
        <w:rPr>
          <w:rFonts w:hint="eastAsia" w:ascii="仿宋" w:hAnsi="仿宋" w:eastAsia="仿宋" w:cs="仿宋"/>
          <w:b/>
          <w:bCs/>
          <w:szCs w:val="21"/>
        </w:rPr>
        <w:t>完全响应</w:t>
      </w:r>
      <w:r>
        <w:rPr>
          <w:rFonts w:hint="eastAsia" w:ascii="仿宋" w:hAnsi="仿宋" w:eastAsia="仿宋" w:cs="仿宋"/>
          <w:b/>
          <w:bCs/>
          <w:szCs w:val="21"/>
          <w:lang w:eastAsia="zh-CN"/>
        </w:rPr>
        <w:t>磋商文件</w:t>
      </w:r>
      <w:r>
        <w:rPr>
          <w:rFonts w:hint="eastAsia" w:ascii="仿宋" w:hAnsi="仿宋" w:eastAsia="仿宋" w:cs="仿宋"/>
          <w:b/>
          <w:bCs/>
          <w:szCs w:val="21"/>
        </w:rPr>
        <w:t>所有技术和标准要求</w:t>
      </w:r>
      <w:r>
        <w:rPr>
          <w:rFonts w:hint="eastAsia" w:ascii="仿宋" w:hAnsi="仿宋" w:eastAsia="仿宋" w:cs="仿宋"/>
          <w:szCs w:val="21"/>
        </w:rPr>
        <w:t>。</w:t>
      </w:r>
    </w:p>
    <w:p w14:paraId="0D5DA5E5">
      <w:pPr>
        <w:pStyle w:val="2"/>
        <w:spacing w:line="360" w:lineRule="auto"/>
        <w:ind w:firstLine="630" w:firstLineChars="300"/>
        <w:rPr>
          <w:rFonts w:hint="eastAsia" w:ascii="仿宋_GB2312" w:hAnsi="仿宋_GB2312" w:eastAsia="仿宋_GB2312" w:cs="仿宋_GB2312"/>
          <w:bCs/>
          <w:color w:val="auto"/>
          <w:sz w:val="22"/>
          <w:szCs w:val="22"/>
          <w:highlight w:val="yellow"/>
        </w:rPr>
      </w:pPr>
      <w:r>
        <w:rPr>
          <w:rFonts w:hint="eastAsia" w:ascii="仿宋" w:hAnsi="仿宋" w:eastAsia="仿宋" w:cs="仿宋"/>
          <w:szCs w:val="21"/>
        </w:rPr>
        <w:t>2.</w:t>
      </w:r>
      <w:r>
        <w:rPr>
          <w:rFonts w:hint="eastAsia" w:ascii="仿宋" w:hAnsi="仿宋" w:eastAsia="仿宋" w:cs="仿宋"/>
          <w:szCs w:val="21"/>
          <w:lang w:eastAsia="zh-CN"/>
        </w:rPr>
        <w:t>供应商</w:t>
      </w:r>
      <w:r>
        <w:rPr>
          <w:rFonts w:hint="eastAsia" w:ascii="仿宋" w:hAnsi="仿宋" w:eastAsia="仿宋" w:cs="仿宋"/>
          <w:szCs w:val="21"/>
        </w:rPr>
        <w:t>必须据实填写，不得虚假响应，否则将取消投标或中标资格，并按有关规定进行处罚。</w:t>
      </w:r>
    </w:p>
    <w:p w14:paraId="2820ADDC">
      <w:r>
        <w:br w:type="page"/>
      </w:r>
    </w:p>
    <w:p w14:paraId="2CDC0B82">
      <w:pPr>
        <w:tabs>
          <w:tab w:val="left" w:pos="360"/>
        </w:tabs>
        <w:spacing w:line="360" w:lineRule="auto"/>
        <w:jc w:val="center"/>
        <w:outlineLvl w:val="2"/>
        <w:rPr>
          <w:rFonts w:hint="default" w:ascii="仿宋" w:hAnsi="仿宋" w:eastAsia="仿宋" w:cs="仿宋"/>
          <w:b/>
          <w:bCs/>
          <w:sz w:val="28"/>
          <w:szCs w:val="28"/>
          <w:lang w:val="en-US" w:eastAsia="zh-CN"/>
        </w:rPr>
      </w:pPr>
      <w:bookmarkStart w:id="4" w:name="_Toc11120"/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二</w:t>
      </w: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商务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条款偏离表</w:t>
      </w:r>
      <w:bookmarkEnd w:id="4"/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 xml:space="preserve">   </w:t>
      </w:r>
    </w:p>
    <w:tbl>
      <w:tblPr>
        <w:tblStyle w:val="3"/>
        <w:tblW w:w="907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2"/>
        <w:gridCol w:w="2972"/>
        <w:gridCol w:w="2835"/>
        <w:gridCol w:w="2270"/>
      </w:tblGrid>
      <w:tr w14:paraId="3302C4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</w:tcBorders>
            <w:shd w:val="clear" w:color="auto" w:fill="F79646"/>
            <w:vAlign w:val="center"/>
          </w:tcPr>
          <w:p w14:paraId="7A0CB3E3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-31" w:leftChars="-15" w:right="0"/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2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79646"/>
            <w:vAlign w:val="center"/>
          </w:tcPr>
          <w:p w14:paraId="2B92C83D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-48" w:leftChars="-23" w:right="0"/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  <w:t>磋商文件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技术条款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79646"/>
            <w:vAlign w:val="center"/>
          </w:tcPr>
          <w:p w14:paraId="1080CD8F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-34" w:leftChars="-16" w:right="0"/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  <w:t>磋商响应文件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条款响应</w:t>
            </w:r>
          </w:p>
        </w:tc>
        <w:tc>
          <w:tcPr>
            <w:tcW w:w="2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79646"/>
            <w:vAlign w:val="center"/>
          </w:tcPr>
          <w:p w14:paraId="0A76E5FA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-82" w:leftChars="-39" w:right="0"/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偏离及其响应</w:t>
            </w:r>
          </w:p>
        </w:tc>
      </w:tr>
      <w:tr w14:paraId="5B17AE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002" w:type="dxa"/>
            <w:tcBorders>
              <w:top w:val="single" w:color="auto" w:sz="4" w:space="0"/>
            </w:tcBorders>
            <w:vAlign w:val="center"/>
          </w:tcPr>
          <w:p w14:paraId="07389BEF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right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972" w:type="dxa"/>
            <w:tcBorders>
              <w:top w:val="single" w:color="auto" w:sz="4" w:space="0"/>
            </w:tcBorders>
            <w:vAlign w:val="center"/>
          </w:tcPr>
          <w:p w14:paraId="51BD092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lang w:val="en-US" w:eastAsia="zh-CN"/>
              </w:rPr>
              <w:t>交货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期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  <w:lang w:val="en-US" w:eastAsia="zh-CN"/>
              </w:rPr>
              <w:t>/服务期</w:t>
            </w:r>
          </w:p>
        </w:tc>
        <w:tc>
          <w:tcPr>
            <w:tcW w:w="2835" w:type="dxa"/>
            <w:tcBorders>
              <w:top w:val="single" w:color="auto" w:sz="4" w:space="0"/>
            </w:tcBorders>
            <w:vAlign w:val="center"/>
          </w:tcPr>
          <w:p w14:paraId="3F694CC1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1080" w:leftChars="257" w:right="0" w:rightChars="0" w:hanging="540" w:firstLineChars="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tcBorders>
              <w:top w:val="single" w:color="auto" w:sz="4" w:space="0"/>
            </w:tcBorders>
            <w:vAlign w:val="center"/>
          </w:tcPr>
          <w:p w14:paraId="1D8CAC10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不允许负偏离</w:t>
            </w:r>
          </w:p>
        </w:tc>
      </w:tr>
      <w:tr w14:paraId="294B95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1002" w:type="dxa"/>
            <w:vAlign w:val="center"/>
          </w:tcPr>
          <w:p w14:paraId="5A7F23D1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right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2972" w:type="dxa"/>
            <w:vAlign w:val="center"/>
          </w:tcPr>
          <w:p w14:paraId="44BCAB3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质保期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  <w:lang w:val="en-US" w:eastAsia="zh-CN"/>
              </w:rPr>
              <w:t>如有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2835" w:type="dxa"/>
            <w:vAlign w:val="center"/>
          </w:tcPr>
          <w:p w14:paraId="59BDCE9F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1080" w:leftChars="257" w:right="0" w:rightChars="0" w:hanging="540" w:firstLineChars="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0BA8E6E0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不允许负偏离</w:t>
            </w:r>
          </w:p>
        </w:tc>
      </w:tr>
      <w:tr w14:paraId="7F9CEB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002" w:type="dxa"/>
            <w:vAlign w:val="center"/>
          </w:tcPr>
          <w:p w14:paraId="46CCBEDB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right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2972" w:type="dxa"/>
            <w:vAlign w:val="center"/>
          </w:tcPr>
          <w:p w14:paraId="4FAC3BF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付款方式</w:t>
            </w:r>
          </w:p>
        </w:tc>
        <w:tc>
          <w:tcPr>
            <w:tcW w:w="2835" w:type="dxa"/>
            <w:vAlign w:val="center"/>
          </w:tcPr>
          <w:p w14:paraId="12098E9C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1080" w:leftChars="257" w:right="0" w:rightChars="0" w:hanging="540" w:firstLineChars="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7D429C21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不允许负偏离</w:t>
            </w:r>
          </w:p>
        </w:tc>
      </w:tr>
      <w:tr w14:paraId="4B639D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002" w:type="dxa"/>
            <w:vAlign w:val="center"/>
          </w:tcPr>
          <w:p w14:paraId="63A313BF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right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2972" w:type="dxa"/>
            <w:vAlign w:val="center"/>
          </w:tcPr>
          <w:p w14:paraId="39EA400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lang w:val="en-US" w:eastAsia="zh-CN"/>
              </w:rPr>
              <w:t>交货/服务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地点</w:t>
            </w:r>
          </w:p>
        </w:tc>
        <w:tc>
          <w:tcPr>
            <w:tcW w:w="2835" w:type="dxa"/>
            <w:vAlign w:val="center"/>
          </w:tcPr>
          <w:p w14:paraId="3BA2D3DF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1080" w:leftChars="257" w:right="0" w:rightChars="0" w:hanging="540" w:firstLineChars="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46DF4B62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不允许负偏离</w:t>
            </w:r>
          </w:p>
        </w:tc>
      </w:tr>
      <w:tr w14:paraId="264530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002" w:type="dxa"/>
            <w:vAlign w:val="center"/>
          </w:tcPr>
          <w:p w14:paraId="7039314D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right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2972" w:type="dxa"/>
            <w:vAlign w:val="center"/>
          </w:tcPr>
          <w:p w14:paraId="237D8C4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合同条款</w:t>
            </w:r>
          </w:p>
        </w:tc>
        <w:tc>
          <w:tcPr>
            <w:tcW w:w="2835" w:type="dxa"/>
            <w:vAlign w:val="center"/>
          </w:tcPr>
          <w:p w14:paraId="5DF15E84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1080" w:leftChars="257" w:right="0" w:rightChars="0" w:hanging="540" w:firstLineChars="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5443B9B3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不允许负偏离</w:t>
            </w:r>
          </w:p>
        </w:tc>
      </w:tr>
      <w:tr w14:paraId="62103D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002" w:type="dxa"/>
            <w:vAlign w:val="center"/>
          </w:tcPr>
          <w:p w14:paraId="628A1BC3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right="0"/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2972" w:type="dxa"/>
            <w:vAlign w:val="center"/>
          </w:tcPr>
          <w:p w14:paraId="7AE5EF8E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right="0"/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其他</w:t>
            </w:r>
          </w:p>
        </w:tc>
        <w:tc>
          <w:tcPr>
            <w:tcW w:w="2835" w:type="dxa"/>
            <w:vAlign w:val="center"/>
          </w:tcPr>
          <w:p w14:paraId="6FB29D1E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2270" w:type="dxa"/>
            <w:vAlign w:val="center"/>
          </w:tcPr>
          <w:p w14:paraId="57765599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right="0"/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  <w:tr w14:paraId="14217B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002" w:type="dxa"/>
            <w:vAlign w:val="center"/>
          </w:tcPr>
          <w:p w14:paraId="022546C0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right="0" w:firstLine="240" w:firstLineChars="100"/>
              <w:jc w:val="both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2972" w:type="dxa"/>
            <w:vAlign w:val="center"/>
          </w:tcPr>
          <w:p w14:paraId="6D754799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both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2835" w:type="dxa"/>
            <w:vAlign w:val="center"/>
          </w:tcPr>
          <w:p w14:paraId="63A1FE12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both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2270" w:type="dxa"/>
            <w:vAlign w:val="center"/>
          </w:tcPr>
          <w:p w14:paraId="1529E696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both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...</w:t>
            </w:r>
          </w:p>
        </w:tc>
      </w:tr>
      <w:tr w14:paraId="40EC0C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002" w:type="dxa"/>
            <w:vAlign w:val="center"/>
          </w:tcPr>
          <w:p w14:paraId="3E214A71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972" w:type="dxa"/>
            <w:vAlign w:val="center"/>
          </w:tcPr>
          <w:p w14:paraId="20414127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38A7C5CD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4870E52B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</w:tr>
      <w:tr w14:paraId="0FFEF1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  <w:jc w:val="center"/>
        </w:trPr>
        <w:tc>
          <w:tcPr>
            <w:tcW w:w="1002" w:type="dxa"/>
            <w:vAlign w:val="center"/>
          </w:tcPr>
          <w:p w14:paraId="6F97B559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972" w:type="dxa"/>
            <w:vAlign w:val="center"/>
          </w:tcPr>
          <w:p w14:paraId="2E8423D0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5BFE21F6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78EF2458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</w:tr>
      <w:tr w14:paraId="3416D5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1002" w:type="dxa"/>
            <w:vAlign w:val="center"/>
          </w:tcPr>
          <w:p w14:paraId="44E74655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972" w:type="dxa"/>
            <w:vAlign w:val="center"/>
          </w:tcPr>
          <w:p w14:paraId="655DCF54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54EF19FB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3C461509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</w:tr>
    </w:tbl>
    <w:p w14:paraId="64CB421A">
      <w:pPr>
        <w:pStyle w:val="2"/>
        <w:spacing w:line="360" w:lineRule="auto"/>
        <w:ind w:left="1080" w:leftChars="257" w:hanging="540"/>
        <w:rPr>
          <w:rFonts w:ascii="仿宋" w:hAnsi="仿宋" w:eastAsia="仿宋" w:cs="仿宋"/>
          <w:sz w:val="24"/>
        </w:rPr>
      </w:pPr>
    </w:p>
    <w:p w14:paraId="78E89B4E">
      <w:pPr>
        <w:pStyle w:val="2"/>
        <w:tabs>
          <w:tab w:val="left" w:pos="5580"/>
        </w:tabs>
        <w:spacing w:line="360" w:lineRule="auto"/>
        <w:ind w:left="1080" w:leftChars="257" w:hanging="540"/>
        <w:jc w:val="right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eastAsia="zh-CN"/>
        </w:rPr>
        <w:t>供应商</w:t>
      </w:r>
      <w:r>
        <w:rPr>
          <w:rFonts w:hint="eastAsia" w:ascii="仿宋" w:hAnsi="仿宋" w:eastAsia="仿宋" w:cs="仿宋"/>
          <w:sz w:val="24"/>
          <w:szCs w:val="24"/>
        </w:rPr>
        <w:t>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    </w:t>
      </w:r>
      <w:r>
        <w:rPr>
          <w:rFonts w:hint="eastAsia" w:ascii="仿宋" w:hAnsi="仿宋" w:eastAsia="仿宋" w:cs="仿宋"/>
          <w:sz w:val="24"/>
          <w:szCs w:val="24"/>
        </w:rPr>
        <w:t>（</w:t>
      </w:r>
      <w:r>
        <w:rPr>
          <w:rFonts w:hint="eastAsia" w:ascii="仿宋" w:hAnsi="仿宋" w:eastAsia="仿宋" w:cs="仿宋"/>
          <w:color w:val="C00000"/>
          <w:sz w:val="24"/>
          <w:szCs w:val="24"/>
        </w:rPr>
        <w:t>盖</w:t>
      </w:r>
      <w:r>
        <w:rPr>
          <w:rFonts w:hint="eastAsia" w:ascii="仿宋" w:hAnsi="仿宋" w:eastAsia="仿宋" w:cs="仿宋"/>
          <w:color w:val="C00000"/>
          <w:sz w:val="24"/>
          <w:szCs w:val="24"/>
          <w:lang w:val="en-US" w:eastAsia="zh-CN"/>
        </w:rPr>
        <w:t>公</w:t>
      </w:r>
      <w:r>
        <w:rPr>
          <w:rFonts w:hint="eastAsia" w:ascii="仿宋" w:hAnsi="仿宋" w:eastAsia="仿宋" w:cs="仿宋"/>
          <w:color w:val="C00000"/>
          <w:sz w:val="24"/>
          <w:szCs w:val="24"/>
        </w:rPr>
        <w:t>章</w:t>
      </w:r>
      <w:r>
        <w:rPr>
          <w:rFonts w:hint="eastAsia" w:ascii="仿宋" w:hAnsi="仿宋" w:eastAsia="仿宋" w:cs="仿宋"/>
          <w:sz w:val="24"/>
          <w:szCs w:val="24"/>
        </w:rPr>
        <w:t>）</w:t>
      </w:r>
    </w:p>
    <w:p w14:paraId="6E999B40">
      <w:pPr>
        <w:spacing w:line="440" w:lineRule="exact"/>
        <w:jc w:val="right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年   月   日</w:t>
      </w:r>
    </w:p>
    <w:p w14:paraId="49CCB6F6">
      <w:pPr>
        <w:pStyle w:val="2"/>
        <w:spacing w:line="360" w:lineRule="auto"/>
        <w:rPr>
          <w:rFonts w:ascii="仿宋" w:hAnsi="仿宋" w:eastAsia="仿宋" w:cs="仿宋"/>
          <w:sz w:val="24"/>
          <w:u w:val="single"/>
        </w:rPr>
      </w:pPr>
    </w:p>
    <w:p w14:paraId="2CEBE2C1">
      <w:pPr>
        <w:pStyle w:val="2"/>
        <w:spacing w:line="360" w:lineRule="auto"/>
        <w:rPr>
          <w:rFonts w:ascii="仿宋" w:hAnsi="仿宋" w:eastAsia="仿宋" w:cs="仿宋"/>
          <w:szCs w:val="21"/>
        </w:rPr>
      </w:pPr>
      <w:r>
        <w:rPr>
          <w:rFonts w:hint="eastAsia" w:ascii="仿宋" w:hAnsi="仿宋" w:eastAsia="仿宋" w:cs="仿宋"/>
          <w:szCs w:val="21"/>
        </w:rPr>
        <w:t>注： 1.本表只填写</w:t>
      </w:r>
      <w:r>
        <w:rPr>
          <w:rFonts w:hint="eastAsia" w:ascii="仿宋" w:hAnsi="仿宋" w:eastAsia="仿宋" w:cs="仿宋"/>
          <w:szCs w:val="21"/>
          <w:lang w:eastAsia="zh-CN"/>
        </w:rPr>
        <w:t>磋商响应文件</w:t>
      </w:r>
      <w:r>
        <w:rPr>
          <w:rFonts w:hint="eastAsia" w:ascii="仿宋" w:hAnsi="仿宋" w:eastAsia="仿宋" w:cs="仿宋"/>
          <w:szCs w:val="21"/>
        </w:rPr>
        <w:t>中与</w:t>
      </w:r>
      <w:r>
        <w:rPr>
          <w:rFonts w:hint="eastAsia" w:ascii="仿宋" w:hAnsi="仿宋" w:eastAsia="仿宋" w:cs="仿宋"/>
          <w:szCs w:val="21"/>
          <w:lang w:eastAsia="zh-CN"/>
        </w:rPr>
        <w:t>磋商文件</w:t>
      </w:r>
      <w:r>
        <w:rPr>
          <w:rFonts w:hint="eastAsia" w:ascii="仿宋" w:hAnsi="仿宋" w:eastAsia="仿宋" w:cs="仿宋"/>
          <w:szCs w:val="21"/>
        </w:rPr>
        <w:t>有偏离（包括正偏离、负偏离）的内容，</w:t>
      </w:r>
      <w:r>
        <w:rPr>
          <w:rFonts w:hint="eastAsia" w:ascii="仿宋" w:hAnsi="仿宋" w:eastAsia="仿宋" w:cs="仿宋"/>
          <w:szCs w:val="21"/>
          <w:lang w:eastAsia="zh-CN"/>
        </w:rPr>
        <w:t>磋商响应文件</w:t>
      </w:r>
      <w:r>
        <w:rPr>
          <w:rFonts w:hint="eastAsia" w:ascii="仿宋" w:hAnsi="仿宋" w:eastAsia="仿宋" w:cs="仿宋"/>
          <w:szCs w:val="21"/>
        </w:rPr>
        <w:t>中与</w:t>
      </w:r>
      <w:r>
        <w:rPr>
          <w:rFonts w:hint="eastAsia" w:ascii="仿宋" w:hAnsi="仿宋" w:eastAsia="仿宋" w:cs="仿宋"/>
          <w:szCs w:val="21"/>
          <w:lang w:eastAsia="zh-CN"/>
        </w:rPr>
        <w:t>磋商文件</w:t>
      </w:r>
      <w:r>
        <w:rPr>
          <w:rFonts w:hint="eastAsia" w:ascii="仿宋" w:hAnsi="仿宋" w:eastAsia="仿宋" w:cs="仿宋"/>
          <w:szCs w:val="21"/>
        </w:rPr>
        <w:t>条款要求完全一致</w:t>
      </w:r>
      <w:r>
        <w:rPr>
          <w:rFonts w:hint="eastAsia" w:ascii="仿宋" w:hAnsi="仿宋" w:eastAsia="仿宋" w:cs="仿宋"/>
          <w:szCs w:val="21"/>
          <w:lang w:val="en-US" w:eastAsia="zh-CN"/>
        </w:rPr>
        <w:t>或完全响应内容</w:t>
      </w:r>
      <w:r>
        <w:rPr>
          <w:rFonts w:hint="eastAsia" w:ascii="仿宋" w:hAnsi="仿宋" w:eastAsia="仿宋" w:cs="仿宋"/>
          <w:szCs w:val="21"/>
        </w:rPr>
        <w:t>的不用在此表中列出，</w:t>
      </w:r>
      <w:r>
        <w:rPr>
          <w:rFonts w:hint="eastAsia" w:ascii="仿宋" w:hAnsi="仿宋" w:eastAsia="仿宋" w:cs="仿宋"/>
          <w:b/>
          <w:bCs/>
          <w:szCs w:val="21"/>
        </w:rPr>
        <w:t>提交空白表格</w:t>
      </w:r>
      <w:r>
        <w:rPr>
          <w:rFonts w:hint="eastAsia" w:ascii="仿宋" w:hAnsi="仿宋" w:eastAsia="仿宋" w:cs="仿宋"/>
          <w:b/>
          <w:bCs/>
          <w:szCs w:val="21"/>
          <w:lang w:val="en-US" w:eastAsia="zh-CN"/>
        </w:rPr>
        <w:t>或未填写的条款均</w:t>
      </w:r>
      <w:r>
        <w:rPr>
          <w:rFonts w:hint="eastAsia" w:ascii="仿宋" w:hAnsi="仿宋" w:eastAsia="仿宋" w:cs="仿宋"/>
          <w:b/>
          <w:bCs/>
          <w:szCs w:val="21"/>
        </w:rPr>
        <w:t>视为</w:t>
      </w:r>
      <w:r>
        <w:rPr>
          <w:rFonts w:hint="eastAsia" w:ascii="仿宋" w:hAnsi="仿宋" w:eastAsia="仿宋" w:cs="仿宋"/>
          <w:b/>
          <w:bCs/>
          <w:szCs w:val="21"/>
          <w:lang w:eastAsia="zh-CN"/>
        </w:rPr>
        <w:t>供应商</w:t>
      </w:r>
      <w:r>
        <w:rPr>
          <w:rFonts w:hint="eastAsia" w:ascii="仿宋" w:hAnsi="仿宋" w:eastAsia="仿宋" w:cs="仿宋"/>
          <w:b/>
          <w:bCs/>
          <w:szCs w:val="21"/>
        </w:rPr>
        <w:t>完全响应</w:t>
      </w:r>
      <w:r>
        <w:rPr>
          <w:rFonts w:hint="eastAsia" w:ascii="仿宋" w:hAnsi="仿宋" w:eastAsia="仿宋" w:cs="仿宋"/>
          <w:b/>
          <w:bCs/>
          <w:szCs w:val="21"/>
          <w:lang w:eastAsia="zh-CN"/>
        </w:rPr>
        <w:t>磋商文件</w:t>
      </w:r>
      <w:r>
        <w:rPr>
          <w:rFonts w:hint="eastAsia" w:ascii="仿宋" w:hAnsi="仿宋" w:eastAsia="仿宋" w:cs="仿宋"/>
          <w:b/>
          <w:bCs/>
          <w:szCs w:val="21"/>
        </w:rPr>
        <w:t>所有技术和标准要求</w:t>
      </w:r>
      <w:r>
        <w:rPr>
          <w:rFonts w:hint="eastAsia" w:ascii="仿宋" w:hAnsi="仿宋" w:eastAsia="仿宋" w:cs="仿宋"/>
          <w:szCs w:val="21"/>
        </w:rPr>
        <w:t>。</w:t>
      </w:r>
    </w:p>
    <w:p w14:paraId="65A8D83F">
      <w:pPr>
        <w:pStyle w:val="2"/>
        <w:spacing w:line="360" w:lineRule="auto"/>
        <w:ind w:firstLine="630" w:firstLineChars="300"/>
        <w:rPr>
          <w:rFonts w:hint="eastAsia" w:ascii="仿宋_GB2312" w:hAnsi="仿宋_GB2312" w:eastAsia="仿宋_GB2312" w:cs="仿宋_GB2312"/>
          <w:bCs/>
          <w:color w:val="auto"/>
          <w:sz w:val="22"/>
          <w:szCs w:val="22"/>
          <w:highlight w:val="yellow"/>
        </w:rPr>
      </w:pPr>
      <w:r>
        <w:rPr>
          <w:rFonts w:hint="eastAsia" w:ascii="仿宋" w:hAnsi="仿宋" w:eastAsia="仿宋" w:cs="仿宋"/>
          <w:szCs w:val="21"/>
        </w:rPr>
        <w:t>2.</w:t>
      </w:r>
      <w:r>
        <w:rPr>
          <w:rFonts w:hint="eastAsia" w:ascii="仿宋" w:hAnsi="仿宋" w:eastAsia="仿宋" w:cs="仿宋"/>
          <w:szCs w:val="21"/>
          <w:lang w:eastAsia="zh-CN"/>
        </w:rPr>
        <w:t>供应商</w:t>
      </w:r>
      <w:r>
        <w:rPr>
          <w:rFonts w:hint="eastAsia" w:ascii="仿宋" w:hAnsi="仿宋" w:eastAsia="仿宋" w:cs="仿宋"/>
          <w:szCs w:val="21"/>
        </w:rPr>
        <w:t>必须据实填写，不得虚假响应，否则将取消投标或中标资格，并按有关规定进行处罚。</w:t>
      </w:r>
    </w:p>
    <w:p w14:paraId="371DA457">
      <w:pPr>
        <w:rPr>
          <w:rFonts w:hint="eastAsia" w:ascii="仿宋_GB2312" w:hAnsi="仿宋_GB2312" w:eastAsia="宋体" w:cs="仿宋_GB2312"/>
          <w:color w:val="0000FF"/>
          <w:lang w:val="en-US" w:eastAsia="zh-CN"/>
        </w:rPr>
      </w:pPr>
      <w:r>
        <w:rPr>
          <w:rFonts w:hint="eastAsia" w:ascii="仿宋_GB2312" w:hAnsi="仿宋_GB2312" w:eastAsia="宋体" w:cs="仿宋_GB2312"/>
          <w:color w:val="0000FF"/>
          <w:lang w:val="en-US" w:eastAsia="zh-CN"/>
        </w:rPr>
        <w:br w:type="page"/>
      </w:r>
    </w:p>
    <w:p w14:paraId="559B2A5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313" w:afterLines="100" w:line="480" w:lineRule="exact"/>
        <w:jc w:val="center"/>
        <w:textAlignment w:val="auto"/>
        <w:outlineLvl w:val="2"/>
        <w:rPr>
          <w:rFonts w:hint="eastAsia" w:ascii="黑体" w:hAnsi="黑体" w:eastAsia="黑体" w:cs="Calibri Light"/>
          <w:b w:val="0"/>
          <w:bCs w:val="0"/>
          <w:color w:val="1F4E79"/>
          <w:kern w:val="2"/>
          <w:sz w:val="28"/>
          <w:szCs w:val="32"/>
          <w:highlight w:val="none"/>
          <w:lang w:val="en-US" w:eastAsia="zh-CN" w:bidi="ar-SA"/>
        </w:rPr>
      </w:pPr>
      <w:r>
        <w:rPr>
          <w:rFonts w:hint="eastAsia" w:ascii="黑体" w:hAnsi="黑体" w:eastAsia="黑体" w:cs="Calibri Light"/>
          <w:b w:val="0"/>
          <w:bCs w:val="0"/>
          <w:color w:val="1F4E79"/>
          <w:kern w:val="2"/>
          <w:sz w:val="28"/>
          <w:szCs w:val="32"/>
          <w:highlight w:val="none"/>
          <w:lang w:val="en-US" w:eastAsia="zh-CN" w:bidi="ar-SA"/>
        </w:rPr>
        <w:t>承诺函</w:t>
      </w:r>
    </w:p>
    <w:p w14:paraId="6B82101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outlineLvl w:val="2"/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22"/>
          <w:szCs w:val="2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22"/>
          <w:szCs w:val="22"/>
          <w:highlight w:val="none"/>
          <w:lang w:val="en-US" w:eastAsia="zh-CN" w:bidi="ar-SA"/>
        </w:rPr>
        <w:t>致：西安铁路职业技术学院</w:t>
      </w:r>
    </w:p>
    <w:p w14:paraId="3F64464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outlineLvl w:val="2"/>
        <w:rPr>
          <w:rFonts w:hint="default" w:ascii="仿宋_GB2312" w:hAnsi="仿宋_GB2312" w:eastAsia="仿宋_GB2312" w:cs="仿宋_GB2312"/>
          <w:b w:val="0"/>
          <w:bCs w:val="0"/>
          <w:color w:val="auto"/>
          <w:kern w:val="2"/>
          <w:sz w:val="22"/>
          <w:szCs w:val="2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22"/>
          <w:szCs w:val="22"/>
          <w:highlight w:val="none"/>
          <w:lang w:val="en-US" w:eastAsia="zh-CN" w:bidi="ar-SA"/>
        </w:rPr>
        <w:t>我公司参与《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22"/>
          <w:szCs w:val="22"/>
          <w:highlight w:val="none"/>
          <w:lang w:val="en-US" w:eastAsia="zh-CN" w:bidi="ar-SA"/>
        </w:rPr>
        <w:t>产教融合视域下专业带头人内涵建设与能力提升咨询项目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22"/>
          <w:szCs w:val="22"/>
          <w:highlight w:val="none"/>
          <w:lang w:val="en-US" w:eastAsia="zh-CN" w:bidi="ar-SA"/>
        </w:rPr>
        <w:t>》（项目编号：SCZA2026-CS-2438/001）并根据磋商文件承诺满足以下全部要求：</w:t>
      </w:r>
    </w:p>
    <w:p w14:paraId="768CCCD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2"/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21"/>
          <w:szCs w:val="21"/>
          <w:highlight w:val="none"/>
          <w:lang w:val="en-US" w:eastAsia="zh-CN" w:bidi="ar-SA"/>
        </w:rPr>
        <w:t>1.★服务覆盖规模：项目须服务不少于22名专业带头人，六大环节全部完成全流程实操训练，22套完整成果全部通过专家评审。</w:t>
      </w:r>
    </w:p>
    <w:p w14:paraId="685D344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2"/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21"/>
          <w:szCs w:val="21"/>
          <w:highlight w:val="none"/>
          <w:lang w:val="en-US" w:eastAsia="zh-CN" w:bidi="ar-SA"/>
        </w:rPr>
        <w:t>2.★流程硬性约束：六大实施环节不可逆，上一环节成果未完成专家+教务处联合审核归档，不得启动下一环节工作。</w:t>
      </w:r>
    </w:p>
    <w:p w14:paraId="64414D8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2"/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21"/>
          <w:szCs w:val="21"/>
          <w:highlight w:val="none"/>
          <w:lang w:val="en-US" w:eastAsia="zh-CN" w:bidi="ar-SA"/>
        </w:rPr>
        <w:t>3.★线下教学配置：全项目开设不少于5场线下实操工作坊，线下总授课时长不低于3个工作日，各环节现场完成案例实操演练。</w:t>
      </w:r>
    </w:p>
    <w:p w14:paraId="5761C29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2"/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21"/>
          <w:szCs w:val="21"/>
          <w:highlight w:val="none"/>
          <w:lang w:val="en-US" w:eastAsia="zh-CN" w:bidi="ar-SA"/>
        </w:rPr>
        <w:t>4.★专家辅导时长标准：每个专业群配套线上专项修改辅导不少于2h，各专业群线上辅导总时长≥8h；各阶段集中答疑单次时长≥1.5h。</w:t>
      </w:r>
    </w:p>
    <w:p w14:paraId="5A42060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2"/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21"/>
          <w:szCs w:val="21"/>
          <w:highlight w:val="none"/>
          <w:lang w:val="en-US" w:eastAsia="zh-CN" w:bidi="ar-SA"/>
        </w:rPr>
        <w:t>5.★图谱硬性产出要求：必须完整产出产业图谱、岗位能力图谱、课程能力图谱三套可视化图谱，每张图谱专家出具不少于3条书面评审意见。</w:t>
      </w:r>
    </w:p>
    <w:p w14:paraId="5E8EE88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2"/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21"/>
          <w:szCs w:val="21"/>
          <w:highlight w:val="none"/>
          <w:lang w:val="en-US" w:eastAsia="zh-CN" w:bidi="ar-SA"/>
        </w:rPr>
        <w:t>6.★课程体系建设标准：搭建四级模块化课程体系（公共+共享+方向+特色），实现岗位—课程—能力—知识点四级精准映射，配套递进式实践教学体系。</w:t>
      </w:r>
    </w:p>
    <w:p w14:paraId="54E12C4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2"/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21"/>
          <w:szCs w:val="21"/>
          <w:highlight w:val="none"/>
          <w:lang w:val="en-US" w:eastAsia="zh-CN" w:bidi="ar-SA"/>
        </w:rPr>
        <w:t>7.★调研硬性要求：完成企业、毕业生、同类院校、校内师生四类主体专项调研，配套标准化样本清单、数据可视化分析模板，形成4份分主体调研报告+1份综合调研报告。</w:t>
      </w:r>
    </w:p>
    <w:p w14:paraId="1497CA5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2"/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21"/>
          <w:szCs w:val="21"/>
          <w:highlight w:val="none"/>
          <w:lang w:val="en-US" w:eastAsia="zh-CN" w:bidi="ar-SA"/>
        </w:rPr>
        <w:t>8.★人才培养方案审批要求：最终版人才培养方案须经多元化专家团论证、学院教学指导委员会签字审批，融入岗课赛证融通特色模式。</w:t>
      </w:r>
    </w:p>
    <w:p w14:paraId="229D033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2"/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21"/>
          <w:szCs w:val="21"/>
          <w:highlight w:val="none"/>
          <w:lang w:val="en-US" w:eastAsia="zh-CN" w:bidi="ar-SA"/>
        </w:rPr>
        <w:t>9.★全套标准化工具包交付：提供可编辑标准化模板、审核表单、台账、成果交接单据，覆盖六大环节全部工作场景。</w:t>
      </w:r>
    </w:p>
    <w:p w14:paraId="584703E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2"/>
        <w:rPr>
          <w:rFonts w:hint="default" w:ascii="黑体" w:hAnsi="黑体" w:eastAsia="黑体" w:cs="Calibri Light"/>
          <w:b w:val="0"/>
          <w:bCs w:val="0"/>
          <w:color w:val="1F4E79"/>
          <w:kern w:val="2"/>
          <w:sz w:val="28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21"/>
          <w:szCs w:val="21"/>
          <w:highlight w:val="none"/>
          <w:lang w:val="en-US" w:eastAsia="zh-CN" w:bidi="ar-SA"/>
        </w:rPr>
        <w:t>10.★全过程闭环归档要求：每个环节同步提交过程工作台账、成果交接单、培训录屏、现场照片、研讨记录、专家签字审核意见等全套过程资料，资料缺失不予阶段验收。</w:t>
      </w:r>
    </w:p>
    <w:p w14:paraId="0DD1A93C">
      <w:pPr>
        <w:wordWrap/>
        <w:bidi w:val="0"/>
        <w:spacing w:line="480" w:lineRule="exact"/>
        <w:jc w:val="left"/>
        <w:rPr>
          <w:rFonts w:hint="default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我公司承诺完全按照上述要求完成项目的实施，承担因虚假承诺造成的不利后果。</w:t>
      </w:r>
    </w:p>
    <w:p w14:paraId="68DD43FB">
      <w:pPr>
        <w:wordWrap/>
        <w:bidi w:val="0"/>
        <w:spacing w:line="480" w:lineRule="exact"/>
        <w:ind w:left="0" w:leftChars="0" w:firstLine="3360" w:firstLineChars="1400"/>
        <w:jc w:val="left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</w:p>
    <w:p w14:paraId="581A773B">
      <w:pPr>
        <w:wordWrap/>
        <w:bidi w:val="0"/>
        <w:spacing w:line="480" w:lineRule="exact"/>
        <w:ind w:left="0" w:leftChars="0" w:firstLine="3360" w:firstLineChars="1400"/>
        <w:jc w:val="left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bookmarkStart w:id="5" w:name="_GoBack"/>
      <w:bookmarkEnd w:id="5"/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：</w:t>
      </w:r>
      <w:r>
        <w:rPr>
          <w:rFonts w:hint="eastAsia" w:ascii="仿宋" w:hAnsi="仿宋" w:eastAsia="仿宋" w:cs="仿宋"/>
          <w:color w:val="000000"/>
          <w:sz w:val="24"/>
          <w:szCs w:val="24"/>
          <w:u w:val="single"/>
        </w:rPr>
        <w:t>（</w:t>
      </w:r>
      <w:r>
        <w:rPr>
          <w:rFonts w:hint="eastAsia" w:ascii="仿宋" w:hAnsi="仿宋" w:eastAsia="仿宋" w:cs="仿宋"/>
          <w:color w:val="C00000"/>
          <w:sz w:val="24"/>
          <w:szCs w:val="24"/>
          <w:u w:val="single"/>
        </w:rPr>
        <w:t>公章</w:t>
      </w:r>
      <w:r>
        <w:rPr>
          <w:rFonts w:hint="eastAsia" w:ascii="仿宋" w:hAnsi="仿宋" w:eastAsia="仿宋" w:cs="仿宋"/>
          <w:color w:val="000000"/>
          <w:sz w:val="24"/>
          <w:szCs w:val="24"/>
          <w:u w:val="single"/>
        </w:rPr>
        <w:t>）</w:t>
      </w:r>
      <w:r>
        <w:rPr>
          <w:rFonts w:hint="eastAsia" w:ascii="仿宋" w:hAnsi="仿宋" w:eastAsia="仿宋" w:cs="仿宋"/>
          <w:color w:val="000000"/>
          <w:sz w:val="24"/>
          <w:szCs w:val="24"/>
          <w:u w:val="single"/>
          <w:lang w:val="en-US" w:eastAsia="zh-CN"/>
        </w:rPr>
        <w:t xml:space="preserve">            </w:t>
      </w:r>
    </w:p>
    <w:p w14:paraId="4928FB35">
      <w:pPr>
        <w:wordWrap/>
        <w:topLinePunct/>
        <w:bidi w:val="0"/>
        <w:spacing w:line="480" w:lineRule="exact"/>
        <w:ind w:left="0" w:leftChars="0" w:firstLine="3360" w:firstLineChars="1400"/>
        <w:jc w:val="left"/>
        <w:rPr>
          <w:rFonts w:hint="eastAsia" w:ascii="仿宋" w:hAnsi="仿宋" w:eastAsia="仿宋" w:cs="仿宋"/>
          <w:color w:val="7030A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日      期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eastAsia="zh-CN"/>
        </w:rPr>
        <w:t xml:space="preserve">     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年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eastAsia="zh-CN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月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eastAsia="zh-CN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日</w:t>
      </w:r>
    </w:p>
    <w:p w14:paraId="4894CEC9">
      <w:pPr>
        <w:jc w:val="center"/>
        <w:rPr>
          <w:rFonts w:hint="default" w:ascii="仿宋_GB2312" w:hAnsi="仿宋_GB2312" w:eastAsia="宋体" w:cs="仿宋_GB2312"/>
          <w:color w:val="0000FF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E0780F"/>
    <w:rsid w:val="077F0196"/>
    <w:rsid w:val="09AB7C59"/>
    <w:rsid w:val="0AFB5144"/>
    <w:rsid w:val="0B3348DE"/>
    <w:rsid w:val="0B4E1717"/>
    <w:rsid w:val="10E56EBA"/>
    <w:rsid w:val="16576B9D"/>
    <w:rsid w:val="1BCB3FFD"/>
    <w:rsid w:val="2AD54AA1"/>
    <w:rsid w:val="302D66A2"/>
    <w:rsid w:val="30445745"/>
    <w:rsid w:val="348E3C33"/>
    <w:rsid w:val="36831366"/>
    <w:rsid w:val="38104AD4"/>
    <w:rsid w:val="3E513D1E"/>
    <w:rsid w:val="5D5061F6"/>
    <w:rsid w:val="7062036A"/>
    <w:rsid w:val="723C1F5D"/>
    <w:rsid w:val="7BBF0566"/>
    <w:rsid w:val="7DDB22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470</Words>
  <Characters>482</Characters>
  <Lines>0</Lines>
  <Paragraphs>0</Paragraphs>
  <TotalTime>1</TotalTime>
  <ScaleCrop>false</ScaleCrop>
  <LinksUpToDate>false</LinksUpToDate>
  <CharactersWithSpaces>549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2026-06-11T08:55:00Z</dcterms:created>
  <dc:creator>Administrator</dc:creator>
  <cp:lastModifiedBy>赵锦天</cp:lastModifiedBy>
  <dcterms:modified xsi:type="dcterms:W3CDTF">2026-08-14T09:54:15Z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eyJoZGlkIjoiMDNmMDQ2YTU0OGNhNDE5YzU1ODBlZWYxZmI0N2JlNjYiLCJ1c2VySWQiOiIxMTcyNDcyOSJ9</vt:lpwstr>
  </property>
  <property fmtid="{D5CDD505-2E9C-101B-9397-08002B2CF9AE}" pid="4" name="ICV">
    <vt:lpwstr>C93ED8AEB9064ADDABE6AD61DF99A3EA_12</vt:lpwstr>
  </property>
</Properties>
</file>