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版本号：YMD-2026074F20260605001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中国国际大学生创新大赛服务项目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YMD-2026074F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中国国际大学生创新大赛服务项目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YMD-2026074F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中国国际大学生创新大赛服务项目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职业技术学院2026年中国国际大学生创新大赛工作提供:创新大赛资源库、基础训练、立项训练营、商业计划书撰写指导、创新大赛项目路演指导，为创新创业教学、大赛提供可借鉴经验，形成创新创业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采购包1（西安职业技术学院中国国际大学生创新大赛服务项目）：属于专门面向中小企业采购。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88692692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进行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职业技术学院2026年中国国际大学生创新大赛工作提供:创新大赛资源库、基础训练、立项训练营、商业计划书撰写指导、创新大赛项目路演指导，为创新创业教学、大赛提供可借鉴经验，形成创新创业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中国国际大学生创新大赛服务项目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标的名称：中国国际大学生创新大赛服务项目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针对学校报送参与指定创新创业赛事的项目，安排专家提供创新创业项目训练营，通过项目培训指导，完成商业计划书工作坊、路演模拟训练、导师</w:t>
            </w:r>
            <w:r>
              <w:rPr>
                <w:rFonts w:ascii="仿宋_GB2312" w:hAnsi="仿宋_GB2312" w:cs="仿宋_GB2312" w:eastAsia="仿宋_GB2312"/>
                <w:sz w:val="21"/>
              </w:rPr>
              <w:t>1v1辅导，帮助学生认知创新创业相关知识面，针对创业项目梳理构建逻辑框架，完善参赛文本，辅导其参与创新赛事等实践活动。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以年度大赛项目规定要求为准。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服务要求</w:t>
            </w:r>
          </w:p>
          <w:tbl>
            <w:tblPr>
              <w:tblInd w:type="dxa" w:w="120"/>
              <w:tblBorders>
                <w:top w:val="none" w:color="000000" w:sz="4"/>
                <w:left w:val="none" w:color="000000" w:sz="4"/>
                <w:bottom w:val="none" w:color="000000" w:sz="4"/>
                <w:right w:val="none" w:color="000000" w:sz="4"/>
                <w:insideH w:val="none"/>
                <w:insideV w:val="none"/>
              </w:tblBorders>
            </w:tblPr>
            <w:tblGrid>
              <w:gridCol w:w="513"/>
              <w:gridCol w:w="1189"/>
              <w:gridCol w:w="851"/>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平台与课程模块</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内容简介</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参数</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创新创业资源库</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创闻导读</w:t>
                  </w:r>
                  <w:r>
                    <w:rPr>
                      <w:rFonts w:ascii="仿宋_GB2312" w:hAnsi="仿宋_GB2312" w:cs="仿宋_GB2312" w:eastAsia="仿宋_GB2312"/>
                      <w:sz w:val="19"/>
                    </w:rPr>
                    <w:t>:包含产业技术、行业市场最新发展、行业对人才培育最新要求的在线案例库</w:t>
                  </w:r>
                  <w:r>
                    <w:rPr>
                      <w:rFonts w:ascii="仿宋_GB2312" w:hAnsi="仿宋_GB2312" w:cs="仿宋_GB2312" w:eastAsia="仿宋_GB2312"/>
                      <w:sz w:val="19"/>
                    </w:rPr>
                    <w:t>。</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1年</w:t>
                  </w:r>
                </w:p>
              </w:tc>
            </w:tr>
            <w:tr>
              <w:tc>
                <w:tcPr>
                  <w:tcW w:type="dxa" w:w="513"/>
                  <w:vMerge/>
                  <w:tcBorders>
                    <w:top w:val="none" w:color="000000" w:sz="4"/>
                    <w:left w:val="single" w:color="000000" w:sz="4"/>
                    <w:bottom w:val="single" w:color="000000" w:sz="4"/>
                    <w:right w:val="single" w:color="000000" w:sz="4"/>
                  </w:tcBorders>
                </w:tcP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创新大赛笔记</w:t>
                  </w:r>
                  <w:r>
                    <w:rPr>
                      <w:rFonts w:ascii="仿宋_GB2312" w:hAnsi="仿宋_GB2312" w:cs="仿宋_GB2312" w:eastAsia="仿宋_GB2312"/>
                      <w:sz w:val="19"/>
                    </w:rPr>
                    <w:t>:收录有史以来所有经过专业解读国赛金、银奖案例分析的移动资源库。</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有限期</w:t>
                  </w:r>
                  <w:r>
                    <w:rPr>
                      <w:rFonts w:ascii="仿宋_GB2312" w:hAnsi="仿宋_GB2312" w:cs="仿宋_GB2312" w:eastAsia="仿宋_GB2312"/>
                      <w:sz w:val="19"/>
                    </w:rPr>
                    <w:t>:1年</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人次</w:t>
                  </w:r>
                  <w:r>
                    <w:rPr>
                      <w:rFonts w:ascii="仿宋_GB2312" w:hAnsi="仿宋_GB2312" w:cs="仿宋_GB2312" w:eastAsia="仿宋_GB2312"/>
                      <w:sz w:val="19"/>
                    </w:rPr>
                    <w:t>:不限人不限次</w:t>
                  </w:r>
                </w:p>
              </w:tc>
            </w:tr>
            <w:tr>
              <w:tc>
                <w:tcPr>
                  <w:tcW w:type="dxa" w:w="513"/>
                  <w:vMerge/>
                  <w:tcBorders>
                    <w:top w:val="none" w:color="000000" w:sz="4"/>
                    <w:left w:val="single" w:color="000000" w:sz="4"/>
                    <w:bottom w:val="single" w:color="000000" w:sz="4"/>
                    <w:right w:val="single" w:color="000000" w:sz="4"/>
                  </w:tcBorders>
                </w:tcP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创课实训</w:t>
                  </w:r>
                  <w:r>
                    <w:rPr>
                      <w:rFonts w:ascii="仿宋_GB2312" w:hAnsi="仿宋_GB2312" w:cs="仿宋_GB2312" w:eastAsia="仿宋_GB2312"/>
                      <w:sz w:val="19"/>
                    </w:rPr>
                    <w:t>:创新创业团队大赛必修课，包含参赛所需要的专业的BP、PPT、路演技巧详细讲解及学习</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有限期</w:t>
                  </w:r>
                  <w:r>
                    <w:rPr>
                      <w:rFonts w:ascii="仿宋_GB2312" w:hAnsi="仿宋_GB2312" w:cs="仿宋_GB2312" w:eastAsia="仿宋_GB2312"/>
                      <w:sz w:val="19"/>
                    </w:rPr>
                    <w:t>:1年</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人次</w:t>
                  </w:r>
                  <w:r>
                    <w:rPr>
                      <w:rFonts w:ascii="仿宋_GB2312" w:hAnsi="仿宋_GB2312" w:cs="仿宋_GB2312" w:eastAsia="仿宋_GB2312"/>
                      <w:sz w:val="19"/>
                    </w:rPr>
                    <w:t>:不限人不限次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学生培训</w:t>
                  </w:r>
                </w:p>
              </w:tc>
              <w:tc>
                <w:tcPr>
                  <w:tcW w:type="dxa" w:w="1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了解大赛和大赛项目的具体要求，对问题互动解答</w:t>
                  </w:r>
                  <w:r>
                    <w:rPr>
                      <w:rFonts w:ascii="仿宋_GB2312" w:hAnsi="仿宋_GB2312" w:cs="仿宋_GB2312" w:eastAsia="仿宋_GB2312"/>
                      <w:sz w:val="19"/>
                    </w:rPr>
                    <w:t>;掌握项目BP如何撰写，了解撰写BP的流程。从行业角度剖析大赛，跳出大赛分析大赛。</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导师数</w:t>
                  </w:r>
                  <w:r>
                    <w:rPr>
                      <w:rFonts w:ascii="仿宋_GB2312" w:hAnsi="仿宋_GB2312" w:cs="仿宋_GB2312" w:eastAsia="仿宋_GB2312"/>
                      <w:sz w:val="19"/>
                    </w:rPr>
                    <w:t>:1人;</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时长</w:t>
                  </w:r>
                  <w:r>
                    <w:rPr>
                      <w:rFonts w:ascii="仿宋_GB2312" w:hAnsi="仿宋_GB2312" w:cs="仿宋_GB2312" w:eastAsia="仿宋_GB2312"/>
                      <w:sz w:val="19"/>
                    </w:rPr>
                    <w:t>:150分钟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教师培训</w:t>
                  </w:r>
                </w:p>
              </w:tc>
              <w:tc>
                <w:tcPr>
                  <w:tcW w:type="dxa" w:w="1189"/>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导师数</w:t>
                  </w:r>
                  <w:r>
                    <w:rPr>
                      <w:rFonts w:ascii="仿宋_GB2312" w:hAnsi="仿宋_GB2312" w:cs="仿宋_GB2312" w:eastAsia="仿宋_GB2312"/>
                      <w:sz w:val="19"/>
                    </w:rPr>
                    <w:t>:1人:</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时长</w:t>
                  </w:r>
                  <w:r>
                    <w:rPr>
                      <w:rFonts w:ascii="仿宋_GB2312" w:hAnsi="仿宋_GB2312" w:cs="仿宋_GB2312" w:eastAsia="仿宋_GB2312"/>
                      <w:sz w:val="19"/>
                    </w:rPr>
                    <w:t>:150分钟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立项训练营</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不仅是服务参赛高校丰富创新创业类赛事项目数量，更是专注提升种子赛项的质量。通过</w:t>
                  </w:r>
                  <w:r>
                    <w:rPr>
                      <w:rFonts w:ascii="仿宋_GB2312" w:hAnsi="仿宋_GB2312" w:cs="仿宋_GB2312" w:eastAsia="仿宋_GB2312"/>
                      <w:sz w:val="19"/>
                    </w:rPr>
                    <w:t>训练营</w:t>
                  </w:r>
                  <w:r>
                    <w:rPr>
                      <w:rFonts w:ascii="仿宋_GB2312" w:hAnsi="仿宋_GB2312" w:cs="仿宋_GB2312" w:eastAsia="仿宋_GB2312"/>
                      <w:sz w:val="19"/>
                    </w:rPr>
                    <w:t>的训练，为高校厚植创新创业赛事土壤，建立项目制的教学模式，达到</w:t>
                  </w:r>
                  <w:r>
                    <w:rPr>
                      <w:rFonts w:ascii="仿宋_GB2312" w:hAnsi="仿宋_GB2312" w:cs="仿宋_GB2312" w:eastAsia="仿宋_GB2312"/>
                      <w:sz w:val="19"/>
                    </w:rPr>
                    <w:t>“以赛促教、以赛促学”的目的:为高校创新创业实践教学育人提供专业化、系统化、规范化的落地做法。通过创新分析与工程应用对标明确项目定位，提炼核心价值，完成创新化、应用化与商业化项目设计。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开营讲座</w:t>
                  </w:r>
                  <w:r>
                    <w:rPr>
                      <w:rFonts w:ascii="仿宋_GB2312" w:hAnsi="仿宋_GB2312" w:cs="仿宋_GB2312" w:eastAsia="仿宋_GB2312"/>
                      <w:sz w:val="19"/>
                    </w:rPr>
                    <w:t>:开题+解析+结论</w:t>
                  </w:r>
                </w:p>
                <w:p>
                  <w:pPr>
                    <w:pStyle w:val="null3"/>
                    <w:jc w:val="both"/>
                  </w:pPr>
                  <w:r>
                    <w:rPr>
                      <w:rFonts w:ascii="仿宋_GB2312" w:hAnsi="仿宋_GB2312" w:cs="仿宋_GB2312" w:eastAsia="仿宋_GB2312"/>
                      <w:sz w:val="19"/>
                    </w:rPr>
                    <w:t>时长</w:t>
                  </w:r>
                  <w:r>
                    <w:rPr>
                      <w:rFonts w:ascii="仿宋_GB2312" w:hAnsi="仿宋_GB2312" w:cs="仿宋_GB2312" w:eastAsia="仿宋_GB2312"/>
                      <w:sz w:val="19"/>
                    </w:rPr>
                    <w:t>:120分钟:</w:t>
                  </w:r>
                </w:p>
                <w:p>
                  <w:pPr>
                    <w:pStyle w:val="null3"/>
                    <w:jc w:val="both"/>
                  </w:pPr>
                  <w:r>
                    <w:rPr>
                      <w:rFonts w:ascii="仿宋_GB2312" w:hAnsi="仿宋_GB2312" w:cs="仿宋_GB2312" w:eastAsia="仿宋_GB2312"/>
                      <w:sz w:val="19"/>
                    </w:rPr>
                    <w:t>导师</w:t>
                  </w:r>
                  <w:r>
                    <w:rPr>
                      <w:rFonts w:ascii="仿宋_GB2312" w:hAnsi="仿宋_GB2312" w:cs="仿宋_GB2312" w:eastAsia="仿宋_GB2312"/>
                      <w:sz w:val="19"/>
                    </w:rPr>
                    <w:t>:1人</w:t>
                  </w:r>
                </w:p>
                <w:p>
                  <w:pPr>
                    <w:pStyle w:val="null3"/>
                    <w:jc w:val="both"/>
                  </w:pPr>
                  <w:r>
                    <w:rPr>
                      <w:rFonts w:ascii="仿宋_GB2312" w:hAnsi="仿宋_GB2312" w:cs="仿宋_GB2312" w:eastAsia="仿宋_GB2312"/>
                      <w:sz w:val="19"/>
                    </w:rPr>
                    <w:t>2.创新设计:方法、创新方向、工程设计(课程、案例、仿写)时长:1天</w:t>
                  </w:r>
                </w:p>
                <w:p>
                  <w:pPr>
                    <w:pStyle w:val="null3"/>
                    <w:jc w:val="both"/>
                  </w:pPr>
                  <w:r>
                    <w:rPr>
                      <w:rFonts w:ascii="仿宋_GB2312" w:hAnsi="仿宋_GB2312" w:cs="仿宋_GB2312" w:eastAsia="仿宋_GB2312"/>
                      <w:sz w:val="19"/>
                    </w:rPr>
                    <w:t>导师</w:t>
                  </w:r>
                  <w:r>
                    <w:rPr>
                      <w:rFonts w:ascii="仿宋_GB2312" w:hAnsi="仿宋_GB2312" w:cs="仿宋_GB2312" w:eastAsia="仿宋_GB2312"/>
                      <w:sz w:val="19"/>
                    </w:rPr>
                    <w:t>:1人</w:t>
                  </w:r>
                </w:p>
                <w:p>
                  <w:pPr>
                    <w:pStyle w:val="null3"/>
                    <w:jc w:val="both"/>
                  </w:pPr>
                  <w:r>
                    <w:rPr>
                      <w:rFonts w:ascii="仿宋_GB2312" w:hAnsi="仿宋_GB2312" w:cs="仿宋_GB2312" w:eastAsia="仿宋_GB2312"/>
                      <w:sz w:val="19"/>
                    </w:rPr>
                    <w:t>参课人数</w:t>
                  </w:r>
                  <w:r>
                    <w:rPr>
                      <w:rFonts w:ascii="仿宋_GB2312" w:hAnsi="仿宋_GB2312" w:cs="仿宋_GB2312" w:eastAsia="仿宋_GB2312"/>
                      <w:sz w:val="19"/>
                    </w:rPr>
                    <w:t>:50+人</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项目提案</w:t>
                  </w:r>
                  <w:r>
                    <w:rPr>
                      <w:rFonts w:ascii="仿宋_GB2312" w:hAnsi="仿宋_GB2312" w:cs="仿宋_GB2312" w:eastAsia="仿宋_GB2312"/>
                      <w:sz w:val="19"/>
                    </w:rPr>
                    <w:t>:导课、资源分析、提纲拟写(集中、脑图、报告)</w:t>
                  </w:r>
                </w:p>
                <w:p>
                  <w:pPr>
                    <w:pStyle w:val="null3"/>
                    <w:jc w:val="both"/>
                  </w:pPr>
                  <w:r>
                    <w:rPr>
                      <w:rFonts w:ascii="仿宋_GB2312" w:hAnsi="仿宋_GB2312" w:cs="仿宋_GB2312" w:eastAsia="仿宋_GB2312"/>
                      <w:sz w:val="19"/>
                    </w:rPr>
                    <w:t>时长</w:t>
                  </w:r>
                  <w:r>
                    <w:rPr>
                      <w:rFonts w:ascii="仿宋_GB2312" w:hAnsi="仿宋_GB2312" w:cs="仿宋_GB2312" w:eastAsia="仿宋_GB2312"/>
                      <w:sz w:val="19"/>
                    </w:rPr>
                    <w:t>:1天</w:t>
                  </w:r>
                </w:p>
                <w:p>
                  <w:pPr>
                    <w:pStyle w:val="null3"/>
                    <w:jc w:val="both"/>
                  </w:pPr>
                  <w:r>
                    <w:rPr>
                      <w:rFonts w:ascii="仿宋_GB2312" w:hAnsi="仿宋_GB2312" w:cs="仿宋_GB2312" w:eastAsia="仿宋_GB2312"/>
                      <w:sz w:val="19"/>
                    </w:rPr>
                    <w:t>导师</w:t>
                  </w:r>
                  <w:r>
                    <w:rPr>
                      <w:rFonts w:ascii="仿宋_GB2312" w:hAnsi="仿宋_GB2312" w:cs="仿宋_GB2312" w:eastAsia="仿宋_GB2312"/>
                      <w:sz w:val="19"/>
                    </w:rPr>
                    <w:t>:1人</w:t>
                  </w:r>
                </w:p>
                <w:p>
                  <w:pPr>
                    <w:pStyle w:val="null3"/>
                    <w:jc w:val="both"/>
                  </w:pPr>
                  <w:r>
                    <w:rPr>
                      <w:rFonts w:ascii="仿宋_GB2312" w:hAnsi="仿宋_GB2312" w:cs="仿宋_GB2312" w:eastAsia="仿宋_GB2312"/>
                      <w:sz w:val="19"/>
                    </w:rPr>
                    <w:t>参课人数</w:t>
                  </w:r>
                  <w:r>
                    <w:rPr>
                      <w:rFonts w:ascii="仿宋_GB2312" w:hAnsi="仿宋_GB2312" w:cs="仿宋_GB2312" w:eastAsia="仿宋_GB2312"/>
                      <w:sz w:val="19"/>
                    </w:rPr>
                    <w:t>:40+个项目</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闭营总结</w:t>
                  </w:r>
                  <w:r>
                    <w:rPr>
                      <w:rFonts w:ascii="仿宋_GB2312" w:hAnsi="仿宋_GB2312" w:cs="仿宋_GB2312" w:eastAsia="仿宋_GB2312"/>
                      <w:sz w:val="19"/>
                    </w:rPr>
                    <w:t>:2场会评+逐项分析</w:t>
                  </w:r>
                </w:p>
                <w:p>
                  <w:pPr>
                    <w:pStyle w:val="null3"/>
                    <w:jc w:val="both"/>
                  </w:pPr>
                  <w:r>
                    <w:rPr>
                      <w:rFonts w:ascii="仿宋_GB2312" w:hAnsi="仿宋_GB2312" w:cs="仿宋_GB2312" w:eastAsia="仿宋_GB2312"/>
                      <w:sz w:val="19"/>
                    </w:rPr>
                    <w:t>时长</w:t>
                  </w:r>
                  <w:r>
                    <w:rPr>
                      <w:rFonts w:ascii="仿宋_GB2312" w:hAnsi="仿宋_GB2312" w:cs="仿宋_GB2312" w:eastAsia="仿宋_GB2312"/>
                      <w:sz w:val="19"/>
                    </w:rPr>
                    <w:t>:100分钟</w:t>
                  </w:r>
                </w:p>
                <w:p>
                  <w:pPr>
                    <w:pStyle w:val="null3"/>
                    <w:jc w:val="both"/>
                  </w:pPr>
                  <w:r>
                    <w:rPr>
                      <w:rFonts w:ascii="仿宋_GB2312" w:hAnsi="仿宋_GB2312" w:cs="仿宋_GB2312" w:eastAsia="仿宋_GB2312"/>
                      <w:sz w:val="19"/>
                    </w:rPr>
                    <w:t>导师</w:t>
                  </w:r>
                  <w:r>
                    <w:rPr>
                      <w:rFonts w:ascii="仿宋_GB2312" w:hAnsi="仿宋_GB2312" w:cs="仿宋_GB2312" w:eastAsia="仿宋_GB2312"/>
                      <w:sz w:val="19"/>
                    </w:rPr>
                    <w:t>:1人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校级决赛</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对决赛项目进行项目排名，选出项目入围决赛。并对选出项目进行赛前答疑。校赛决赛，专家现场对项目进行打分评审打分决出校赛奖项</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赛前答疑</w:t>
                  </w:r>
                  <w:r>
                    <w:rPr>
                      <w:rFonts w:ascii="仿宋_GB2312" w:hAnsi="仿宋_GB2312" w:cs="仿宋_GB2312" w:eastAsia="仿宋_GB2312"/>
                      <w:sz w:val="19"/>
                    </w:rPr>
                    <w:t>:20分钟</w:t>
                  </w:r>
                </w:p>
                <w:p>
                  <w:pPr>
                    <w:pStyle w:val="null3"/>
                    <w:jc w:val="both"/>
                  </w:pPr>
                  <w:r>
                    <w:rPr>
                      <w:rFonts w:ascii="仿宋_GB2312" w:hAnsi="仿宋_GB2312" w:cs="仿宋_GB2312" w:eastAsia="仿宋_GB2312"/>
                      <w:sz w:val="19"/>
                    </w:rPr>
                    <w:t>现场评审</w:t>
                  </w:r>
                  <w:r>
                    <w:rPr>
                      <w:rFonts w:ascii="仿宋_GB2312" w:hAnsi="仿宋_GB2312" w:cs="仿宋_GB2312" w:eastAsia="仿宋_GB2312"/>
                      <w:sz w:val="19"/>
                    </w:rPr>
                    <w:t>:1天</w:t>
                  </w:r>
                </w:p>
                <w:p>
                  <w:pPr>
                    <w:pStyle w:val="null3"/>
                    <w:jc w:val="both"/>
                  </w:pPr>
                  <w:r>
                    <w:rPr>
                      <w:rFonts w:ascii="仿宋_GB2312" w:hAnsi="仿宋_GB2312" w:cs="仿宋_GB2312" w:eastAsia="仿宋_GB2312"/>
                      <w:sz w:val="19"/>
                    </w:rPr>
                    <w:t>导师数</w:t>
                  </w:r>
                  <w:r>
                    <w:rPr>
                      <w:rFonts w:ascii="仿宋_GB2312" w:hAnsi="仿宋_GB2312" w:cs="仿宋_GB2312" w:eastAsia="仿宋_GB2312"/>
                      <w:sz w:val="19"/>
                    </w:rPr>
                    <w:t>:5人</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备赛</w:t>
                  </w:r>
                  <w:r>
                    <w:rPr>
                      <w:rFonts w:ascii="仿宋_GB2312" w:hAnsi="仿宋_GB2312" w:cs="仿宋_GB2312" w:eastAsia="仿宋_GB2312"/>
                      <w:sz w:val="19"/>
                    </w:rPr>
                    <w:t>训练营</w:t>
                  </w:r>
                </w:p>
              </w:tc>
              <w:tc>
                <w:tcPr>
                  <w:tcW w:type="dxa" w:w="1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辅</w:t>
                  </w:r>
                  <w:r>
                    <w:rPr>
                      <w:rFonts w:ascii="仿宋_GB2312" w:hAnsi="仿宋_GB2312" w:cs="仿宋_GB2312" w:eastAsia="仿宋_GB2312"/>
                      <w:sz w:val="19"/>
                    </w:rPr>
                    <w:t>助参赛项目团队商业模式打磨优化，与校内项目导师和创业项目团队一起研讨</w:t>
                  </w:r>
                  <w:r>
                    <w:rPr>
                      <w:rFonts w:ascii="仿宋_GB2312" w:hAnsi="仿宋_GB2312" w:cs="仿宋_GB2312" w:eastAsia="仿宋_GB2312"/>
                      <w:sz w:val="19"/>
                    </w:rPr>
                    <w:t>BP需呈现的重要信息及部分详细资料</w:t>
                  </w:r>
                </w:p>
                <w:p>
                  <w:pPr>
                    <w:pStyle w:val="null3"/>
                    <w:jc w:val="both"/>
                  </w:pPr>
                  <w:r>
                    <w:rPr>
                      <w:rFonts w:ascii="仿宋_GB2312" w:hAnsi="仿宋_GB2312" w:cs="仿宋_GB2312" w:eastAsia="仿宋_GB2312"/>
                      <w:sz w:val="19"/>
                    </w:rPr>
                    <w:t>“Major+”是指1名导师在约定时间内针对一所院校的项目需求定制辅导:</w:t>
                  </w:r>
                </w:p>
                <w:p>
                  <w:pPr>
                    <w:pStyle w:val="null3"/>
                    <w:jc w:val="both"/>
                  </w:pPr>
                  <w:r>
                    <w:rPr>
                      <w:rFonts w:ascii="仿宋_GB2312" w:hAnsi="仿宋_GB2312" w:cs="仿宋_GB2312" w:eastAsia="仿宋_GB2312"/>
                      <w:sz w:val="19"/>
                    </w:rPr>
                    <w:t>“Major</w:t>
                  </w:r>
                  <w:r>
                    <w:rPr>
                      <w:rFonts w:ascii="仿宋_GB2312" w:hAnsi="仿宋_GB2312" w:cs="仿宋_GB2312" w:eastAsia="仿宋_GB2312"/>
                      <w:sz w:val="19"/>
                    </w:rPr>
                    <w:t>1</w:t>
                  </w:r>
                  <w:r>
                    <w:rPr>
                      <w:rFonts w:ascii="仿宋_GB2312" w:hAnsi="仿宋_GB2312" w:cs="仿宋_GB2312" w:eastAsia="仿宋_GB2312"/>
                      <w:sz w:val="19"/>
                    </w:rPr>
                    <w:t>:1”(专项1对1专业辅导)1名导师在约定时间内仅针对某个项目的需求定制辅导。包含PPT设计、演讲技巧、答辩策略。</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Major+</w:t>
                  </w:r>
                </w:p>
                <w:p>
                  <w:pPr>
                    <w:pStyle w:val="null3"/>
                    <w:jc w:val="both"/>
                  </w:pPr>
                  <w:r>
                    <w:rPr>
                      <w:rFonts w:ascii="仿宋_GB2312" w:hAnsi="仿宋_GB2312" w:cs="仿宋_GB2312" w:eastAsia="仿宋_GB2312"/>
                      <w:sz w:val="19"/>
                    </w:rPr>
                    <w:t>项目数</w:t>
                  </w:r>
                  <w:r>
                    <w:rPr>
                      <w:rFonts w:ascii="仿宋_GB2312" w:hAnsi="仿宋_GB2312" w:cs="仿宋_GB2312" w:eastAsia="仿宋_GB2312"/>
                      <w:sz w:val="19"/>
                    </w:rPr>
                    <w:t>:50+项</w:t>
                  </w:r>
                </w:p>
                <w:p>
                  <w:pPr>
                    <w:pStyle w:val="null3"/>
                    <w:jc w:val="both"/>
                  </w:pPr>
                  <w:r>
                    <w:rPr>
                      <w:rFonts w:ascii="仿宋_GB2312" w:hAnsi="仿宋_GB2312" w:cs="仿宋_GB2312" w:eastAsia="仿宋_GB2312"/>
                      <w:sz w:val="19"/>
                    </w:rPr>
                    <w:t>导师数</w:t>
                  </w:r>
                  <w:r>
                    <w:rPr>
                      <w:rFonts w:ascii="仿宋_GB2312" w:hAnsi="仿宋_GB2312" w:cs="仿宋_GB2312" w:eastAsia="仿宋_GB2312"/>
                      <w:sz w:val="19"/>
                    </w:rPr>
                    <w:t>:5人</w:t>
                  </w:r>
                </w:p>
                <w:p>
                  <w:pPr>
                    <w:pStyle w:val="null3"/>
                    <w:jc w:val="both"/>
                  </w:pPr>
                  <w:r>
                    <w:rPr>
                      <w:rFonts w:ascii="仿宋_GB2312" w:hAnsi="仿宋_GB2312" w:cs="仿宋_GB2312" w:eastAsia="仿宋_GB2312"/>
                      <w:sz w:val="19"/>
                    </w:rPr>
                    <w:t>现场服务</w:t>
                  </w:r>
                  <w:r>
                    <w:rPr>
                      <w:rFonts w:ascii="仿宋_GB2312" w:hAnsi="仿宋_GB2312" w:cs="仿宋_GB2312" w:eastAsia="仿宋_GB2312"/>
                      <w:sz w:val="19"/>
                    </w:rPr>
                    <w:t>:1次</w:t>
                  </w:r>
                </w:p>
                <w:p>
                  <w:pPr>
                    <w:pStyle w:val="null3"/>
                    <w:jc w:val="both"/>
                  </w:pPr>
                  <w:r>
                    <w:rPr>
                      <w:rFonts w:ascii="仿宋_GB2312" w:hAnsi="仿宋_GB2312" w:cs="仿宋_GB2312" w:eastAsia="仿宋_GB2312"/>
                      <w:sz w:val="19"/>
                    </w:rPr>
                    <w:t>辅导标准</w:t>
                  </w:r>
                  <w:r>
                    <w:rPr>
                      <w:rFonts w:ascii="仿宋_GB2312" w:hAnsi="仿宋_GB2312" w:cs="仿宋_GB2312" w:eastAsia="仿宋_GB2312"/>
                      <w:sz w:val="19"/>
                    </w:rPr>
                    <w:t>:3.5时/次/周</w:t>
                  </w:r>
                </w:p>
              </w:tc>
            </w:tr>
            <w:tr>
              <w:tc>
                <w:tcPr>
                  <w:tcW w:type="dxa" w:w="51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Major</w:t>
                  </w:r>
                  <w:r>
                    <w:rPr>
                      <w:rFonts w:ascii="仿宋_GB2312" w:hAnsi="仿宋_GB2312" w:cs="仿宋_GB2312" w:eastAsia="仿宋_GB2312"/>
                      <w:sz w:val="19"/>
                    </w:rPr>
                    <w:t>1</w:t>
                  </w:r>
                  <w:r>
                    <w:rPr>
                      <w:rFonts w:ascii="仿宋_GB2312" w:hAnsi="仿宋_GB2312" w:cs="仿宋_GB2312" w:eastAsia="仿宋_GB2312"/>
                      <w:sz w:val="19"/>
                    </w:rPr>
                    <w:t>:1</w:t>
                  </w:r>
                </w:p>
                <w:p>
                  <w:pPr>
                    <w:pStyle w:val="null3"/>
                    <w:jc w:val="both"/>
                  </w:pPr>
                  <w:r>
                    <w:rPr>
                      <w:rFonts w:ascii="仿宋_GB2312" w:hAnsi="仿宋_GB2312" w:cs="仿宋_GB2312" w:eastAsia="仿宋_GB2312"/>
                      <w:sz w:val="19"/>
                    </w:rPr>
                    <w:t>项目数</w:t>
                  </w:r>
                  <w:r>
                    <w:rPr>
                      <w:rFonts w:ascii="仿宋_GB2312" w:hAnsi="仿宋_GB2312" w:cs="仿宋_GB2312" w:eastAsia="仿宋_GB2312"/>
                      <w:sz w:val="19"/>
                    </w:rPr>
                    <w:t>:20+项</w:t>
                  </w:r>
                </w:p>
                <w:p>
                  <w:pPr>
                    <w:pStyle w:val="null3"/>
                    <w:jc w:val="both"/>
                  </w:pPr>
                  <w:r>
                    <w:rPr>
                      <w:rFonts w:ascii="仿宋_GB2312" w:hAnsi="仿宋_GB2312" w:cs="仿宋_GB2312" w:eastAsia="仿宋_GB2312"/>
                      <w:sz w:val="19"/>
                    </w:rPr>
                    <w:t>导师数</w:t>
                  </w:r>
                  <w:r>
                    <w:rPr>
                      <w:rFonts w:ascii="仿宋_GB2312" w:hAnsi="仿宋_GB2312" w:cs="仿宋_GB2312" w:eastAsia="仿宋_GB2312"/>
                      <w:sz w:val="19"/>
                    </w:rPr>
                    <w:t>:2人</w:t>
                  </w:r>
                </w:p>
                <w:p>
                  <w:pPr>
                    <w:pStyle w:val="null3"/>
                    <w:jc w:val="both"/>
                  </w:pPr>
                  <w:r>
                    <w:rPr>
                      <w:rFonts w:ascii="仿宋_GB2312" w:hAnsi="仿宋_GB2312" w:cs="仿宋_GB2312" w:eastAsia="仿宋_GB2312"/>
                      <w:sz w:val="19"/>
                    </w:rPr>
                    <w:t>现场服务</w:t>
                  </w:r>
                  <w:r>
                    <w:rPr>
                      <w:rFonts w:ascii="仿宋_GB2312" w:hAnsi="仿宋_GB2312" w:cs="仿宋_GB2312" w:eastAsia="仿宋_GB2312"/>
                      <w:sz w:val="19"/>
                    </w:rPr>
                    <w:t>:4次</w:t>
                  </w:r>
                </w:p>
                <w:p>
                  <w:pPr>
                    <w:pStyle w:val="null3"/>
                    <w:jc w:val="both"/>
                  </w:pPr>
                  <w:r>
                    <w:rPr>
                      <w:rFonts w:ascii="仿宋_GB2312" w:hAnsi="仿宋_GB2312" w:cs="仿宋_GB2312" w:eastAsia="仿宋_GB2312"/>
                      <w:sz w:val="19"/>
                    </w:rPr>
                    <w:t>辅导标准</w:t>
                  </w:r>
                  <w:r>
                    <w:rPr>
                      <w:rFonts w:ascii="仿宋_GB2312" w:hAnsi="仿宋_GB2312" w:cs="仿宋_GB2312" w:eastAsia="仿宋_GB2312"/>
                      <w:sz w:val="19"/>
                    </w:rPr>
                    <w:t>:3.5时/次/周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备赛服务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对备战省、国赛的优质项目以省赛</w:t>
                  </w:r>
                  <w:r>
                    <w:rPr>
                      <w:rFonts w:ascii="仿宋_GB2312" w:hAnsi="仿宋_GB2312" w:cs="仿宋_GB2312" w:eastAsia="仿宋_GB2312"/>
                      <w:sz w:val="19"/>
                    </w:rPr>
                    <w:t>/国赛指标导师1vl辅导</w:t>
                  </w:r>
                  <w:r>
                    <w:rPr>
                      <w:rFonts w:ascii="仿宋_GB2312" w:hAnsi="仿宋_GB2312" w:cs="仿宋_GB2312" w:eastAsia="仿宋_GB2312"/>
                      <w:sz w:val="19"/>
                    </w:rPr>
                    <w:t>；</w:t>
                  </w:r>
                  <w:r>
                    <w:rPr>
                      <w:rFonts w:ascii="仿宋_GB2312" w:hAnsi="仿宋_GB2312" w:cs="仿宋_GB2312" w:eastAsia="仿宋_GB2312"/>
                      <w:sz w:val="19"/>
                    </w:rPr>
                    <w:t>匹配行业导师进行深度项目诊断，同时对网评递交的三个文件</w:t>
                  </w:r>
                  <w:r>
                    <w:rPr>
                      <w:rFonts w:ascii="仿宋_GB2312" w:hAnsi="仿宋_GB2312" w:cs="仿宋_GB2312" w:eastAsia="仿宋_GB2312"/>
                      <w:sz w:val="19"/>
                    </w:rPr>
                    <w:t>(BP Word版、BP PPT版、BP</w:t>
                  </w:r>
                  <w:r>
                    <w:rPr>
                      <w:rFonts w:ascii="仿宋_GB2312" w:hAnsi="仿宋_GB2312" w:cs="仿宋_GB2312" w:eastAsia="仿宋_GB2312"/>
                      <w:sz w:val="19"/>
                    </w:rPr>
                    <w:t xml:space="preserve"> </w:t>
                  </w:r>
                  <w:r>
                    <w:rPr>
                      <w:rFonts w:ascii="仿宋_GB2312" w:hAnsi="仿宋_GB2312" w:cs="仿宋_GB2312" w:eastAsia="仿宋_GB2312"/>
                      <w:sz w:val="19"/>
                    </w:rPr>
                    <w:t>VCR)进行指</w:t>
                  </w:r>
                  <w:r>
                    <w:rPr>
                      <w:rFonts w:ascii="仿宋_GB2312" w:hAnsi="仿宋_GB2312" w:cs="仿宋_GB2312" w:eastAsia="仿宋_GB2312"/>
                      <w:sz w:val="19"/>
                    </w:rPr>
                    <w:t>导</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时长</w:t>
                  </w:r>
                  <w:r>
                    <w:rPr>
                      <w:rFonts w:ascii="仿宋_GB2312" w:hAnsi="仿宋_GB2312" w:cs="仿宋_GB2312" w:eastAsia="仿宋_GB2312"/>
                      <w:sz w:val="19"/>
                    </w:rPr>
                    <w:t>:5天</w:t>
                  </w:r>
                </w:p>
                <w:p>
                  <w:pPr>
                    <w:pStyle w:val="null3"/>
                    <w:jc w:val="both"/>
                  </w:pPr>
                  <w:r>
                    <w:rPr>
                      <w:rFonts w:ascii="仿宋_GB2312" w:hAnsi="仿宋_GB2312" w:cs="仿宋_GB2312" w:eastAsia="仿宋_GB2312"/>
                      <w:sz w:val="19"/>
                    </w:rPr>
                    <w:t>形式</w:t>
                  </w:r>
                  <w:r>
                    <w:rPr>
                      <w:rFonts w:ascii="仿宋_GB2312" w:hAnsi="仿宋_GB2312" w:cs="仿宋_GB2312" w:eastAsia="仿宋_GB2312"/>
                      <w:sz w:val="19"/>
                    </w:rPr>
                    <w:t>:线上/线下</w:t>
                  </w:r>
                </w:p>
                <w:p>
                  <w:pPr>
                    <w:pStyle w:val="null3"/>
                    <w:jc w:val="both"/>
                  </w:pPr>
                  <w:r>
                    <w:rPr>
                      <w:rFonts w:ascii="仿宋_GB2312" w:hAnsi="仿宋_GB2312" w:cs="仿宋_GB2312" w:eastAsia="仿宋_GB2312"/>
                      <w:sz w:val="19"/>
                    </w:rPr>
                    <w:t>导师</w:t>
                  </w:r>
                  <w:r>
                    <w:rPr>
                      <w:rFonts w:ascii="仿宋_GB2312" w:hAnsi="仿宋_GB2312" w:cs="仿宋_GB2312" w:eastAsia="仿宋_GB2312"/>
                      <w:sz w:val="19"/>
                    </w:rPr>
                    <w:t>:2-4人/场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赛事复盘会</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总结当年度大学生创新创业大赛项目特色亮点典型经验，客观分析以创新创业赛事为突破口服务高效专创融合的价值和意义，聚焦创新。创业赛事基于下的课程体系、培养机制、教法创新、实践训练、教师队伍等重点领域和关节环节改革。</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时长</w:t>
                  </w:r>
                  <w:r>
                    <w:rPr>
                      <w:rFonts w:ascii="仿宋_GB2312" w:hAnsi="仿宋_GB2312" w:cs="仿宋_GB2312" w:eastAsia="仿宋_GB2312"/>
                      <w:sz w:val="19"/>
                    </w:rPr>
                    <w:t>:1天</w:t>
                  </w:r>
                </w:p>
                <w:p>
                  <w:pPr>
                    <w:pStyle w:val="null3"/>
                    <w:jc w:val="both"/>
                  </w:pPr>
                  <w:r>
                    <w:rPr>
                      <w:rFonts w:ascii="仿宋_GB2312" w:hAnsi="仿宋_GB2312" w:cs="仿宋_GB2312" w:eastAsia="仿宋_GB2312"/>
                      <w:sz w:val="19"/>
                    </w:rPr>
                    <w:t>地点</w:t>
                  </w:r>
                  <w:r>
                    <w:rPr>
                      <w:rFonts w:ascii="仿宋_GB2312" w:hAnsi="仿宋_GB2312" w:cs="仿宋_GB2312" w:eastAsia="仿宋_GB2312"/>
                      <w:sz w:val="19"/>
                    </w:rPr>
                    <w:t>:校外</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校赛阶段为学校提供专家支持，对参赛选手、指导教师、参赛项目进行辅导培训</w:t>
            </w:r>
            <w:r>
              <w:rPr>
                <w:rFonts w:ascii="仿宋_GB2312" w:hAnsi="仿宋_GB2312" w:cs="仿宋_GB2312" w:eastAsia="仿宋_GB2312"/>
              </w:rPr>
              <w:t>:</w:t>
            </w:r>
          </w:p>
          <w:p>
            <w:pPr>
              <w:pStyle w:val="null3"/>
            </w:pPr>
            <w:r>
              <w:rPr>
                <w:rFonts w:ascii="仿宋_GB2312" w:hAnsi="仿宋_GB2312" w:cs="仿宋_GB2312" w:eastAsia="仿宋_GB2312"/>
              </w:rPr>
              <w:t>校赛决赛阶段为学校提供专家支持，遴选出参加省赛作品，对遴选作品进行全方位的辅导</w:t>
            </w:r>
            <w:r>
              <w:rPr>
                <w:rFonts w:ascii="仿宋_GB2312" w:hAnsi="仿宋_GB2312" w:cs="仿宋_GB2312" w:eastAsia="仿宋_GB2312"/>
              </w:rPr>
              <w:t>;</w:t>
            </w:r>
          </w:p>
          <w:p>
            <w:pPr>
              <w:pStyle w:val="null3"/>
            </w:pPr>
            <w:r>
              <w:rPr>
                <w:rFonts w:ascii="仿宋_GB2312" w:hAnsi="仿宋_GB2312" w:cs="仿宋_GB2312" w:eastAsia="仿宋_GB2312"/>
              </w:rPr>
              <w:t>立项训练营，针对优秀项目组织不少于</w:t>
            </w:r>
            <w:r>
              <w:rPr>
                <w:rFonts w:ascii="仿宋_GB2312" w:hAnsi="仿宋_GB2312" w:cs="仿宋_GB2312" w:eastAsia="仿宋_GB2312"/>
              </w:rPr>
              <w:t>5名省内外国省赛级专家进行项目打磨、项目包装;</w:t>
            </w:r>
          </w:p>
          <w:p>
            <w:pPr>
              <w:pStyle w:val="null3"/>
            </w:pPr>
            <w:r>
              <w:rPr>
                <w:rFonts w:ascii="仿宋_GB2312" w:hAnsi="仿宋_GB2312" w:cs="仿宋_GB2312" w:eastAsia="仿宋_GB2312"/>
              </w:rPr>
              <w:t>备赛训练营，针对优秀项目组织不少于</w:t>
            </w:r>
            <w:r>
              <w:rPr>
                <w:rFonts w:ascii="仿宋_GB2312" w:hAnsi="仿宋_GB2312" w:cs="仿宋_GB2312" w:eastAsia="仿宋_GB2312"/>
              </w:rPr>
              <w:t>5名省内外国赛级专家进行项目打磨、项目包装;</w:t>
            </w:r>
          </w:p>
          <w:p>
            <w:pPr>
              <w:pStyle w:val="null3"/>
            </w:pPr>
            <w:r>
              <w:rPr>
                <w:rFonts w:ascii="仿宋_GB2312" w:hAnsi="仿宋_GB2312" w:cs="仿宋_GB2312" w:eastAsia="仿宋_GB2312"/>
              </w:rPr>
              <w:t>竞赛结束后，对整个过程进行复盘、总结。</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在</w:t>
            </w:r>
            <w:r>
              <w:rPr>
                <w:rFonts w:ascii="仿宋_GB2312" w:hAnsi="仿宋_GB2312" w:cs="仿宋_GB2312" w:eastAsia="仿宋_GB2312"/>
              </w:rPr>
              <w:t>2026年中国国际大学生创新创业大赛中取得优异成绩，其中，省级比赛一等奖获奖不少于6项，国赛奖项不少于3项。</w:t>
            </w:r>
          </w:p>
          <w:p>
            <w:pPr>
              <w:pStyle w:val="null3"/>
            </w:pPr>
            <w:r>
              <w:rPr>
                <w:rFonts w:ascii="仿宋_GB2312" w:hAnsi="仿宋_GB2312" w:cs="仿宋_GB2312" w:eastAsia="仿宋_GB2312"/>
              </w:rPr>
              <w:t>(三)质量验收标准</w:t>
            </w:r>
          </w:p>
          <w:p>
            <w:pPr>
              <w:pStyle w:val="null3"/>
            </w:pPr>
            <w:r>
              <w:rPr>
                <w:rFonts w:ascii="仿宋_GB2312" w:hAnsi="仿宋_GB2312" w:cs="仿宋_GB2312" w:eastAsia="仿宋_GB2312"/>
              </w:rPr>
              <w:t>1.服务过程验收:供应商需按照本需求书约定的服务内容、参数、时间节点开展各项服务，每次服务需形成完整的服务记录(含签到表、培训课件、辅导记录、评审打分表等)，提交采购人审核，审核通过即为过程验收合格;未按要求开展服务或服务记录不完整的，采购人有权要求供应商限期整改，整改后仍不合格的，视为该阶段服务验收不通过。</w:t>
            </w:r>
          </w:p>
          <w:p>
            <w:pPr>
              <w:pStyle w:val="null3"/>
            </w:pPr>
            <w:r>
              <w:rPr>
                <w:rFonts w:ascii="仿宋_GB2312" w:hAnsi="仿宋_GB2312" w:cs="仿宋_GB2312" w:eastAsia="仿宋_GB2312"/>
              </w:rPr>
              <w:t>2.资源库服务验收:创新创业资源库需在合同签订后60个工作日内完成部署并向采购人开放使用，资源内容需符合需求书约定，更新及时、可访问性达100%，采购人在试用30个工作日内完成验收，试用期间出现资源缺失、无法访问等问题的，供应商需立即整改。</w:t>
            </w:r>
          </w:p>
          <w:p>
            <w:pPr>
              <w:pStyle w:val="null3"/>
            </w:pPr>
            <w:r>
              <w:rPr>
                <w:rFonts w:ascii="仿宋_GB2312" w:hAnsi="仿宋_GB2312" w:cs="仿宋_GB2312" w:eastAsia="仿宋_GB2312"/>
              </w:rPr>
              <w:t>3.培训与训练营验收:各类培训、训练营需按约定的导师资质、时长、参课人数开展，课后需收集师生满意度评价，满意度达85%及以上即为验收合格;满意度低于85%的，供应商需重新开展相关服务。</w:t>
            </w:r>
          </w:p>
          <w:p>
            <w:pPr>
              <w:pStyle w:val="null3"/>
            </w:pPr>
            <w:r>
              <w:rPr>
                <w:rFonts w:ascii="仿宋_GB2312" w:hAnsi="仿宋_GB2312" w:cs="仿宋_GB2312" w:eastAsia="仿宋_GB2312"/>
              </w:rPr>
              <w:t>4.赛事成果验收:以2026年中国国际大学生创新创业大赛官方公布的获奖结果为依据，达到省级一等奖不少于6项、国赛奖项不少于3项的成果要求，即为赛事成果验收合格;未达到约定成果的，按违约责任相关条款处理。</w:t>
            </w:r>
          </w:p>
          <w:p>
            <w:pPr>
              <w:pStyle w:val="null3"/>
            </w:pPr>
            <w:r>
              <w:rPr>
                <w:rFonts w:ascii="仿宋_GB2312" w:hAnsi="仿宋_GB2312" w:cs="仿宋_GB2312" w:eastAsia="仿宋_GB2312"/>
                <w:sz w:val="21"/>
              </w:rPr>
              <w:t>5. 整体验收:大赛全部赛程结束后，供应商需在30个工作日内提交本次大赛服务的全套资料(含服务记录、复盘报告、成果证明等)，采购人在收到资料后15个工作日内完成整体验收，所有阶段服务验收合格、资料完整且达到成果要求的，即为整体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合同签订之日起至2026年中国国际大学生创新创业大赛结束。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进度款，省赛结束后，达到付款条件起10个工作日内，支付合同总金额的60.0%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（1）款项结算：分批支付，分两次付清。合同签订后，达到付款条件起 10 个工作日内，支付合同总金额的 40.00%。省赛结束后，达到付款条件起 10 个工作日内，支付合同总金额的 60.00%。 注：结算方式，以此处为准 (2)违约责任 1. 供应商逾期服务的责任:供应商未按本需求书及合同约定的时间节点开展服务、交付成果的。每逾期1天，按合同总金额的0.5%向采购人支付违约金;逾期超过15天的，采购人有权单方解除合同，供应商除支付违约金外，还需退还采购人已支付的全部款项，并赔偿采购人因此造成的损失。 2.供应商服务质量不合格的责任:供应商服务过程验收、资源库服务验收、培训与训练营验收不合格，且未按要求整改或整改后仍不合格的，采购人有权扣除对应阶段的服务费用;整体验收不合格的，供应商需退还采购人已支付的全部款项，并按合同总金额的20%向采购人支付违约金。 3. 供应商未达到赛事成果要求的责任:供应商未实现省级一等奖不少于6项、国赛奖项不少于3项的成果要求，按未完成成果比例扣除相应的尾款;若未获得任何国赛奖项或省级一等奖不足3项的，供应商需按合同总金额的30%向采购人支付违约金，且采购人有权扣除全部尾款。 4.供应商擅自变更服务内容的责任:供应商未经采购人书面同意，擅自变更导师资质、减少服务时长、降低服务标准的，采购人有权要求供应商限期恢复并按合同总金额的10%支付违约金;造成赛事成果受损的，供应商还需承担相应的损失赔偿责任。 5.采购人的违约责任:采购人未按合同约定的时间节点支付款项的，每逾期1天，按逾期支付金额的0.5%向供应商支付违约金;因采购人原因导致供应商无法正常开展服务的，采购人需承担相应的责任，且服务期限相应顺延。 6.违约金累计上限:本合同项下供应商支付的违约金累计不超过合同总金额的50%，违约金不足以弥补采购人损失的，供应商还需赔偿超出部分的损失。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评审得分相同的，按照最后报价由低到高的顺序推荐。评审得分且最后报价相同的，按照服务方案及内容优劣顺序推荐。评审得分且最后报价且服务方案及内容得分均相同的，成交候选供应商并列。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对项目背景理解</w:t>
            </w:r>
          </w:p>
        </w:tc>
        <w:tc>
          <w:tcPr>
            <w:tcW w:type="dxa" w:w="2492"/>
          </w:tcPr>
          <w:p>
            <w:pPr>
              <w:pStyle w:val="null3"/>
            </w:pPr>
            <w:r>
              <w:rPr>
                <w:rFonts w:ascii="仿宋_GB2312" w:hAnsi="仿宋_GB2312" w:cs="仿宋_GB2312" w:eastAsia="仿宋_GB2312"/>
              </w:rPr>
              <w:t>根据供应商对项目的大赛背景、项目需求、大赛目标等进行理 解及分析描述： 1、供应商需对项目的背景具有深刻的理解，对项目服务目标和服务内容进行完整、合理的阐述得10分； 2、供应商对项目背景的理解基本准确到位，满足采购人基本服务要求得8分； 3、供应商对于本项目的背景理解较差，不能完全满足采购人实际需求得6分。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服务内容及服务要求响应</w:t>
            </w:r>
          </w:p>
        </w:tc>
        <w:tc>
          <w:tcPr>
            <w:tcW w:type="dxa" w:w="2492"/>
          </w:tcPr>
          <w:p>
            <w:pPr>
              <w:pStyle w:val="null3"/>
            </w:pPr>
            <w:r>
              <w:rPr>
                <w:rFonts w:ascii="仿宋_GB2312" w:hAnsi="仿宋_GB2312" w:cs="仿宋_GB2312" w:eastAsia="仿宋_GB2312"/>
              </w:rPr>
              <w:t>针对“3.2.2中第三条 服务要求（平台与课程模块）”中的八项内容（1.创新创业资源库；2.学生培训；3.教师培训；4.立项训练营；5.校级决赛；6.备赛训练营；7.备赛服务；8.赛事复盘会）进行响应，完全满足得16分，任一项有负偏离或内容缺失每项扣2分（八大项内容中任一子项有负偏离或内容缺失，视为本大项有负偏离或内容缺失）。</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服务方案及内容</w:t>
            </w:r>
          </w:p>
        </w:tc>
        <w:tc>
          <w:tcPr>
            <w:tcW w:type="dxa" w:w="2492"/>
          </w:tcPr>
          <w:p>
            <w:pPr>
              <w:pStyle w:val="null3"/>
            </w:pPr>
            <w:r>
              <w:rPr>
                <w:rFonts w:ascii="仿宋_GB2312" w:hAnsi="仿宋_GB2312" w:cs="仿宋_GB2312" w:eastAsia="仿宋_GB2312"/>
              </w:rPr>
              <w:t>供应商需提供整体详细、合理、可行的服务方案，包括但不限于项目（1.创新创业资源库；2.学生培训；3.教师培训；4.立项训练营；5.校级决赛；6.备赛训练营；7.备赛服务；8.赛事复盘会等）：1、供应商针对磋商文件技术服务要求提供针对性强且完善的项目实施方案，服务计划书详细、合理、全面，服务方案达到或优于磋商文件标准得10分； 2、供应商针对磋商文件技术服务要求提供项目实施方案，方案基本合理，服务方案符合采购人基本要求得8分； 3、供应商所提供的项目实施方案有缺陷或不尽合理，前后矛盾，服务质量未能达到采购人实际需求得6分。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1.供应商结合本项目要求，配备相关服务团队人员数量及经验，满足磋商文件要求且服务好、专业能力强的服务团队得10分； 2.供应商所配备相关服务团队人员数量及经验基本满足本项目服务需求，相关人员素质较为一般得8分； 3.供应商所配备相关人员素质较差，不能完全满足本项目实际需求，投入人员团队经验不够丰富,数量不足，可能在服务期内出现响应不及时、工作不到位的情况得6分。 注：以上内容需提供术人员的简历、学历证书等证明材料。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对比供应商对本项目提供的保障措施方案（质量保障措施、进度保障措施、应急保障措施），对本项保障措施的合理性、全面性、可行性、针对性进行打分： 1.内容完整详细，能充分结合采购人需求现状，完全满足本项目要求得10分； 2.内容较完整，部分内容结合采购人需求现状，基本满足本项目要求得8分； 3.内容不完整，未能充分结合采购人需求现状，无法满足本项目要求得6分；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针对本项目采购需求及项目实际情况，能够提出有价值的合理化建议，且具体切实可行，有利于提升本项目整体服务质量。 1.建议合理、切实可行，内容详尽、全面，得10分； 2.建议较合理、可行，内容较详尽、全面，得8分； 3.建议基本合理、可行，内容基本详尽、全面，得6分。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项目重点难点分析及解决方案：本项目实施面临的重点、难点进行分析及 对本项目重点、难点的解决方案。 1.方案内容详尽全面，具体内容合 理得当得5分； 2.方案不充分，具体内容有欠妥当得3分。未提供本项内容计0分。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针对本项目及采购人实际需求提供的服务承诺（包括但不限于出现问题有可行性方案、解决问题时限、针对本项目工作配合相关的承诺等)。 1.承诺内容详尽全面，具体内容合 理得当得10分； 2.承诺比较全面，具体内容比较合理得8分； 3.承诺不充分，具体内容有欠妥当得6分。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2023年1月1日起至今，磋商响应人承接类似服务项目的业绩(业绩以合同或中标（成交）通知书扫描件为依据，以签订或落款时间为准)，每提供一份有效业绩得3分，最多得9分。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 本项目专门面向中小企业采购，故不再进行价格优惠扣除。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