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版本号：DS2026-CS-02920260608002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太要中心敬老院消防配套工程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DS2026-CS-029</w:t>
      </w:r>
      <w:r>
        <w:br/>
      </w:r>
      <w:r>
        <w:br/>
      </w:r>
      <w:r>
        <w:br/>
      </w:r>
    </w:p>
    <w:p>
      <w:pPr>
        <w:pStyle w:val="null3"/>
        <w:jc w:val="center"/>
        <w:outlineLvl w:val="2"/>
      </w:pPr>
      <w:r>
        <w:rPr>
          <w:rFonts w:ascii="仿宋_GB2312" w:hAnsi="仿宋_GB2312" w:cs="仿宋_GB2312" w:eastAsia="仿宋_GB2312"/>
          <w:sz w:val="28"/>
          <w:b/>
        </w:rPr>
        <w:t>潼关县太要镇政府办</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潼关县太要镇政府办</w:t>
      </w:r>
      <w:r>
        <w:rPr>
          <w:rFonts w:ascii="仿宋_GB2312" w:hAnsi="仿宋_GB2312" w:cs="仿宋_GB2312" w:eastAsia="仿宋_GB2312"/>
        </w:rPr>
        <w:t>委托，拟对</w:t>
      </w:r>
      <w:r>
        <w:rPr>
          <w:rFonts w:ascii="仿宋_GB2312" w:hAnsi="仿宋_GB2312" w:cs="仿宋_GB2312" w:eastAsia="仿宋_GB2312"/>
        </w:rPr>
        <w:t>太要中心敬老院消防配套工程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DS2026-CS-029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太要中心敬老院消防配套工程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太要中⼼敬⽼院消防配套⼯程，建设内容包含：消防⽔池、成品泵房及装饰⼯程等；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采购包1（太要中心敬老院消防配套工程）：属于专门面向中小企业采购。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2、企业资质：供应商须具有建筑工程施工总承包三级(含三级)以上资质，并具有有效的安全生产许可证；</w:t>
      </w:r>
    </w:p>
    <w:p>
      <w:pPr>
        <w:pStyle w:val="null3"/>
      </w:pPr>
      <w:r>
        <w:rPr>
          <w:rFonts w:ascii="仿宋_GB2312" w:hAnsi="仿宋_GB2312" w:cs="仿宋_GB2312" w:eastAsia="仿宋_GB2312"/>
        </w:rPr>
        <w:t>3、项目经理要求：拟派项目经理须具有建筑工程专业二级(含二级)以上注册建造师资格并具有有效的安全生产考核合格B证，且无在建工程（提供无在建项目承诺书）。</w:t>
      </w:r>
    </w:p>
    <w:p>
      <w:pPr>
        <w:pStyle w:val="null3"/>
      </w:pPr>
      <w:r>
        <w:rPr>
          <w:rFonts w:ascii="仿宋_GB2312" w:hAnsi="仿宋_GB2312" w:cs="仿宋_GB2312" w:eastAsia="仿宋_GB2312"/>
        </w:rPr>
        <w:t>4、信用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5、供应商基本信息要求：供应商基本信息及项目经理的基本信息应在“ 陕西省住房和城乡建设厅网 （http://js.shaanxi.gov.cn/）”可查询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潼关县太要镇政府办</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陕西省潼关县太要镇西街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汪文欣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15191390911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刘姣姣、秦刚、权玉洁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开户名称：陕西顶晟招标代理服务有限公司</w:t>
            </w:r>
          </w:p>
          <w:p>
            <w:pPr>
              <w:pStyle w:val="null3"/>
            </w:pPr>
            <w:r>
              <w:rPr>
                <w:rFonts w:ascii="仿宋_GB2312" w:hAnsi="仿宋_GB2312" w:cs="仿宋_GB2312" w:eastAsia="仿宋_GB2312"/>
              </w:rPr>
              <w:t>开户银行：兴业银行股份有限公司西安西长安街支行</w:t>
            </w:r>
          </w:p>
          <w:p>
            <w:pPr>
              <w:pStyle w:val="null3"/>
            </w:pPr>
            <w:r>
              <w:rPr>
                <w:rFonts w:ascii="仿宋_GB2312" w:hAnsi="仿宋_GB2312" w:cs="仿宋_GB2312" w:eastAsia="仿宋_GB2312"/>
              </w:rPr>
              <w:t>银行账号：456960100100164376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按工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潼关县太要镇政府办</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潼关县太要镇政府办</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潼关县太要镇政府办</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竣⼯后，供应商向采购⼈提交验收申请。2）采购⼈收到验收申请后组织验收，验收时供应商应⽆条件予以配合并提供及移交项⽬所需的全部资料；若供应商不配合或者未在规定⼯期内完⼯的，采购⼈将拒绝验收。3）验收依据：磋商⽂件、响应⽂件、合同⽂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地址：陕西省西安市雁塔区科技西路2825号绿地鸿海⼤厦7幢20704室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892,580.59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太要中心敬老院消防配套工程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标的名称：太要中心敬老院消防配套工程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一、项目基本情况</w:t>
            </w:r>
          </w:p>
          <w:p>
            <w:pPr>
              <w:pStyle w:val="null3"/>
            </w:pPr>
            <w:r>
              <w:rPr>
                <w:rFonts w:ascii="仿宋_GB2312" w:hAnsi="仿宋_GB2312" w:cs="仿宋_GB2312" w:eastAsia="仿宋_GB2312"/>
                <w:sz w:val="16"/>
              </w:rPr>
              <w:t>1.项目概况：</w:t>
            </w:r>
            <w:r>
              <w:rPr>
                <w:rFonts w:ascii="仿宋_GB2312" w:hAnsi="仿宋_GB2312" w:cs="仿宋_GB2312" w:eastAsia="仿宋_GB2312"/>
                <w:sz w:val="16"/>
              </w:rPr>
              <w:t>太要中心敬老院消防配套工程，建设内容包含：消防水池、成品泵房及装饰工程等；</w:t>
            </w:r>
          </w:p>
          <w:p>
            <w:pPr>
              <w:pStyle w:val="null3"/>
            </w:pPr>
            <w:r>
              <w:rPr>
                <w:rFonts w:ascii="仿宋_GB2312" w:hAnsi="仿宋_GB2312" w:cs="仿宋_GB2312" w:eastAsia="仿宋_GB2312"/>
                <w:sz w:val="16"/>
              </w:rPr>
              <w:t>2.施工地点：</w:t>
            </w:r>
            <w:r>
              <w:rPr>
                <w:rFonts w:ascii="仿宋_GB2312" w:hAnsi="仿宋_GB2312" w:cs="仿宋_GB2312" w:eastAsia="仿宋_GB2312"/>
                <w:sz w:val="16"/>
              </w:rPr>
              <w:t>陕西省渭南市潼关太要养老院内</w:t>
            </w:r>
            <w:r>
              <w:rPr>
                <w:rFonts w:ascii="仿宋_GB2312" w:hAnsi="仿宋_GB2312" w:cs="仿宋_GB2312" w:eastAsia="仿宋_GB2312"/>
                <w:sz w:val="16"/>
              </w:rPr>
              <w:t>；</w:t>
            </w:r>
          </w:p>
          <w:p>
            <w:pPr>
              <w:pStyle w:val="null3"/>
            </w:pPr>
            <w:r>
              <w:rPr>
                <w:rFonts w:ascii="仿宋_GB2312" w:hAnsi="仿宋_GB2312" w:cs="仿宋_GB2312" w:eastAsia="仿宋_GB2312"/>
                <w:sz w:val="16"/>
              </w:rPr>
              <w:t>3.计划工期：</w:t>
            </w:r>
            <w:r>
              <w:rPr>
                <w:rFonts w:ascii="仿宋_GB2312" w:hAnsi="仿宋_GB2312" w:cs="仿宋_GB2312" w:eastAsia="仿宋_GB2312"/>
                <w:sz w:val="16"/>
              </w:rPr>
              <w:t>60日历天</w:t>
            </w:r>
            <w:r>
              <w:rPr>
                <w:rFonts w:ascii="仿宋_GB2312" w:hAnsi="仿宋_GB2312" w:cs="仿宋_GB2312" w:eastAsia="仿宋_GB2312"/>
                <w:sz w:val="16"/>
              </w:rPr>
              <w:t>；</w:t>
            </w:r>
          </w:p>
          <w:p>
            <w:pPr>
              <w:pStyle w:val="null3"/>
            </w:pPr>
            <w:r>
              <w:rPr>
                <w:rFonts w:ascii="仿宋_GB2312" w:hAnsi="仿宋_GB2312" w:cs="仿宋_GB2312" w:eastAsia="仿宋_GB2312"/>
                <w:sz w:val="16"/>
              </w:rPr>
              <w:t>4.缺陷责任期：自竣工验收之日起1年；</w:t>
            </w:r>
          </w:p>
          <w:p>
            <w:pPr>
              <w:pStyle w:val="null3"/>
            </w:pPr>
            <w:r>
              <w:rPr>
                <w:rFonts w:ascii="仿宋_GB2312" w:hAnsi="仿宋_GB2312" w:cs="仿宋_GB2312" w:eastAsia="仿宋_GB2312"/>
                <w:sz w:val="16"/>
              </w:rPr>
              <w:t>二、编制依据</w:t>
            </w:r>
          </w:p>
          <w:p>
            <w:pPr>
              <w:pStyle w:val="null3"/>
              <w:jc w:val="both"/>
            </w:pPr>
            <w:r>
              <w:rPr>
                <w:rFonts w:ascii="仿宋_GB2312" w:hAnsi="仿宋_GB2312" w:cs="仿宋_GB2312" w:eastAsia="仿宋_GB2312"/>
                <w:sz w:val="16"/>
              </w:rPr>
              <w:t>1：太要中心敬老院消防配套工程设计图纸；</w:t>
            </w:r>
          </w:p>
          <w:p>
            <w:pPr>
              <w:pStyle w:val="null3"/>
              <w:jc w:val="both"/>
            </w:pPr>
            <w:r>
              <w:rPr>
                <w:rFonts w:ascii="仿宋_GB2312" w:hAnsi="仿宋_GB2312" w:cs="仿宋_GB2312" w:eastAsia="仿宋_GB2312"/>
                <w:sz w:val="16"/>
              </w:rPr>
              <w:t>2：《陕西省建设工程工程量清单计价规则》（2025 版）、《陕西省建设工程工程量清单计价费率》（2025）、《陕西省房屋建筑与装饰工程消耗量定额》（2025）、《陕西省市政工程消耗量定额》（2025）、《陕西省通用安装工程消耗量定额》（2025）及其配套使用的补充定额、及其他相关的计价依据和办法；</w:t>
            </w:r>
          </w:p>
          <w:p>
            <w:pPr>
              <w:pStyle w:val="null3"/>
              <w:jc w:val="both"/>
            </w:pPr>
            <w:r>
              <w:rPr>
                <w:rFonts w:ascii="仿宋_GB2312" w:hAnsi="仿宋_GB2312" w:cs="仿宋_GB2312" w:eastAsia="仿宋_GB2312"/>
                <w:sz w:val="16"/>
              </w:rPr>
              <w:t>3：材料价参考渭南市 2026 年第一期信息价。</w:t>
            </w:r>
          </w:p>
          <w:p>
            <w:pPr>
              <w:pStyle w:val="null3"/>
              <w:jc w:val="both"/>
            </w:pPr>
            <w:r>
              <w:rPr>
                <w:rFonts w:ascii="仿宋_GB2312" w:hAnsi="仿宋_GB2312" w:cs="仿宋_GB2312" w:eastAsia="仿宋_GB2312"/>
                <w:sz w:val="16"/>
              </w:rPr>
              <w:t>三、编制范围</w:t>
            </w:r>
          </w:p>
          <w:p>
            <w:pPr>
              <w:pStyle w:val="null3"/>
              <w:jc w:val="both"/>
            </w:pPr>
            <w:r>
              <w:rPr>
                <w:rFonts w:ascii="仿宋_GB2312" w:hAnsi="仿宋_GB2312" w:cs="仿宋_GB2312" w:eastAsia="仿宋_GB2312"/>
                <w:sz w:val="16"/>
              </w:rPr>
              <w:t>1、土建工程：消防水池及成品泵房建筑与装饰工程</w:t>
            </w:r>
          </w:p>
          <w:p>
            <w:pPr>
              <w:pStyle w:val="null3"/>
              <w:jc w:val="both"/>
            </w:pPr>
            <w:r>
              <w:rPr>
                <w:rFonts w:ascii="仿宋_GB2312" w:hAnsi="仿宋_GB2312" w:cs="仿宋_GB2312" w:eastAsia="仿宋_GB2312"/>
                <w:sz w:val="16"/>
              </w:rPr>
              <w:t>2、安装工程：套管预埋及防雷接地</w:t>
            </w:r>
          </w:p>
          <w:p>
            <w:pPr>
              <w:pStyle w:val="null3"/>
              <w:jc w:val="both"/>
            </w:pPr>
            <w:r>
              <w:rPr>
                <w:rFonts w:ascii="仿宋_GB2312" w:hAnsi="仿宋_GB2312" w:cs="仿宋_GB2312" w:eastAsia="仿宋_GB2312"/>
                <w:sz w:val="16"/>
              </w:rPr>
              <w:t>四、其他说明</w:t>
            </w:r>
          </w:p>
          <w:p>
            <w:pPr>
              <w:pStyle w:val="null3"/>
              <w:jc w:val="both"/>
            </w:pPr>
            <w:r>
              <w:rPr>
                <w:rFonts w:ascii="仿宋_GB2312" w:hAnsi="仿宋_GB2312" w:cs="仿宋_GB2312" w:eastAsia="仿宋_GB2312"/>
                <w:sz w:val="16"/>
              </w:rPr>
              <w:t>1、本工程的具体工作内容如清单所描述。如有改变，经建设单位及设计单位同意后进行调整。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在本项⽬实施过程中涉及的商品包装和快递包装，均应符合《商品包装政府采购需求标准（试⾏）》《快递包装政府采购 需求标准（试⾏）》的要求，确保货物安全运抵服务地点。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1.施⼯范围：⼯程量清单及施⼯图纸内容。 2.质量标准：合格。 3.付款⽅式：1、 预付款，合同签订后，所有⼈员、机械到达采购⼈指定地点，，达到付款条件起10个⼯作⽇内，⽀付合同总⾦额的40.0%；2、 进度款，⼯程施⼯完成后，，达到付款条件起10个⼯作⽇内，⽀付合同总⾦额的40.0%；3、 进度款，竣⼯验收合格并经审计后，达到付款条件起10个⼯作⽇内，⽀付合同总⾦额的17.0%；4、 其他，验收合格之⽇起⼀年后，如⽆质量等问题，，达到付款条件起10个⼯作⽇内，⽀付合同总⾦额的3.0%；4..供应商负责完成本项⽬相关 ⼯作，凡涉及与本项⽬相关的材料、设备、⼈员保险、税⾦、验收等，所有费⽤⼀次性计⼊投标总价，合同履约过程中采购⼈不再⽀付其他额外费⽤。 5.验收：1）项⽬竣⼯后，供应商向采购⼈提交验收申请。2）采购⼈收到验收申请后组织验收，验收时供应商应⽆条件予以配合并提供及移交项⽬所需的全部资料；若供应商不配合或者未在规定⼯期内完⼯的，采购⼈将拒绝验收。3）验收依据：磋商⽂件、响应⽂件、合同⽂本、国内相应的标准、规范。 6.供应商接到采购⼈售后要求后，6⼩时内远程响应，24⼩时内给出解决⽅案，若远程⽆法解决问题72⼩时内安排专⼈到达现场。 7.在本项⽬实施过程中涉及的商品包装和快 递包装，均应符合《商品包装政府采购需求标准（试⾏）》《快递包装政府采购需求标准（试⾏）》的要求，确保货物安全运 抵服务地点。 8.知识产权归属和处理⽅式：供应商应保证在项⽬实施过程中不会出现因第三⽅提出侵犯其专利权、商标权或其它知识产权⽽引发法律或经济纠纷，否则由供应商承担全部责任。 9.违约责任与解决争议的⽅法：1）按照《中华⼈⺠共和国⺠法典》中的相关条款执⾏。2）供应商未在合同约定的⼯期内完⼯或者⼯程质量不符合合同要求的，采购⼈有权终⽌合同，对采购⼈造成经济损失的，采购⼈有权追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提供承诺函）；3）有依法缴纳税收和社会保障资金的良好记录税收缴纳证明：提供响应文件提交截止时间前十二个月内任意一月已缴纳的纳税证明或完税证明（包含增值税、企业所得税至少一种），依法免税或不需要缴纳税收的供应商应提供相关证明文件；社保缴纳证明：提供响应文件提交截止时间前十二个月内任意一月已缴存的社会保障资金缴费证明或参保证明，依法不需要缴纳社会保障资金的供应商应提供相关证明文件；4）参加政府采购活动前三年内，在经营活动中没有重大违法记录（提供书面声明）；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或响应文件提交截止时间前六个月内基本存款账户开户银行出具的资信证明或政府采购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供应商需在项目电子化交易系统中按要求提供承诺函并进行电子签章。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供应商须具有建筑工程施工总承包三级(含三级)以上资质，并具有有效的安全生产许可证；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拟派项目经理须具有建筑工程专业二级(含二级)以上注册建造师资格并具有有效的安全生产考核合格B证，且无在建工程（提供无在建项目承诺书）。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供应商基本信息要求</w:t>
            </w:r>
          </w:p>
        </w:tc>
        <w:tc>
          <w:tcPr>
            <w:tcW w:type="dxa" w:w="3322"/>
          </w:tcPr>
          <w:p>
            <w:pPr>
              <w:pStyle w:val="null3"/>
            </w:pPr>
            <w:r>
              <w:rPr>
                <w:rFonts w:ascii="仿宋_GB2312" w:hAnsi="仿宋_GB2312" w:cs="仿宋_GB2312" w:eastAsia="仿宋_GB2312"/>
              </w:rPr>
              <w:t>供应商基本信息及项目经理的基本信息应在“ 陕西省住房和城乡建设厅网 （http://js.shaanxi.gov.cn/）”可查询</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②防尘降噪措施、文明施工及环境保护措施。 （二）评审标准： （1）每项评审内容完整无缺陷得4分；未提供得0分； （2）每项评审内容每存在一处缺陷扣1分，扣完为止。(缺陷是指：编制内容与项目不吻合、层次未细化；阐述未从实际出发，不切合项目背景及需求；存在抄袭或套用其他地区或项目内容；前后逻辑错误、存在歧义；无具体详细的阐述、实施性不强；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结合本项目实际配备合理的项目管理机构人员组成，专业齐全。 科学、合理，完全满足项目实施要求的，得5分；较为合理，能部分满足项目实施要求的，得3分；内容简单，无法满足项目实施要求的，得2分；未提供得0分。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针对本项目提出合理化建议，每提出一项有利于本项目实施的合理化建议得1分，本项最高得3分。未提供得0分。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供应商近三年（2023年4月至今）每具有1项类似业绩得2分，最多得2分，未提供得0分。（提供合同扫描件，以合同签订时间为准）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计算，即满⾜磋商⽂件要求且最后报价最低的供应商的价格为磋商基准价，其价格分为满分。其他供应商的价格分统⼀按照下列公式计算：磋商报价得分=30×（磋商基准价/最后磋商报价）价格分计算：四舍五⼊，保留两位⼩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