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0AA74B">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2"/>
        <w:rPr>
          <w:rFonts w:hint="eastAsia" w:ascii="仿宋" w:hAnsi="仿宋" w:eastAsia="仿宋" w:cs="仿宋"/>
          <w:highlight w:val="none"/>
        </w:rPr>
      </w:pPr>
      <w:bookmarkStart w:id="0" w:name="_Toc29017"/>
      <w:r>
        <w:rPr>
          <w:rFonts w:hint="eastAsia" w:ascii="仿宋" w:hAnsi="仿宋" w:eastAsia="仿宋" w:cs="仿宋"/>
          <w:highlight w:val="none"/>
        </w:rPr>
        <w:t>附件：保证金缴纳凭证</w:t>
      </w:r>
      <w:bookmarkEnd w:id="0"/>
    </w:p>
    <w:p w14:paraId="78B992E9">
      <w:pPr>
        <w:spacing w:line="240" w:lineRule="auto"/>
        <w:jc w:val="center"/>
        <w:rPr>
          <w:rFonts w:hint="eastAsia" w:ascii="仿宋" w:hAnsi="仿宋" w:eastAsia="仿宋" w:cs="仿宋"/>
          <w:b/>
          <w:bCs/>
          <w:color w:val="auto"/>
          <w:spacing w:val="4"/>
          <w:kern w:val="2"/>
          <w:sz w:val="28"/>
          <w:szCs w:val="28"/>
          <w:highlight w:val="none"/>
          <w:lang w:val="en-US" w:eastAsia="zh-CN" w:bidi="ar-SA"/>
        </w:rPr>
      </w:pPr>
      <w:r>
        <w:rPr>
          <w:rFonts w:hint="eastAsia" w:ascii="仿宋" w:hAnsi="仿宋" w:eastAsia="仿宋" w:cs="仿宋"/>
          <w:b/>
          <w:bCs/>
          <w:color w:val="auto"/>
          <w:spacing w:val="4"/>
          <w:kern w:val="2"/>
          <w:sz w:val="28"/>
          <w:szCs w:val="28"/>
          <w:highlight w:val="none"/>
          <w:lang w:val="en-US" w:eastAsia="zh-CN" w:bidi="ar-SA"/>
        </w:rPr>
        <w:t>附保证金缴纳凭证</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F813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8522" w:type="dxa"/>
            <w:vAlign w:val="center"/>
          </w:tcPr>
          <w:p w14:paraId="5197FAD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bCs/>
                <w:color w:val="auto"/>
                <w:spacing w:val="4"/>
                <w:sz w:val="20"/>
                <w:szCs w:val="20"/>
                <w:highlight w:val="none"/>
                <w:vertAlign w:val="baseline"/>
                <w:lang w:val="en-US" w:eastAsia="zh-CN"/>
              </w:rPr>
            </w:pPr>
            <w:bookmarkStart w:id="1" w:name="_GoBack"/>
            <w:bookmarkEnd w:id="1"/>
            <w:r>
              <w:rPr>
                <w:rFonts w:hint="eastAsia" w:ascii="仿宋" w:hAnsi="仿宋" w:eastAsia="仿宋" w:cs="仿宋"/>
                <w:b/>
                <w:bCs/>
                <w:color w:val="auto"/>
                <w:spacing w:val="4"/>
                <w:sz w:val="20"/>
                <w:szCs w:val="20"/>
                <w:highlight w:val="none"/>
                <w:lang w:val="en-US" w:eastAsia="zh-CN"/>
              </w:rPr>
              <w:t>磋商保证金凭证粘贴处</w:t>
            </w:r>
          </w:p>
        </w:tc>
      </w:tr>
    </w:tbl>
    <w:p w14:paraId="08AA833D">
      <w:pPr>
        <w:pStyle w:val="3"/>
        <w:spacing w:line="240" w:lineRule="auto"/>
        <w:rPr>
          <w:rFonts w:hint="eastAsia" w:ascii="仿宋" w:hAnsi="仿宋" w:eastAsia="仿宋" w:cs="仿宋"/>
          <w:highlight w:val="none"/>
          <w:lang w:val="en-US" w:eastAsia="zh-CN"/>
        </w:rPr>
      </w:pPr>
    </w:p>
    <w:p w14:paraId="096AF3FF">
      <w:pPr>
        <w:spacing w:line="240" w:lineRule="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14:paraId="6D77FEE0">
      <w:pPr>
        <w:pStyle w:val="2"/>
        <w:spacing w:line="240" w:lineRule="auto"/>
        <w:jc w:val="center"/>
        <w:rPr>
          <w:rFonts w:hint="eastAsia" w:ascii="仿宋" w:hAnsi="仿宋" w:eastAsia="仿宋" w:cs="仿宋"/>
          <w:b/>
          <w:bCs/>
          <w:color w:val="auto"/>
          <w:spacing w:val="4"/>
          <w:sz w:val="28"/>
          <w:szCs w:val="28"/>
          <w:highlight w:val="none"/>
        </w:rPr>
      </w:pPr>
      <w:r>
        <w:rPr>
          <w:rFonts w:hint="eastAsia" w:ascii="仿宋" w:hAnsi="仿宋" w:eastAsia="仿宋" w:cs="仿宋"/>
          <w:b/>
          <w:bCs/>
          <w:color w:val="auto"/>
          <w:spacing w:val="4"/>
          <w:sz w:val="28"/>
          <w:szCs w:val="28"/>
          <w:highlight w:val="none"/>
        </w:rPr>
        <w:t>保证金退还信息表</w:t>
      </w:r>
    </w:p>
    <w:p w14:paraId="15622B3B">
      <w:pPr>
        <w:spacing w:line="240" w:lineRule="auto"/>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pacing w:val="4"/>
          <w:sz w:val="20"/>
          <w:szCs w:val="20"/>
          <w:highlight w:val="none"/>
        </w:rPr>
        <w:t>致：</w:t>
      </w:r>
      <w:r>
        <w:rPr>
          <w:rFonts w:hint="eastAsia" w:ascii="仿宋" w:hAnsi="仿宋" w:eastAsia="仿宋" w:cs="仿宋"/>
          <w:b/>
          <w:bCs/>
          <w:color w:val="auto"/>
          <w:spacing w:val="4"/>
          <w:sz w:val="20"/>
          <w:szCs w:val="20"/>
          <w:highlight w:val="none"/>
          <w:u w:val="single"/>
          <w:lang w:val="en-US" w:eastAsia="zh-CN"/>
        </w:rPr>
        <w:t xml:space="preserve">             </w:t>
      </w:r>
    </w:p>
    <w:p w14:paraId="741ADD89">
      <w:pPr>
        <w:spacing w:line="240" w:lineRule="auto"/>
        <w:ind w:firstLine="482"/>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项目（项目编号：</w:t>
      </w:r>
      <w:r>
        <w:rPr>
          <w:rFonts w:hint="eastAsia" w:ascii="仿宋" w:hAnsi="仿宋" w:eastAsia="仿宋" w:cs="仿宋"/>
          <w:color w:val="auto"/>
          <w:sz w:val="20"/>
          <w:szCs w:val="20"/>
          <w:highlight w:val="none"/>
          <w:u w:val="single"/>
        </w:rPr>
        <w:t xml:space="preserve">             </w:t>
      </w:r>
      <w:r>
        <w:rPr>
          <w:rFonts w:hint="eastAsia" w:ascii="仿宋" w:hAnsi="仿宋" w:eastAsia="仿宋" w:cs="仿宋"/>
          <w:sz w:val="20"/>
          <w:szCs w:val="20"/>
          <w:highlight w:val="none"/>
        </w:rPr>
        <w:t>采购包号：</w:t>
      </w:r>
      <w:r>
        <w:rPr>
          <w:rFonts w:hint="eastAsia" w:ascii="仿宋" w:hAnsi="仿宋" w:eastAsia="仿宋" w:cs="仿宋"/>
          <w:sz w:val="20"/>
          <w:szCs w:val="20"/>
          <w:highlight w:val="none"/>
          <w:u w:val="single"/>
        </w:rPr>
        <w:t xml:space="preserve">     </w:t>
      </w:r>
      <w:r>
        <w:rPr>
          <w:rFonts w:hint="eastAsia" w:ascii="仿宋" w:hAnsi="仿宋" w:eastAsia="仿宋" w:cs="仿宋"/>
          <w:color w:val="auto"/>
          <w:sz w:val="20"/>
          <w:szCs w:val="20"/>
          <w:highlight w:val="none"/>
        </w:rPr>
        <w:t>）提交的保证金</w:t>
      </w:r>
      <w:r>
        <w:rPr>
          <w:rFonts w:hint="eastAsia" w:ascii="仿宋" w:hAnsi="仿宋" w:eastAsia="仿宋" w:cs="仿宋"/>
          <w:color w:val="auto"/>
          <w:sz w:val="20"/>
          <w:szCs w:val="20"/>
          <w:highlight w:val="none"/>
          <w:u w:val="single"/>
        </w:rPr>
        <w:t xml:space="preserve">人民币             </w:t>
      </w:r>
      <w:r>
        <w:rPr>
          <w:rFonts w:hint="eastAsia" w:ascii="仿宋" w:hAnsi="仿宋" w:eastAsia="仿宋" w:cs="仿宋"/>
          <w:color w:val="auto"/>
          <w:sz w:val="20"/>
          <w:szCs w:val="20"/>
          <w:highlight w:val="none"/>
        </w:rPr>
        <w:t>元（小写¥：</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元），按</w:t>
      </w:r>
      <w:r>
        <w:rPr>
          <w:rFonts w:hint="eastAsia" w:ascii="仿宋" w:hAnsi="仿宋" w:eastAsia="仿宋" w:cs="仿宋"/>
          <w:color w:val="auto"/>
          <w:sz w:val="20"/>
          <w:szCs w:val="20"/>
          <w:highlight w:val="none"/>
          <w:lang w:val="en-US" w:eastAsia="zh-CN"/>
        </w:rPr>
        <w:t>采购</w:t>
      </w:r>
      <w:r>
        <w:rPr>
          <w:rFonts w:hint="eastAsia" w:ascii="仿宋" w:hAnsi="仿宋" w:eastAsia="仿宋" w:cs="仿宋"/>
          <w:color w:val="auto"/>
          <w:sz w:val="20"/>
          <w:szCs w:val="20"/>
          <w:highlight w:val="none"/>
        </w:rPr>
        <w:t>文件规定退还至下列账户：</w:t>
      </w:r>
    </w:p>
    <w:tbl>
      <w:tblPr>
        <w:tblStyle w:val="7"/>
        <w:tblW w:w="8519" w:type="dxa"/>
        <w:jc w:val="center"/>
        <w:tblLayout w:type="fixed"/>
        <w:tblCellMar>
          <w:top w:w="0" w:type="dxa"/>
          <w:left w:w="108" w:type="dxa"/>
          <w:bottom w:w="0" w:type="dxa"/>
          <w:right w:w="108" w:type="dxa"/>
        </w:tblCellMar>
      </w:tblPr>
      <w:tblGrid>
        <w:gridCol w:w="516"/>
        <w:gridCol w:w="1706"/>
        <w:gridCol w:w="2296"/>
        <w:gridCol w:w="1278"/>
        <w:gridCol w:w="2723"/>
      </w:tblGrid>
      <w:tr w14:paraId="712084DB">
        <w:tblPrEx>
          <w:tblCellMar>
            <w:top w:w="0" w:type="dxa"/>
            <w:left w:w="108" w:type="dxa"/>
            <w:bottom w:w="0" w:type="dxa"/>
            <w:right w:w="108" w:type="dxa"/>
          </w:tblCellMar>
        </w:tblPrEx>
        <w:trPr>
          <w:cantSplit/>
          <w:trHeight w:val="669" w:hRule="atLeast"/>
          <w:jc w:val="center"/>
        </w:trPr>
        <w:tc>
          <w:tcPr>
            <w:tcW w:w="516" w:type="dxa"/>
            <w:vMerge w:val="restart"/>
            <w:tcBorders>
              <w:top w:val="single" w:color="auto" w:sz="4" w:space="0"/>
              <w:left w:val="single" w:color="auto" w:sz="4" w:space="0"/>
              <w:bottom w:val="single" w:color="000000" w:sz="4" w:space="0"/>
              <w:right w:val="single" w:color="auto" w:sz="4" w:space="0"/>
            </w:tcBorders>
            <w:vAlign w:val="center"/>
          </w:tcPr>
          <w:p w14:paraId="2C386D3C">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收款单位</w:t>
            </w:r>
          </w:p>
        </w:tc>
        <w:tc>
          <w:tcPr>
            <w:tcW w:w="1706" w:type="dxa"/>
            <w:tcBorders>
              <w:top w:val="single" w:color="auto" w:sz="4" w:space="0"/>
              <w:left w:val="nil"/>
              <w:bottom w:val="single" w:color="auto" w:sz="4" w:space="0"/>
              <w:right w:val="single" w:color="auto" w:sz="4" w:space="0"/>
            </w:tcBorders>
            <w:vAlign w:val="center"/>
          </w:tcPr>
          <w:p w14:paraId="143FEC26">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收款单位名称</w:t>
            </w:r>
          </w:p>
        </w:tc>
        <w:tc>
          <w:tcPr>
            <w:tcW w:w="6297" w:type="dxa"/>
            <w:gridSpan w:val="3"/>
            <w:tcBorders>
              <w:top w:val="single" w:color="auto" w:sz="4" w:space="0"/>
              <w:left w:val="nil"/>
              <w:bottom w:val="single" w:color="auto" w:sz="4" w:space="0"/>
              <w:right w:val="single" w:color="auto" w:sz="4" w:space="0"/>
            </w:tcBorders>
            <w:vAlign w:val="center"/>
          </w:tcPr>
          <w:p w14:paraId="4173FC43">
            <w:pPr>
              <w:spacing w:line="240" w:lineRule="auto"/>
              <w:rPr>
                <w:rFonts w:hint="eastAsia" w:ascii="仿宋" w:hAnsi="仿宋" w:eastAsia="仿宋" w:cs="仿宋"/>
                <w:color w:val="auto"/>
                <w:sz w:val="20"/>
                <w:szCs w:val="20"/>
                <w:highlight w:val="none"/>
              </w:rPr>
            </w:pPr>
          </w:p>
        </w:tc>
      </w:tr>
      <w:tr w14:paraId="4F06FA42">
        <w:tblPrEx>
          <w:tblCellMar>
            <w:top w:w="0" w:type="dxa"/>
            <w:left w:w="108" w:type="dxa"/>
            <w:bottom w:w="0" w:type="dxa"/>
            <w:right w:w="108" w:type="dxa"/>
          </w:tblCellMar>
        </w:tblPrEx>
        <w:trPr>
          <w:cantSplit/>
          <w:trHeight w:val="568" w:hRule="atLeast"/>
          <w:jc w:val="center"/>
        </w:trPr>
        <w:tc>
          <w:tcPr>
            <w:tcW w:w="516" w:type="dxa"/>
            <w:vMerge w:val="continue"/>
            <w:tcBorders>
              <w:top w:val="single" w:color="auto" w:sz="4" w:space="0"/>
              <w:left w:val="single" w:color="auto" w:sz="4" w:space="0"/>
              <w:bottom w:val="single" w:color="000000" w:sz="4" w:space="0"/>
              <w:right w:val="single" w:color="auto" w:sz="4" w:space="0"/>
            </w:tcBorders>
            <w:vAlign w:val="center"/>
          </w:tcPr>
          <w:p w14:paraId="610BAAC5">
            <w:pPr>
              <w:spacing w:line="240" w:lineRule="auto"/>
              <w:rPr>
                <w:rFonts w:hint="eastAsia" w:ascii="仿宋" w:hAnsi="仿宋" w:eastAsia="仿宋" w:cs="仿宋"/>
                <w:color w:val="auto"/>
                <w:sz w:val="20"/>
                <w:szCs w:val="20"/>
                <w:highlight w:val="none"/>
              </w:rPr>
            </w:pPr>
          </w:p>
        </w:tc>
        <w:tc>
          <w:tcPr>
            <w:tcW w:w="1706" w:type="dxa"/>
            <w:tcBorders>
              <w:top w:val="nil"/>
              <w:left w:val="nil"/>
              <w:bottom w:val="single" w:color="auto" w:sz="4" w:space="0"/>
              <w:right w:val="single" w:color="auto" w:sz="4" w:space="0"/>
            </w:tcBorders>
            <w:vAlign w:val="center"/>
          </w:tcPr>
          <w:p w14:paraId="55C7F06A">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账号</w:t>
            </w:r>
          </w:p>
        </w:tc>
        <w:tc>
          <w:tcPr>
            <w:tcW w:w="6297" w:type="dxa"/>
            <w:gridSpan w:val="3"/>
            <w:tcBorders>
              <w:top w:val="single" w:color="auto" w:sz="4" w:space="0"/>
              <w:left w:val="nil"/>
              <w:bottom w:val="single" w:color="auto" w:sz="4" w:space="0"/>
              <w:right w:val="single" w:color="auto" w:sz="4" w:space="0"/>
            </w:tcBorders>
            <w:vAlign w:val="center"/>
          </w:tcPr>
          <w:p w14:paraId="692DE83B">
            <w:pPr>
              <w:spacing w:line="240" w:lineRule="auto"/>
              <w:rPr>
                <w:rFonts w:hint="eastAsia" w:ascii="仿宋" w:hAnsi="仿宋" w:eastAsia="仿宋" w:cs="仿宋"/>
                <w:color w:val="auto"/>
                <w:sz w:val="20"/>
                <w:szCs w:val="20"/>
                <w:highlight w:val="none"/>
              </w:rPr>
            </w:pPr>
          </w:p>
        </w:tc>
      </w:tr>
      <w:tr w14:paraId="5A69C659">
        <w:tblPrEx>
          <w:tblCellMar>
            <w:top w:w="0" w:type="dxa"/>
            <w:left w:w="108" w:type="dxa"/>
            <w:bottom w:w="0" w:type="dxa"/>
            <w:right w:w="108" w:type="dxa"/>
          </w:tblCellMar>
        </w:tblPrEx>
        <w:trPr>
          <w:cantSplit/>
          <w:trHeight w:val="568" w:hRule="atLeast"/>
          <w:jc w:val="center"/>
        </w:trPr>
        <w:tc>
          <w:tcPr>
            <w:tcW w:w="516" w:type="dxa"/>
            <w:vMerge w:val="continue"/>
            <w:tcBorders>
              <w:top w:val="single" w:color="auto" w:sz="4" w:space="0"/>
              <w:left w:val="single" w:color="auto" w:sz="4" w:space="0"/>
              <w:bottom w:val="single" w:color="000000" w:sz="4" w:space="0"/>
              <w:right w:val="single" w:color="auto" w:sz="4" w:space="0"/>
            </w:tcBorders>
            <w:vAlign w:val="center"/>
          </w:tcPr>
          <w:p w14:paraId="1713AE57">
            <w:pPr>
              <w:spacing w:line="240" w:lineRule="auto"/>
              <w:rPr>
                <w:rFonts w:hint="eastAsia" w:ascii="仿宋" w:hAnsi="仿宋" w:eastAsia="仿宋" w:cs="仿宋"/>
                <w:color w:val="auto"/>
                <w:sz w:val="20"/>
                <w:szCs w:val="20"/>
                <w:highlight w:val="none"/>
              </w:rPr>
            </w:pPr>
          </w:p>
        </w:tc>
        <w:tc>
          <w:tcPr>
            <w:tcW w:w="1706" w:type="dxa"/>
            <w:tcBorders>
              <w:top w:val="nil"/>
              <w:left w:val="nil"/>
              <w:bottom w:val="single" w:color="auto" w:sz="4" w:space="0"/>
              <w:right w:val="single" w:color="auto" w:sz="4" w:space="0"/>
            </w:tcBorders>
            <w:vAlign w:val="center"/>
          </w:tcPr>
          <w:p w14:paraId="47D7AC60">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开户银行</w:t>
            </w:r>
          </w:p>
        </w:tc>
        <w:tc>
          <w:tcPr>
            <w:tcW w:w="6297" w:type="dxa"/>
            <w:gridSpan w:val="3"/>
            <w:tcBorders>
              <w:top w:val="single" w:color="auto" w:sz="4" w:space="0"/>
              <w:left w:val="nil"/>
              <w:bottom w:val="single" w:color="auto" w:sz="4" w:space="0"/>
              <w:right w:val="single" w:color="auto" w:sz="4" w:space="0"/>
            </w:tcBorders>
            <w:vAlign w:val="center"/>
          </w:tcPr>
          <w:p w14:paraId="0D04E0D6">
            <w:pPr>
              <w:spacing w:line="240" w:lineRule="auto"/>
              <w:rPr>
                <w:rFonts w:hint="eastAsia" w:ascii="仿宋" w:hAnsi="仿宋" w:eastAsia="仿宋" w:cs="仿宋"/>
                <w:color w:val="auto"/>
                <w:sz w:val="20"/>
                <w:szCs w:val="20"/>
                <w:highlight w:val="none"/>
              </w:rPr>
            </w:pPr>
          </w:p>
        </w:tc>
      </w:tr>
      <w:tr w14:paraId="596A2B50">
        <w:tblPrEx>
          <w:tblCellMar>
            <w:top w:w="0" w:type="dxa"/>
            <w:left w:w="108" w:type="dxa"/>
            <w:bottom w:w="0" w:type="dxa"/>
            <w:right w:w="108" w:type="dxa"/>
          </w:tblCellMar>
        </w:tblPrEx>
        <w:trPr>
          <w:cantSplit/>
          <w:trHeight w:val="726" w:hRule="atLeast"/>
          <w:jc w:val="center"/>
        </w:trPr>
        <w:tc>
          <w:tcPr>
            <w:tcW w:w="516" w:type="dxa"/>
            <w:vMerge w:val="continue"/>
            <w:tcBorders>
              <w:top w:val="single" w:color="auto" w:sz="4" w:space="0"/>
              <w:left w:val="single" w:color="auto" w:sz="4" w:space="0"/>
              <w:bottom w:val="single" w:color="000000" w:sz="4" w:space="0"/>
              <w:right w:val="single" w:color="auto" w:sz="4" w:space="0"/>
            </w:tcBorders>
            <w:vAlign w:val="center"/>
          </w:tcPr>
          <w:p w14:paraId="4D0964C0">
            <w:pPr>
              <w:spacing w:line="240" w:lineRule="auto"/>
              <w:rPr>
                <w:rFonts w:hint="eastAsia" w:ascii="仿宋" w:hAnsi="仿宋" w:eastAsia="仿宋" w:cs="仿宋"/>
                <w:color w:val="auto"/>
                <w:sz w:val="20"/>
                <w:szCs w:val="20"/>
                <w:highlight w:val="none"/>
              </w:rPr>
            </w:pPr>
          </w:p>
        </w:tc>
        <w:tc>
          <w:tcPr>
            <w:tcW w:w="1706" w:type="dxa"/>
            <w:tcBorders>
              <w:top w:val="nil"/>
              <w:left w:val="nil"/>
              <w:bottom w:val="single" w:color="auto" w:sz="4" w:space="0"/>
              <w:right w:val="single" w:color="auto" w:sz="4" w:space="0"/>
            </w:tcBorders>
            <w:vAlign w:val="center"/>
          </w:tcPr>
          <w:p w14:paraId="135E4DC4">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开户银行行号</w:t>
            </w:r>
          </w:p>
        </w:tc>
        <w:tc>
          <w:tcPr>
            <w:tcW w:w="6297" w:type="dxa"/>
            <w:gridSpan w:val="3"/>
            <w:tcBorders>
              <w:top w:val="single" w:color="auto" w:sz="4" w:space="0"/>
              <w:left w:val="nil"/>
              <w:bottom w:val="single" w:color="auto" w:sz="4" w:space="0"/>
              <w:right w:val="single" w:color="auto" w:sz="4" w:space="0"/>
            </w:tcBorders>
            <w:vAlign w:val="center"/>
          </w:tcPr>
          <w:p w14:paraId="6F992AF3">
            <w:pPr>
              <w:spacing w:line="240" w:lineRule="auto"/>
              <w:rPr>
                <w:rFonts w:hint="eastAsia" w:ascii="仿宋" w:hAnsi="仿宋" w:eastAsia="仿宋" w:cs="仿宋"/>
                <w:color w:val="auto"/>
                <w:sz w:val="20"/>
                <w:szCs w:val="20"/>
                <w:highlight w:val="none"/>
              </w:rPr>
            </w:pPr>
          </w:p>
        </w:tc>
      </w:tr>
      <w:tr w14:paraId="4E103378">
        <w:tblPrEx>
          <w:tblCellMar>
            <w:top w:w="0" w:type="dxa"/>
            <w:left w:w="108" w:type="dxa"/>
            <w:bottom w:w="0" w:type="dxa"/>
            <w:right w:w="108" w:type="dxa"/>
          </w:tblCellMar>
        </w:tblPrEx>
        <w:trPr>
          <w:trHeight w:val="770" w:hRule="atLeast"/>
          <w:jc w:val="center"/>
        </w:trPr>
        <w:tc>
          <w:tcPr>
            <w:tcW w:w="516" w:type="dxa"/>
            <w:vMerge w:val="continue"/>
            <w:tcBorders>
              <w:top w:val="single" w:color="auto" w:sz="4" w:space="0"/>
              <w:left w:val="single" w:color="auto" w:sz="4" w:space="0"/>
              <w:bottom w:val="single" w:color="000000" w:sz="4" w:space="0"/>
              <w:right w:val="single" w:color="auto" w:sz="4" w:space="0"/>
            </w:tcBorders>
            <w:vAlign w:val="center"/>
          </w:tcPr>
          <w:p w14:paraId="0162ACF8">
            <w:pPr>
              <w:spacing w:line="240" w:lineRule="auto"/>
              <w:rPr>
                <w:rFonts w:hint="eastAsia" w:ascii="仿宋" w:hAnsi="仿宋" w:eastAsia="仿宋" w:cs="仿宋"/>
                <w:color w:val="auto"/>
                <w:sz w:val="20"/>
                <w:szCs w:val="20"/>
                <w:highlight w:val="none"/>
              </w:rPr>
            </w:pPr>
          </w:p>
        </w:tc>
        <w:tc>
          <w:tcPr>
            <w:tcW w:w="1706" w:type="dxa"/>
            <w:tcBorders>
              <w:top w:val="single" w:color="auto" w:sz="4" w:space="0"/>
              <w:left w:val="nil"/>
              <w:bottom w:val="single" w:color="auto" w:sz="4" w:space="0"/>
              <w:right w:val="single" w:color="auto" w:sz="4" w:space="0"/>
            </w:tcBorders>
            <w:vAlign w:val="center"/>
          </w:tcPr>
          <w:p w14:paraId="172A41ED">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联 系 人</w:t>
            </w:r>
          </w:p>
        </w:tc>
        <w:tc>
          <w:tcPr>
            <w:tcW w:w="2296" w:type="dxa"/>
            <w:tcBorders>
              <w:top w:val="single" w:color="auto" w:sz="4" w:space="0"/>
              <w:left w:val="nil"/>
              <w:bottom w:val="single" w:color="auto" w:sz="4" w:space="0"/>
              <w:right w:val="single" w:color="auto" w:sz="4" w:space="0"/>
            </w:tcBorders>
            <w:vAlign w:val="center"/>
          </w:tcPr>
          <w:p w14:paraId="421861A6">
            <w:pPr>
              <w:spacing w:line="240" w:lineRule="auto"/>
              <w:rPr>
                <w:rFonts w:hint="eastAsia" w:ascii="仿宋" w:hAnsi="仿宋" w:eastAsia="仿宋" w:cs="仿宋"/>
                <w:color w:val="auto"/>
                <w:sz w:val="20"/>
                <w:szCs w:val="20"/>
                <w:highlight w:val="none"/>
              </w:rPr>
            </w:pPr>
          </w:p>
        </w:tc>
        <w:tc>
          <w:tcPr>
            <w:tcW w:w="1278" w:type="dxa"/>
            <w:tcBorders>
              <w:top w:val="single" w:color="auto" w:sz="4" w:space="0"/>
              <w:left w:val="nil"/>
              <w:bottom w:val="single" w:color="auto" w:sz="4" w:space="0"/>
              <w:right w:val="single" w:color="auto" w:sz="4" w:space="0"/>
            </w:tcBorders>
            <w:vAlign w:val="center"/>
          </w:tcPr>
          <w:p w14:paraId="1F6EDECD">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联系电话</w:t>
            </w:r>
          </w:p>
        </w:tc>
        <w:tc>
          <w:tcPr>
            <w:tcW w:w="2723" w:type="dxa"/>
            <w:tcBorders>
              <w:top w:val="single" w:color="auto" w:sz="4" w:space="0"/>
              <w:left w:val="nil"/>
              <w:bottom w:val="single" w:color="auto" w:sz="4" w:space="0"/>
              <w:right w:val="single" w:color="auto" w:sz="4" w:space="0"/>
            </w:tcBorders>
            <w:vAlign w:val="center"/>
          </w:tcPr>
          <w:p w14:paraId="541B236C">
            <w:pPr>
              <w:spacing w:line="240" w:lineRule="auto"/>
              <w:rPr>
                <w:rFonts w:hint="eastAsia" w:ascii="仿宋" w:hAnsi="仿宋" w:eastAsia="仿宋" w:cs="仿宋"/>
                <w:color w:val="auto"/>
                <w:sz w:val="20"/>
                <w:szCs w:val="20"/>
                <w:highlight w:val="none"/>
              </w:rPr>
            </w:pPr>
          </w:p>
        </w:tc>
      </w:tr>
    </w:tbl>
    <w:p w14:paraId="643D7D21">
      <w:pPr>
        <w:pStyle w:val="3"/>
        <w:spacing w:line="240" w:lineRule="auto"/>
        <w:rPr>
          <w:rFonts w:hint="eastAsia" w:ascii="仿宋" w:hAnsi="仿宋" w:eastAsia="仿宋" w:cs="仿宋"/>
          <w:color w:val="auto"/>
          <w:sz w:val="20"/>
          <w:szCs w:val="20"/>
          <w:highlight w:val="none"/>
        </w:rPr>
      </w:pPr>
    </w:p>
    <w:p w14:paraId="6AFBF01C">
      <w:pPr>
        <w:spacing w:line="240" w:lineRule="auto"/>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1、保证金将退还至原转入账户，请按照转入保证金账户填写此表。如贵单位付款账户有单位结算卡，请将单位结算卡的账号信息出具情况说明并加盖公章与本表一同递交。</w:t>
      </w:r>
    </w:p>
    <w:p w14:paraId="1E4E0AC1">
      <w:pPr>
        <w:spacing w:line="240" w:lineRule="auto"/>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2、各</w:t>
      </w:r>
      <w:r>
        <w:rPr>
          <w:rFonts w:hint="eastAsia" w:ascii="仿宋" w:hAnsi="仿宋" w:eastAsia="仿宋" w:cs="仿宋"/>
          <w:b/>
          <w:bCs/>
          <w:color w:val="auto"/>
          <w:sz w:val="20"/>
          <w:szCs w:val="20"/>
          <w:highlight w:val="none"/>
          <w:lang w:val="en-US" w:eastAsia="zh-CN"/>
        </w:rPr>
        <w:t>供应商</w:t>
      </w:r>
      <w:r>
        <w:rPr>
          <w:rFonts w:hint="eastAsia" w:ascii="仿宋" w:hAnsi="仿宋" w:eastAsia="仿宋" w:cs="仿宋"/>
          <w:b/>
          <w:bCs/>
          <w:color w:val="auto"/>
          <w:sz w:val="20"/>
          <w:szCs w:val="20"/>
          <w:highlight w:val="none"/>
        </w:rPr>
        <w:t>请正确填写《</w:t>
      </w:r>
      <w:r>
        <w:rPr>
          <w:rFonts w:hint="eastAsia" w:ascii="仿宋" w:hAnsi="仿宋" w:eastAsia="仿宋" w:cs="仿宋"/>
          <w:b/>
          <w:bCs/>
          <w:color w:val="auto"/>
          <w:sz w:val="20"/>
          <w:szCs w:val="20"/>
          <w:highlight w:val="none"/>
          <w:lang w:val="en-US" w:eastAsia="zh-CN"/>
        </w:rPr>
        <w:t>保</w:t>
      </w:r>
      <w:r>
        <w:rPr>
          <w:rFonts w:hint="eastAsia" w:ascii="仿宋" w:hAnsi="仿宋" w:eastAsia="仿宋" w:cs="仿宋"/>
          <w:b/>
          <w:bCs/>
          <w:color w:val="auto"/>
          <w:sz w:val="20"/>
          <w:szCs w:val="20"/>
          <w:highlight w:val="none"/>
        </w:rPr>
        <w:t>证金退还信息表》，</w:t>
      </w:r>
      <w:r>
        <w:rPr>
          <w:rFonts w:hint="eastAsia" w:ascii="仿宋" w:hAnsi="仿宋" w:eastAsia="仿宋" w:cs="仿宋"/>
          <w:b/>
          <w:bCs/>
          <w:color w:val="auto"/>
          <w:sz w:val="20"/>
          <w:szCs w:val="20"/>
          <w:highlight w:val="none"/>
          <w:lang w:val="en-US" w:eastAsia="zh-CN"/>
        </w:rPr>
        <w:t>项目</w:t>
      </w:r>
      <w:r>
        <w:rPr>
          <w:rFonts w:hint="eastAsia" w:ascii="仿宋" w:hAnsi="仿宋" w:eastAsia="仿宋" w:cs="仿宋"/>
          <w:b/>
          <w:bCs/>
          <w:color w:val="auto"/>
          <w:sz w:val="20"/>
          <w:szCs w:val="20"/>
          <w:highlight w:val="none"/>
        </w:rPr>
        <w:t>结束后，将根据所提供信息退还各</w:t>
      </w:r>
      <w:r>
        <w:rPr>
          <w:rFonts w:hint="eastAsia" w:ascii="仿宋" w:hAnsi="仿宋" w:eastAsia="仿宋" w:cs="仿宋"/>
          <w:b/>
          <w:bCs/>
          <w:color w:val="auto"/>
          <w:sz w:val="20"/>
          <w:szCs w:val="20"/>
          <w:highlight w:val="none"/>
          <w:lang w:eastAsia="zh-CN"/>
        </w:rPr>
        <w:t>供应商</w:t>
      </w:r>
      <w:r>
        <w:rPr>
          <w:rFonts w:hint="eastAsia" w:ascii="仿宋" w:hAnsi="仿宋" w:eastAsia="仿宋" w:cs="仿宋"/>
          <w:b/>
          <w:bCs/>
          <w:color w:val="auto"/>
          <w:sz w:val="20"/>
          <w:szCs w:val="20"/>
          <w:highlight w:val="none"/>
        </w:rPr>
        <w:t>保证金。</w:t>
      </w:r>
    </w:p>
    <w:p w14:paraId="0D6E4069">
      <w:pPr>
        <w:spacing w:line="240" w:lineRule="auto"/>
        <w:ind w:firstLine="402" w:firstLineChars="200"/>
        <w:rPr>
          <w:rFonts w:hint="eastAsia" w:ascii="仿宋" w:hAnsi="仿宋" w:eastAsia="仿宋" w:cs="仿宋"/>
          <w:b/>
          <w:color w:val="auto"/>
          <w:sz w:val="20"/>
          <w:szCs w:val="20"/>
          <w:highlight w:val="none"/>
        </w:rPr>
      </w:pPr>
      <w:r>
        <w:rPr>
          <w:rFonts w:hint="eastAsia" w:ascii="仿宋" w:hAnsi="仿宋" w:eastAsia="仿宋" w:cs="仿宋"/>
          <w:b/>
          <w:bCs/>
          <w:color w:val="auto"/>
          <w:sz w:val="20"/>
          <w:szCs w:val="20"/>
          <w:highlight w:val="none"/>
        </w:rPr>
        <w:t>3、因</w:t>
      </w:r>
      <w:r>
        <w:rPr>
          <w:rFonts w:hint="eastAsia" w:ascii="仿宋" w:hAnsi="仿宋" w:eastAsia="仿宋" w:cs="仿宋"/>
          <w:b/>
          <w:bCs/>
          <w:color w:val="auto"/>
          <w:sz w:val="20"/>
          <w:szCs w:val="20"/>
          <w:highlight w:val="none"/>
          <w:lang w:val="en-US" w:eastAsia="zh-CN"/>
        </w:rPr>
        <w:t>供应商</w:t>
      </w:r>
      <w:r>
        <w:rPr>
          <w:rFonts w:hint="eastAsia" w:ascii="仿宋" w:hAnsi="仿宋" w:eastAsia="仿宋" w:cs="仿宋"/>
          <w:b/>
          <w:bCs/>
          <w:color w:val="auto"/>
          <w:sz w:val="20"/>
          <w:szCs w:val="20"/>
          <w:highlight w:val="none"/>
        </w:rPr>
        <w:t>自身原因导致未及时退还的，由</w:t>
      </w:r>
      <w:r>
        <w:rPr>
          <w:rFonts w:hint="eastAsia" w:ascii="仿宋" w:hAnsi="仿宋" w:eastAsia="仿宋" w:cs="仿宋"/>
          <w:b/>
          <w:bCs/>
          <w:color w:val="auto"/>
          <w:sz w:val="20"/>
          <w:szCs w:val="20"/>
          <w:highlight w:val="none"/>
          <w:lang w:val="en-US" w:eastAsia="zh-CN"/>
        </w:rPr>
        <w:t>供应商</w:t>
      </w:r>
      <w:r>
        <w:rPr>
          <w:rFonts w:hint="eastAsia" w:ascii="仿宋" w:hAnsi="仿宋" w:eastAsia="仿宋" w:cs="仿宋"/>
          <w:b/>
          <w:bCs/>
          <w:color w:val="auto"/>
          <w:sz w:val="20"/>
          <w:szCs w:val="20"/>
          <w:highlight w:val="none"/>
        </w:rPr>
        <w:t>自行负责</w:t>
      </w:r>
      <w:r>
        <w:rPr>
          <w:rFonts w:hint="eastAsia" w:ascii="仿宋" w:hAnsi="仿宋" w:eastAsia="仿宋" w:cs="仿宋"/>
          <w:b/>
          <w:color w:val="auto"/>
          <w:sz w:val="20"/>
          <w:szCs w:val="20"/>
          <w:highlight w:val="none"/>
        </w:rPr>
        <w:t>。</w:t>
      </w:r>
    </w:p>
    <w:p w14:paraId="38D96736">
      <w:pPr>
        <w:pStyle w:val="6"/>
        <w:spacing w:line="240" w:lineRule="auto"/>
        <w:ind w:firstLine="480"/>
        <w:rPr>
          <w:rFonts w:hint="eastAsia" w:ascii="仿宋" w:hAnsi="仿宋" w:eastAsia="仿宋" w:cs="仿宋"/>
          <w:color w:val="auto"/>
          <w:sz w:val="20"/>
          <w:szCs w:val="20"/>
          <w:highlight w:val="none"/>
        </w:rPr>
      </w:pPr>
    </w:p>
    <w:p w14:paraId="4AD0155A">
      <w:pPr>
        <w:spacing w:line="240" w:lineRule="auto"/>
        <w:rPr>
          <w:rFonts w:hint="eastAsia" w:ascii="仿宋" w:hAnsi="仿宋" w:eastAsia="仿宋" w:cs="仿宋"/>
          <w:color w:val="auto"/>
          <w:sz w:val="20"/>
          <w:szCs w:val="20"/>
          <w:highlight w:val="none"/>
        </w:rPr>
      </w:pPr>
    </w:p>
    <w:p w14:paraId="46DA7171">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（盖章）</w:t>
      </w:r>
    </w:p>
    <w:p w14:paraId="0ECA66DD">
      <w:pPr>
        <w:spacing w:line="240" w:lineRule="auto"/>
        <w:rPr>
          <w:rFonts w:hint="eastAsia" w:ascii="仿宋" w:hAnsi="仿宋" w:eastAsia="仿宋" w:cs="仿宋"/>
          <w:color w:val="auto"/>
          <w:sz w:val="20"/>
          <w:szCs w:val="20"/>
          <w:highlight w:val="none"/>
        </w:rPr>
      </w:pPr>
      <w:r>
        <w:rPr>
          <w:rFonts w:hint="eastAsia" w:ascii="仿宋" w:hAnsi="仿宋" w:eastAsia="仿宋" w:cs="仿宋"/>
          <w:sz w:val="20"/>
          <w:szCs w:val="20"/>
          <w:highlight w:val="none"/>
          <w:lang w:eastAsia="zh-CN"/>
        </w:rPr>
        <w:t>法定代表人/负责人</w:t>
      </w:r>
      <w:r>
        <w:rPr>
          <w:rFonts w:hint="eastAsia" w:ascii="仿宋" w:hAnsi="仿宋" w:eastAsia="仿宋" w:cs="仿宋"/>
          <w:color w:val="auto"/>
          <w:sz w:val="20"/>
          <w:szCs w:val="20"/>
          <w:highlight w:val="none"/>
        </w:rPr>
        <w:t>或</w:t>
      </w:r>
      <w:r>
        <w:rPr>
          <w:rFonts w:hint="eastAsia" w:ascii="仿宋" w:hAnsi="仿宋" w:eastAsia="仿宋" w:cs="仿宋"/>
          <w:color w:val="auto"/>
          <w:sz w:val="20"/>
          <w:szCs w:val="20"/>
          <w:highlight w:val="none"/>
          <w:lang w:val="en-US" w:eastAsia="zh-CN"/>
        </w:rPr>
        <w:t>被授权人</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(签字或盖章)</w:t>
      </w:r>
    </w:p>
    <w:p w14:paraId="1A6FB1A4">
      <w:pPr>
        <w:spacing w:line="240" w:lineRule="auto"/>
        <w:rPr>
          <w:rFonts w:hint="eastAsia" w:ascii="仿宋" w:hAnsi="仿宋" w:eastAsia="仿宋" w:cs="仿宋"/>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9AB50B7">
      <w:pPr>
        <w:spacing w:line="24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BA6F9C"/>
    <w:rsid w:val="4FBA6F9C"/>
    <w:rsid w:val="5F5A3EC1"/>
    <w:rsid w:val="73345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semiHidden/>
    <w:qFormat/>
    <w:uiPriority w:val="0"/>
    <w:rPr>
      <w:rFonts w:ascii="仿宋" w:hAnsi="仿宋" w:eastAsia="仿宋" w:cs="仿宋"/>
      <w:sz w:val="31"/>
      <w:szCs w:val="31"/>
      <w:lang w:val="en-US" w:eastAsia="en-US" w:bidi="ar-SA"/>
    </w:rPr>
  </w:style>
  <w:style w:type="paragraph" w:styleId="4">
    <w:name w:val="Body Text Indent"/>
    <w:basedOn w:val="1"/>
    <w:next w:val="1"/>
    <w:qFormat/>
    <w:uiPriority w:val="0"/>
    <w:pPr>
      <w:tabs>
        <w:tab w:val="left" w:pos="8640"/>
      </w:tabs>
      <w:ind w:firstLine="420"/>
    </w:pPr>
    <w:rPr>
      <w:rFonts w:ascii="楷体_GB2312" w:eastAsia="楷体_GB2312"/>
      <w:color w:val="000000"/>
      <w:sz w:val="28"/>
    </w:rPr>
  </w:style>
  <w:style w:type="paragraph" w:styleId="5">
    <w:name w:val="toc 4"/>
    <w:basedOn w:val="1"/>
    <w:next w:val="1"/>
    <w:unhideWhenUsed/>
    <w:qFormat/>
    <w:uiPriority w:val="31"/>
    <w:pPr>
      <w:ind w:left="1275"/>
    </w:pPr>
    <w:rPr>
      <w:rFonts w:ascii="Calibri" w:hAnsi="Calibri"/>
      <w:szCs w:val="21"/>
    </w:rPr>
  </w:style>
  <w:style w:type="paragraph" w:styleId="6">
    <w:name w:val="Body Text First Indent 2"/>
    <w:basedOn w:val="4"/>
    <w:next w:val="1"/>
    <w:qFormat/>
    <w:uiPriority w:val="0"/>
    <w:pPr>
      <w:ind w:firstLine="200" w:firstLine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302</Words>
  <Characters>302</Characters>
  <Lines>0</Lines>
  <Paragraphs>0</Paragraphs>
  <TotalTime>0</TotalTime>
  <ScaleCrop>false</ScaleCrop>
  <LinksUpToDate>false</LinksUpToDate>
  <CharactersWithSpaces>432</CharactersWithSpaces>
  <Application>WPS Office_12.1.0.28040_F1E327BC-269C-435d-A152-05C5408002CA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2026-05-27T04:13:00Z</dcterms:created>
  <dc:creator>德仁招标</dc:creator>
  <cp:lastModifiedBy>zl</cp:lastModifiedBy>
  <dcterms:modified xsi:type="dcterms:W3CDTF">2026-07-24T03:10:16Z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2052-12.1.0.28040</vt:lpwstr>
  </property>
  <property fmtid="{D5CDD505-2E9C-101B-9397-08002B2CF9AE}" pid="3" name="ICV">
    <vt:lpwstr>68E5348D3AAE4C7FA2A3836B8E251E75_11</vt:lpwstr>
  </property>
  <property fmtid="{D5CDD505-2E9C-101B-9397-08002B2CF9AE}" pid="4" name="KSOTemplateDocerSaveRecord">
    <vt:lpwstr>eyJoZGlkIjoiODQxZGY1OWFiZjYxZWQ4YWNmNzBhMmMxNmZkMzI0ZDciLCJ1c2VySWQiOiIyNzQ5OTcwMTQifQ==</vt:lpwstr>
  </property>
</Properties>
</file>