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版本号：GCCS26-03720260804001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西安市房屋安全智慧监测项目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GCCS26-037</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西安市房屋安全智慧监测项目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西安市房屋安全智慧监测项目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于InSAR卫星技术，对西安市建成区房屋建筑实施月度沉降监测，识别显著沉降区域。通过分析累积沉降量与变形趋势，结合建筑安全标准限值，构建本地化房屋安全风险评估算法，并依据西安地质与建筑特征进行优化，提升模型精度与适应性；需满足的要求：符合国家、行业、地方相关规定，符合采购人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①本项目接受联合体投标，联合体供应商须提供联合体协议，联合体全体成员（含牵头单位）总数不得超过2家；②联合体各方均须满足《政府采购法》第二十二条全部条件。③联合体各方不得再单独或与其他单位另行组建联合体参与本项目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029-87624421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029-81130182、18049538114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数，参照《招标代理服务收费管理暂行办法》的通知（计价格[2002]1980号）和《关于招标代理服务收费有关问题的通知》（发改办价格[2003]857号）的有关规定标准计算收取。 （2）采购代理服务费缴纳账户： 开户名称：陕西国采项目管理有限公司 开 户 行：中国建设银行股份有限公司西安大庆路支行 账 号：61050174360000000901。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于InSAR卫星技术，对西安市建成区房屋建筑实施月度沉降监测，识别显著沉降区域。通过分析累积沉降量与变形趋势，结合建筑安全标准限值，构建本地化房屋安全风险评估算法，并依据西安地质与建筑特征进行优化，提升模型精度与适应性；需满足的要求：符合国家、行业、地方相关规定，符合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西安市房屋安全智慧监测项目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标的名称：西安市房屋安全智慧监测项目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pPr>
            <w:r>
              <w:rPr>
                <w:rFonts w:ascii="仿宋_GB2312" w:hAnsi="仿宋_GB2312" w:cs="仿宋_GB2312" w:eastAsia="仿宋_GB2312"/>
                <w:sz w:val="22"/>
              </w:rPr>
              <w:t>一、项目概况</w:t>
            </w:r>
          </w:p>
          <w:p>
            <w:pPr>
              <w:pStyle w:val="null3"/>
              <w:spacing w:after="165"/>
            </w:pPr>
            <w:r>
              <w:rPr>
                <w:rFonts w:ascii="仿宋_GB2312" w:hAnsi="仿宋_GB2312" w:cs="仿宋_GB2312" w:eastAsia="仿宋_GB2312"/>
                <w:sz w:val="22"/>
              </w:rPr>
              <w:t>基于InSAR卫星技术，对西安市建成区房屋建筑实施月度沉降监测，识别显著沉降区域。通过分析累积沉降量与变形趋势，结合建筑安全标准限值，构建本地化房屋安全风险评估算法，并依据西安地质与建筑特征进行优化，提升模型精度与适应性；需满足的要求：符合国家、行业、地方相关规定，符合采购人要求。</w:t>
            </w:r>
          </w:p>
          <w:p>
            <w:pPr>
              <w:pStyle w:val="null3"/>
              <w:spacing w:after="165"/>
            </w:pPr>
            <w:r>
              <w:rPr>
                <w:rFonts w:ascii="仿宋_GB2312" w:hAnsi="仿宋_GB2312" w:cs="仿宋_GB2312" w:eastAsia="仿宋_GB2312"/>
                <w:sz w:val="22"/>
              </w:rPr>
              <w:t>二、技术服务要求</w:t>
            </w:r>
          </w:p>
          <w:p>
            <w:pPr>
              <w:pStyle w:val="null3"/>
              <w:spacing w:after="165"/>
            </w:pPr>
            <w:r>
              <w:rPr>
                <w:rFonts w:ascii="仿宋_GB2312" w:hAnsi="仿宋_GB2312" w:cs="仿宋_GB2312" w:eastAsia="仿宋_GB2312"/>
                <w:sz w:val="22"/>
              </w:rPr>
              <w:t>（一）服务范围</w:t>
            </w:r>
          </w:p>
          <w:p>
            <w:pPr>
              <w:pStyle w:val="null3"/>
              <w:spacing w:after="165"/>
            </w:pPr>
            <w:r>
              <w:rPr>
                <w:rFonts w:ascii="仿宋_GB2312" w:hAnsi="仿宋_GB2312" w:cs="仿宋_GB2312" w:eastAsia="仿宋_GB2312"/>
                <w:sz w:val="22"/>
              </w:rPr>
              <w:t>项目服务范围为西安市建成区既有房屋集中区域，主要涵盖莲湖区、新城区、碑林区、雁塔区、未央区全域及长安区北部（西安南外环高速以北）区域。</w:t>
            </w:r>
          </w:p>
          <w:p>
            <w:pPr>
              <w:pStyle w:val="null3"/>
              <w:spacing w:after="165"/>
            </w:pPr>
            <w:r>
              <w:rPr>
                <w:rFonts w:ascii="仿宋_GB2312" w:hAnsi="仿宋_GB2312" w:cs="仿宋_GB2312" w:eastAsia="仿宋_GB2312"/>
                <w:sz w:val="22"/>
              </w:rPr>
              <w:t>（二）服务内容</w:t>
            </w:r>
          </w:p>
          <w:p>
            <w:pPr>
              <w:pStyle w:val="null3"/>
              <w:spacing w:after="165"/>
            </w:pPr>
            <w:r>
              <w:rPr>
                <w:rFonts w:ascii="仿宋_GB2312" w:hAnsi="仿宋_GB2312" w:cs="仿宋_GB2312" w:eastAsia="仿宋_GB2312"/>
                <w:sz w:val="22"/>
              </w:rPr>
              <w:t>1.雷达数据获取</w:t>
            </w:r>
          </w:p>
          <w:p>
            <w:pPr>
              <w:pStyle w:val="null3"/>
              <w:spacing w:after="165"/>
            </w:pPr>
            <w:r>
              <w:rPr>
                <w:rFonts w:ascii="仿宋_GB2312" w:hAnsi="仿宋_GB2312" w:cs="仿宋_GB2312" w:eastAsia="仿宋_GB2312"/>
                <w:sz w:val="22"/>
              </w:rPr>
              <w:t>提供覆盖服务范围内的高精度SAR卫星影像数据，满足房屋建筑形变监测的精度和周期性要求，拍摄波段为X波段或C波段，分辨率不低于3米，成像模式为条带模式，影像应为同极化、同波段、同升降轨的重轨数据，确保图像质量一致性，且无模糊、错行等质量缺陷。数据获取时间范围为2026年8月至2026年12月，期数不少于3期。（详见“（三）技术指标要求”）</w:t>
            </w:r>
          </w:p>
          <w:p>
            <w:pPr>
              <w:pStyle w:val="null3"/>
              <w:spacing w:after="165"/>
            </w:pPr>
            <w:r>
              <w:rPr>
                <w:rFonts w:ascii="仿宋_GB2312" w:hAnsi="仿宋_GB2312" w:cs="仿宋_GB2312" w:eastAsia="仿宋_GB2312"/>
                <w:sz w:val="22"/>
              </w:rPr>
              <w:t>2.雷达数据处理</w:t>
            </w:r>
          </w:p>
          <w:p>
            <w:pPr>
              <w:pStyle w:val="null3"/>
              <w:spacing w:after="165"/>
            </w:pPr>
            <w:r>
              <w:rPr>
                <w:rFonts w:ascii="仿宋_GB2312" w:hAnsi="仿宋_GB2312" w:cs="仿宋_GB2312" w:eastAsia="仿宋_GB2312"/>
                <w:sz w:val="22"/>
              </w:rPr>
              <w:t>基于2022年至2026年InSAR监测成果，继续开展时间序列InSAR分析，建立完整的InSAR地表形变监测数据库，与西安已有存档雷达数据构成干涉对，并对西安的地面沉降，采用不同的数据处理方法，提高计算的准确性。处理成果应包含各监测点的地理位置、平均形变速率、累计形变量图、沉降趋势图等，处理后的监测结果需要通过精度核验。处理成果应具备点密度与空间分布均匀性，数据结果可用于可视化展示，并支持结构化入库管理。针对西安沉降特点有不同的处理方法。</w:t>
            </w:r>
          </w:p>
          <w:p>
            <w:pPr>
              <w:pStyle w:val="null3"/>
              <w:spacing w:after="165"/>
            </w:pPr>
            <w:r>
              <w:rPr>
                <w:rFonts w:ascii="仿宋_GB2312" w:hAnsi="仿宋_GB2312" w:cs="仿宋_GB2312" w:eastAsia="仿宋_GB2312"/>
                <w:sz w:val="22"/>
              </w:rPr>
              <w:t>3.房屋建筑形变风险综合分析</w:t>
            </w:r>
          </w:p>
          <w:p>
            <w:pPr>
              <w:pStyle w:val="null3"/>
              <w:spacing w:after="165"/>
            </w:pPr>
            <w:r>
              <w:rPr>
                <w:rFonts w:ascii="仿宋_GB2312" w:hAnsi="仿宋_GB2312" w:cs="仿宋_GB2312" w:eastAsia="仿宋_GB2312"/>
                <w:sz w:val="22"/>
              </w:rPr>
              <w:t>在完成时序InSAR监测成果处理的基础上，针对服务范围内的既有房屋建筑开展形变风险识别与分级分析工作。分析应基于监测点的空间分布与形变速率特征，结合建筑结构类型、建造年代、层数和使用功能等基础属性，通过建立合适的评估分析方法，完成对各房屋单体的风险等级划分。同时结合西安地区环境特征、建筑结构特征及历史监测数据，持续开展本地化房屋安全评估算法优化，提升评估方法对西安地区的适用性和准确性。在项目实施周期内，须开展不少于3期（采购后按月分析3期）的风险综合分析任务，评估方法应具备科学性、适用性和可更新性，形成动态监测与风险管控一体化的基础数据支撑体系。</w:t>
            </w:r>
          </w:p>
          <w:p>
            <w:pPr>
              <w:pStyle w:val="null3"/>
              <w:spacing w:after="165"/>
            </w:pPr>
            <w:r>
              <w:rPr>
                <w:rFonts w:ascii="仿宋_GB2312" w:hAnsi="仿宋_GB2312" w:cs="仿宋_GB2312" w:eastAsia="仿宋_GB2312"/>
                <w:sz w:val="22"/>
              </w:rPr>
              <w:t>4.房屋安全预警推送</w:t>
            </w:r>
          </w:p>
          <w:p>
            <w:pPr>
              <w:pStyle w:val="null3"/>
              <w:spacing w:after="165"/>
            </w:pPr>
            <w:r>
              <w:rPr>
                <w:rFonts w:ascii="仿宋_GB2312" w:hAnsi="仿宋_GB2312" w:cs="仿宋_GB2312" w:eastAsia="仿宋_GB2312"/>
                <w:sz w:val="22"/>
              </w:rPr>
              <w:t>基于每月开展的房屋建筑形变风险分析结果，编制形成InSAR遥感排查监测报告与图件成果，对重点关注房屋建筑单体生成形变风险报告，包括房屋详细地址、建筑基础属性、建筑矢量坐标、风险等级说明及风险等级评估表，定期推送各区县行业主管部门开展现场排查核查工作，及时发出预警信号，从而全面提升房屋安全管理的科学化与精细化水平。</w:t>
            </w:r>
          </w:p>
          <w:p>
            <w:pPr>
              <w:pStyle w:val="null3"/>
              <w:spacing w:after="165"/>
            </w:pPr>
            <w:r>
              <w:rPr>
                <w:rFonts w:ascii="仿宋_GB2312" w:hAnsi="仿宋_GB2312" w:cs="仿宋_GB2312" w:eastAsia="仿宋_GB2312"/>
                <w:sz w:val="22"/>
              </w:rPr>
              <w:t>5.外业核验及专家咨询</w:t>
            </w:r>
          </w:p>
          <w:p>
            <w:pPr>
              <w:pStyle w:val="null3"/>
              <w:spacing w:after="165"/>
            </w:pPr>
            <w:r>
              <w:rPr>
                <w:rFonts w:ascii="仿宋_GB2312" w:hAnsi="仿宋_GB2312" w:cs="仿宋_GB2312" w:eastAsia="仿宋_GB2312"/>
                <w:sz w:val="22"/>
              </w:rPr>
              <w:t>每期房屋形变风险综合分析成果完成后，应对内业重点关注房屋清单内所有建筑实施全覆盖外业核验，逐栋核实房屋周边环境、结构体系现状，排查结构安全隐患，校核风险识别、风险等级划分成果。项目实施期间，适时组织开展先进城市专题调研学习，借鉴国内房屋形变监测、InSAR 技术落地应用成熟经验做法，赋能项目技术工作。每期外业核验工作结束后，组织房屋安全、InSAR 遥感、工程地质相关专家开展咨询论证，比对研判形变风险分析结论与现场实际安全情况，提出优化建议，保障监测成果可靠可用。</w:t>
            </w:r>
          </w:p>
          <w:p>
            <w:pPr>
              <w:pStyle w:val="null3"/>
              <w:spacing w:after="165"/>
            </w:pPr>
            <w:r>
              <w:rPr>
                <w:rFonts w:ascii="仿宋_GB2312" w:hAnsi="仿宋_GB2312" w:cs="仿宋_GB2312" w:eastAsia="仿宋_GB2312"/>
                <w:sz w:val="22"/>
              </w:rPr>
              <w:t>（三）技术指标要求</w:t>
            </w:r>
          </w:p>
          <w:p>
            <w:pPr>
              <w:pStyle w:val="null3"/>
              <w:spacing w:after="165"/>
            </w:pPr>
            <w:r>
              <w:rPr>
                <w:rFonts w:ascii="仿宋_GB2312" w:hAnsi="仿宋_GB2312" w:cs="仿宋_GB2312" w:eastAsia="仿宋_GB2312"/>
                <w:sz w:val="22"/>
              </w:rPr>
              <w:t>（1）传感器类型</w:t>
            </w:r>
          </w:p>
          <w:p>
            <w:pPr>
              <w:pStyle w:val="null3"/>
              <w:spacing w:after="165"/>
            </w:pPr>
            <w:r>
              <w:rPr>
                <w:rFonts w:ascii="仿宋_GB2312" w:hAnsi="仿宋_GB2312" w:cs="仿宋_GB2312" w:eastAsia="仿宋_GB2312"/>
                <w:sz w:val="22"/>
              </w:rPr>
              <w:t>在轨运行的合成孔径雷达(SAR)卫星传感器，在本项目实施期间使用相同的卫星传感器且确保具有干涉能力。</w:t>
            </w:r>
          </w:p>
          <w:p>
            <w:pPr>
              <w:pStyle w:val="null3"/>
              <w:spacing w:after="165"/>
            </w:pPr>
            <w:r>
              <w:rPr>
                <w:rFonts w:ascii="仿宋_GB2312" w:hAnsi="仿宋_GB2312" w:cs="仿宋_GB2312" w:eastAsia="仿宋_GB2312"/>
                <w:sz w:val="22"/>
              </w:rPr>
              <w:t>（2）分辨率</w:t>
            </w:r>
          </w:p>
          <w:p>
            <w:pPr>
              <w:pStyle w:val="null3"/>
              <w:spacing w:after="165"/>
            </w:pPr>
            <w:r>
              <w:rPr>
                <w:rFonts w:ascii="仿宋_GB2312" w:hAnsi="仿宋_GB2312" w:cs="仿宋_GB2312" w:eastAsia="仿宋_GB2312"/>
                <w:sz w:val="22"/>
              </w:rPr>
              <w:t>影像像元大小（距离向和方位向分辨率）不低于3米。</w:t>
            </w:r>
          </w:p>
          <w:p>
            <w:pPr>
              <w:pStyle w:val="null3"/>
              <w:spacing w:after="165"/>
            </w:pPr>
            <w:r>
              <w:rPr>
                <w:rFonts w:ascii="仿宋_GB2312" w:hAnsi="仿宋_GB2312" w:cs="仿宋_GB2312" w:eastAsia="仿宋_GB2312"/>
                <w:sz w:val="22"/>
              </w:rPr>
              <w:t>（3）获取时间及期数（数据时效、间隔）</w:t>
            </w:r>
          </w:p>
          <w:p>
            <w:pPr>
              <w:pStyle w:val="null3"/>
              <w:spacing w:after="165"/>
            </w:pPr>
            <w:r>
              <w:rPr>
                <w:rFonts w:ascii="仿宋_GB2312" w:hAnsi="仿宋_GB2312" w:cs="仿宋_GB2312" w:eastAsia="仿宋_GB2312"/>
                <w:sz w:val="22"/>
              </w:rPr>
              <w:t>自项目实施起，供应商须提供数据时间范围2026年8月至2026年12月，同时提供项目实施期内的月度最新编程SAR数据，累计不少于3期。上述数据均应来源合法、权属清晰，覆盖区域完整，能支撑城市级长期形变监测需求。</w:t>
            </w:r>
          </w:p>
          <w:p>
            <w:pPr>
              <w:pStyle w:val="null3"/>
              <w:spacing w:after="165"/>
            </w:pPr>
            <w:r>
              <w:rPr>
                <w:rFonts w:ascii="仿宋_GB2312" w:hAnsi="仿宋_GB2312" w:cs="仿宋_GB2312" w:eastAsia="仿宋_GB2312"/>
                <w:sz w:val="22"/>
              </w:rPr>
              <w:t>（4）成像模式与数据质量</w:t>
            </w:r>
          </w:p>
          <w:p>
            <w:pPr>
              <w:pStyle w:val="null3"/>
              <w:spacing w:after="165"/>
            </w:pPr>
            <w:r>
              <w:rPr>
                <w:rFonts w:ascii="仿宋_GB2312" w:hAnsi="仿宋_GB2312" w:cs="仿宋_GB2312" w:eastAsia="仿宋_GB2312"/>
                <w:sz w:val="22"/>
              </w:rPr>
              <w:t>成像模式要求为条带模式；</w:t>
            </w:r>
          </w:p>
          <w:p>
            <w:pPr>
              <w:pStyle w:val="null3"/>
              <w:spacing w:after="165"/>
            </w:pPr>
            <w:r>
              <w:rPr>
                <w:rFonts w:ascii="仿宋_GB2312" w:hAnsi="仿宋_GB2312" w:cs="仿宋_GB2312" w:eastAsia="仿宋_GB2312"/>
                <w:sz w:val="22"/>
              </w:rPr>
              <w:t>数据质量要求重复获取影像为同极化、同波段、同升降轨的重轨数据，并保证影像质量无模糊、错行等问题。</w:t>
            </w:r>
          </w:p>
          <w:p>
            <w:pPr>
              <w:pStyle w:val="null3"/>
              <w:spacing w:after="165"/>
            </w:pPr>
            <w:r>
              <w:rPr>
                <w:rFonts w:ascii="仿宋_GB2312" w:hAnsi="仿宋_GB2312" w:cs="仿宋_GB2312" w:eastAsia="仿宋_GB2312"/>
                <w:sz w:val="22"/>
              </w:rPr>
              <w:t>（5）卫星入射角</w:t>
            </w:r>
          </w:p>
          <w:p>
            <w:pPr>
              <w:pStyle w:val="null3"/>
              <w:spacing w:after="165"/>
            </w:pPr>
            <w:r>
              <w:rPr>
                <w:rFonts w:ascii="仿宋_GB2312" w:hAnsi="仿宋_GB2312" w:cs="仿宋_GB2312" w:eastAsia="仿宋_GB2312"/>
                <w:sz w:val="22"/>
              </w:rPr>
              <w:t>卫星拍摄入射角要求在20-45度之间，需要根据拍摄区域的地形情况结合本项目需求进行优化设定。</w:t>
            </w:r>
          </w:p>
          <w:p>
            <w:pPr>
              <w:pStyle w:val="null3"/>
              <w:spacing w:after="165"/>
            </w:pPr>
            <w:r>
              <w:rPr>
                <w:rFonts w:ascii="仿宋_GB2312" w:hAnsi="仿宋_GB2312" w:cs="仿宋_GB2312" w:eastAsia="仿宋_GB2312"/>
                <w:sz w:val="22"/>
              </w:rPr>
              <w:t>（6）数学基础</w:t>
            </w:r>
          </w:p>
          <w:p>
            <w:pPr>
              <w:pStyle w:val="null3"/>
              <w:spacing w:after="165"/>
            </w:pPr>
            <w:r>
              <w:rPr>
                <w:rFonts w:ascii="仿宋_GB2312" w:hAnsi="仿宋_GB2312" w:cs="仿宋_GB2312" w:eastAsia="仿宋_GB2312"/>
                <w:sz w:val="22"/>
              </w:rPr>
              <w:t>地理坐标系：2000国家大地坐标系；</w:t>
            </w:r>
          </w:p>
          <w:p>
            <w:pPr>
              <w:pStyle w:val="null3"/>
              <w:spacing w:after="165"/>
            </w:pPr>
            <w:r>
              <w:rPr>
                <w:rFonts w:ascii="仿宋_GB2312" w:hAnsi="仿宋_GB2312" w:cs="仿宋_GB2312" w:eastAsia="仿宋_GB2312"/>
                <w:sz w:val="22"/>
              </w:rPr>
              <w:t>高程基准：1985国家高程基准。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供应商需配备能力和人数满足本项目工作内容的服务团队。另外，需根据采购人工作需要临时聘请相关专家和技术人员提供专业指导和技术服务。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预付款，双方签订合同后，供应商开具相应增值税发票，采购人收到发票后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进度款，全部服务内容完成验收合格后，供应商开具增值税发票 ，采购人收到发票后，达到付款条件起10个工作日内，支付合同总金额的50.0%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二）合同争议的解决方式 在执行本合同中发生的或与本合同有关的争端，双方应通过友好协商解决，经协商在30天内不能达成协议时，向甲方所在地有管辖权的人民法院提起诉讼。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供应商应提供健全的财务会计制度的证明：需提供2024年度或2025年度经审计的供应商财务会计报告或者提供响应文件截止时间3个月内其基本账户开户银行出具的资信证明；公益类事业单位可不提供；（3）税收缴纳证明：提供供应商自磋商前1年以来已缴纳任意时段完税凭证或税务机关开具的完税证明（任意税种）；依法免税的应提供相关文件证明；公益类事业单位可不提供； （4）社会保障资金缴纳证明：提供供应商自磋商前1年以来已缴存的任意时段的社会保障资金缴存单据或社保机构开具的社会保险参保缴费情况证明；依法不需要缴纳社会保障资金的供应商应提供相关文件证明；公益类事业单位可不提供； （5）提供供应商具备履行合同所必需的设备和专业技术能力的证明材料； （6）供应商参加本次磋商前3年内，在经营活动中没有重大违法记录的书面声明；（7）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供应商需在项目电子化交易系统中按要求填写《响应函》完成承诺并进行电子签章。供应商需在《供应商应提交的相关资格证明材料》中提供上述资格证明材料。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①本项目接受联合体投标，联合体供应商须提供联合体协议，联合体全体成员（含牵头单位）总数不得超过2家；②联合体各方均须满足《政府采购法》第二十二条全部条件。③联合体各方不得再单独或与其他单位另行组建联合体参与本项目投标。</w:t>
            </w:r>
          </w:p>
        </w:tc>
        <w:tc>
          <w:tcPr>
            <w:tcW w:type="dxa" w:w="1661"/>
          </w:tcPr>
          <w:p>
            <w:pPr>
              <w:pStyle w:val="null3"/>
            </w:pPr>
            <w:r>
              <w:rPr>
                <w:rFonts w:ascii="仿宋_GB2312" w:hAnsi="仿宋_GB2312" w:cs="仿宋_GB2312" w:eastAsia="仿宋_GB2312"/>
              </w:rPr>
              <w:t>供应商应提交的相关资格证明材料.docx 联合体协议.docx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费用组成明细表.docx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费用组成明细表.docx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法定代表人（单位负责人）身份证明或委托授权书.docx 费用组成明细表.docx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对项目认知和实施目的理解的认识和理解</w:t>
            </w:r>
          </w:p>
        </w:tc>
        <w:tc>
          <w:tcPr>
            <w:tcW w:type="dxa" w:w="2492"/>
          </w:tcPr>
          <w:p>
            <w:pPr>
              <w:pStyle w:val="null3"/>
            </w:pPr>
            <w:r>
              <w:rPr>
                <w:rFonts w:ascii="仿宋_GB2312" w:hAnsi="仿宋_GB2312" w:cs="仿宋_GB2312" w:eastAsia="仿宋_GB2312"/>
              </w:rPr>
              <w:t>一、评审内容：①对项目背景和实施目的理解和认识；②对本项目涉及的整体服务内容、主要工作方法、形成的成果文件等方面的理解和分析。 评审标准：①-②项，每一项方案专门针对本项目且符合本项目实际需求的得3分，缺一项扣3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一、评审内容：根据采购需求编制本项目实施方案，内容包含：①雷达数据获取方案；②雷达数据处理方案；③房屋建筑形变风险综合分析方案；④房屋安全预警推送建设方案； ⑤ 外业核验及专家咨询方案。 评审标准：①-⑤项，每一项方案专门针对本项目且符合本项目实际需求的得3分，缺一项扣3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为保障项目顺利实施，供应商根据项目需求及特点，编制相关保障措施，内容包括：①供应商对服务实施质量、全周期服务进度管控保障措施；②供应商有数据质量保障与数据供应保障方案；③项目技术实施架构、现场服务组织管理配套措施；④ 历史监测数据衔接对接专项保障方案。 二、评审标准： ①-④项，每一项方案专门针对本项目且符合本项目实际需求的得2.5分，缺一项扣2.5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一、评审内容：①对服务标准、过程管理、成果质量等方面作出承诺；②对服务期内，服务团队的稳定性作出承诺；③对项目后期服务及配合采购人相关工作等相关内容作出承诺。 二、评审标准：①-③项，每一项方案专门针对本项目且符合本项目实际需求的得3分，缺一项扣3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处理软件</w:t>
            </w:r>
          </w:p>
        </w:tc>
        <w:tc>
          <w:tcPr>
            <w:tcW w:type="dxa" w:w="2492"/>
          </w:tcPr>
          <w:p>
            <w:pPr>
              <w:pStyle w:val="null3"/>
            </w:pPr>
            <w:r>
              <w:rPr>
                <w:rFonts w:ascii="仿宋_GB2312" w:hAnsi="仿宋_GB2312" w:cs="仿宋_GB2312" w:eastAsia="仿宋_GB2312"/>
              </w:rPr>
              <w:t>为保证信息与数据安全，采用国产化InSAR处理软件，软件完全国产化的得5分，需提供软件的软著证书及厂商授权使用证明。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数据合法性证明</w:t>
            </w:r>
          </w:p>
        </w:tc>
        <w:tc>
          <w:tcPr>
            <w:tcW w:type="dxa" w:w="2492"/>
          </w:tcPr>
          <w:p>
            <w:pPr>
              <w:pStyle w:val="null3"/>
            </w:pPr>
            <w:r>
              <w:rPr>
                <w:rFonts w:ascii="仿宋_GB2312" w:hAnsi="仿宋_GB2312" w:cs="仿宋_GB2312" w:eastAsia="仿宋_GB2312"/>
              </w:rPr>
              <w:t>供应商需要提供符合本项目要求的SAR卫星遥感影像数据获取合法来源证明文件，证明供应商有权销售及使用相关产品，数据源不受到第三方关于知识产权等方面的指控。（提供证明材料复印件并加盖供应商公章）。提供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技术支撑评审</w:t>
            </w:r>
          </w:p>
        </w:tc>
        <w:tc>
          <w:tcPr>
            <w:tcW w:type="dxa" w:w="2492"/>
          </w:tcPr>
          <w:p>
            <w:pPr>
              <w:pStyle w:val="null3"/>
            </w:pPr>
            <w:r>
              <w:rPr>
                <w:rFonts w:ascii="仿宋_GB2312" w:hAnsi="仿宋_GB2312" w:cs="仿宋_GB2312" w:eastAsia="仿宋_GB2312"/>
              </w:rPr>
              <w:t>供应商在SAR数据处理、房屋风险评估等工作方面，有专业软件/系统平台支撑的，每提供一类得3分，最高得6分。 注：提供以下软件/系统平台证明文件之一并加盖供应商公章，未提供不得分：①自主研发的软件/系统平台可提供软件著作权复印件；②代理的软件/系统平台可提供代理授权书或软件代理合同复印件；③购买或租赁的软件/系统平台可提供购买或租赁合同及任一张发票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供应商根据本项目要求，合理配置项目负责人、项目技术负责人及其他专业技术人员。 评审标准： 1.项目负责人（最高5分） （1）具有测绘及相关专业博士及以上学历的，得2分；硕士研究生学历的，得1分； （2）具有测绘及相关专业职称的，正高级职称得3分；高级职称得1分。 2.项目技术负责人（最高4分） （1）具有测绘及相关专业硕士研究生及以上学历的，得2分；本科学历的，得0.5分； （2）具有测绘及相关专业职称的，高级及以上职称得2分；中级职称得0.5分。 3.其他项目成员（最高10分） 职称评分：具有测绘及相关专业中级及以上职称每人得2分；初级职称的每人得0.5分。 注：所列“测绘相关专业”包括大地测量、工程测量、摄影测量与遥感、地图制图、地理信息、地籍测绘、测绘工程、土地管理等专业。所有人员证书复印件须加盖供应商公章，需同时提供本单位证明。</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（1）具有利用InSAR技术进行城市级建筑/安全监测项目业绩的，每提供1个业绩得3分，最高得9分； （2）具有城市级建筑类调查监测或数据库建设类似项目业绩的，每提供1个业绩得3分，最高得6分。 注：业绩以中标（成交）通知书或合同为依据。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以本次满足磋商文件要求的最低磋商评审价为磋商基准价，其价格为满分，供应商的价格分，统一按照下列公式计算：磋商评审价=最后报价×（1-报价扣除幅度） ，最后报价得分=(磋商基准价／磋商评审价)×价格分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联合体协议.docx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详见附件：供应商业绩证明材料.docx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详见附件：联合体协议.docx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