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版本号：政采-佛坪县-2026-0016120260818001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2026年中央财政林草有害生物防治佛坪县项目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政采-佛坪县-2026-00161</w:t>
      </w:r>
      <w:r>
        <w:br/>
      </w:r>
      <w:r>
        <w:br/>
      </w:r>
      <w:r>
        <w:br/>
      </w:r>
    </w:p>
    <w:p>
      <w:pPr>
        <w:pStyle w:val="null3"/>
        <w:jc w:val="center"/>
        <w:outlineLvl w:val="2"/>
      </w:pPr>
      <w:r>
        <w:rPr>
          <w:rFonts w:ascii="仿宋_GB2312" w:hAnsi="仿宋_GB2312" w:cs="仿宋_GB2312" w:eastAsia="仿宋_GB2312"/>
          <w:sz w:val="28"/>
          <w:b/>
        </w:rPr>
        <w:t>佛坪县秦岭生态保护中心</w:t>
      </w:r>
    </w:p>
    <w:p>
      <w:pPr>
        <w:pStyle w:val="null3"/>
        <w:jc w:val="center"/>
        <w:outlineLvl w:val="2"/>
      </w:pPr>
      <w:r>
        <w:rPr>
          <w:rFonts w:ascii="仿宋_GB2312" w:hAnsi="仿宋_GB2312" w:cs="仿宋_GB2312" w:eastAsia="仿宋_GB2312"/>
          <w:sz w:val="28"/>
          <w:b/>
        </w:rPr>
        <w:t>红昕国际项目管理有限公司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红昕国际项目管理有限公司</w:t>
      </w:r>
      <w:r>
        <w:rPr>
          <w:rFonts w:ascii="仿宋_GB2312" w:hAnsi="仿宋_GB2312" w:cs="仿宋_GB2312" w:eastAsia="仿宋_GB2312"/>
        </w:rPr>
        <w:t>（以下简称“代理机构”）受</w:t>
      </w:r>
      <w:r>
        <w:rPr>
          <w:rFonts w:ascii="仿宋_GB2312" w:hAnsi="仿宋_GB2312" w:cs="仿宋_GB2312" w:eastAsia="仿宋_GB2312"/>
        </w:rPr>
        <w:t>佛坪县秦岭生态保护中心</w:t>
      </w:r>
      <w:r>
        <w:rPr>
          <w:rFonts w:ascii="仿宋_GB2312" w:hAnsi="仿宋_GB2312" w:cs="仿宋_GB2312" w:eastAsia="仿宋_GB2312"/>
        </w:rPr>
        <w:t>委托，拟对</w:t>
      </w:r>
      <w:r>
        <w:rPr>
          <w:rFonts w:ascii="仿宋_GB2312" w:hAnsi="仿宋_GB2312" w:cs="仿宋_GB2312" w:eastAsia="仿宋_GB2312"/>
        </w:rPr>
        <w:t>2026年中央财政林草有害生物防治佛坪县项目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政采-佛坪县-2026-00161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2026年中央财政林草有害生物防治佛坪县项目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松材线虫病飞机喷药防治、树干注药防治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采购包1（2026年中央财政林草有害生物防治佛坪县项目）：属于专门面向中小企业采购。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供应商需在项目电子化交易系统中按要求上传相应证明文件并进行电子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4、供应商需在项目电子化交易系统中按要求上传相应证明文件并进行电子签章。：供应商应提供有效期内《陕西省林业有害生物防治资质证书》丙级及以上资质证书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佛坪县熊猫大道18号林业局2楼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佛坪县秦岭生态保护中心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15929515312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红昕国际项目管理有限公司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陕西省汉中市城固县莲花街道办事处东环路社区荷浦路11-12-13号商铺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汪家辉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15291589768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代理服务费收费标准：本项目代理费按照5000元收取。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佛坪县秦岭生态保护中心</w:t>
      </w:r>
      <w:r>
        <w:rPr>
          <w:rFonts w:ascii="仿宋_GB2312" w:hAnsi="仿宋_GB2312" w:cs="仿宋_GB2312" w:eastAsia="仿宋_GB2312"/>
        </w:rPr>
        <w:t>和</w:t>
      </w:r>
      <w:r>
        <w:rPr>
          <w:rFonts w:ascii="仿宋_GB2312" w:hAnsi="仿宋_GB2312" w:cs="仿宋_GB2312" w:eastAsia="仿宋_GB2312"/>
        </w:rPr>
        <w:t>红昕国际项目管理有限公司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佛坪县秦岭生态保护中心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红昕国际项目管理有限公司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联系人：汪家辉</w:t>
      </w:r>
    </w:p>
    <w:p>
      <w:pPr>
        <w:pStyle w:val="null3"/>
      </w:pPr>
      <w:r>
        <w:rPr>
          <w:rFonts w:ascii="仿宋_GB2312" w:hAnsi="仿宋_GB2312" w:cs="仿宋_GB2312" w:eastAsia="仿宋_GB2312"/>
        </w:rPr>
        <w:t>联系电话：15291589768</w:t>
      </w:r>
    </w:p>
    <w:p>
      <w:pPr>
        <w:pStyle w:val="null3"/>
      </w:pPr>
      <w:r>
        <w:rPr>
          <w:rFonts w:ascii="仿宋_GB2312" w:hAnsi="仿宋_GB2312" w:cs="仿宋_GB2312" w:eastAsia="仿宋_GB2312"/>
        </w:rPr>
        <w:t>地址：陕西省汉中市城固县莲花街道办事处东环路社区荷浦路11-12-13号商铺</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松材线虫病飞机喷药防治、树干注药防治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372,880.00</w:t>
      </w:r>
    </w:p>
    <w:p>
      <w:pPr>
        <w:pStyle w:val="null3"/>
      </w:pPr>
      <w:r>
        <w:rPr>
          <w:rFonts w:ascii="仿宋_GB2312" w:hAnsi="仿宋_GB2312" w:cs="仿宋_GB2312" w:eastAsia="仿宋_GB2312"/>
        </w:rPr>
        <w:t>采购包最高限价（元）: 372,880.00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2026年中央财政林草有害生物防治佛坪县项目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372,880.00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标的名称：2026年中央财政林草有害生物防治佛坪县项目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after="165"/>
            </w:pPr>
            <w:r>
              <w:rPr>
                <w:rFonts w:ascii="仿宋_GB2312" w:hAnsi="仿宋_GB2312" w:cs="仿宋_GB2312" w:eastAsia="仿宋_GB2312"/>
                <w:sz w:val="18"/>
              </w:rPr>
              <w:t>一、</w:t>
            </w:r>
            <w:r>
              <w:rPr>
                <w:rFonts w:ascii="仿宋_GB2312" w:hAnsi="仿宋_GB2312" w:cs="仿宋_GB2312" w:eastAsia="仿宋_GB2312"/>
                <w:sz w:val="18"/>
              </w:rPr>
              <w:t>服务项目内容与目标任务</w:t>
            </w:r>
          </w:p>
          <w:p>
            <w:pPr>
              <w:pStyle w:val="null3"/>
            </w:pPr>
            <w:r>
              <w:rPr>
                <w:rFonts w:ascii="仿宋_GB2312" w:hAnsi="仿宋_GB2312" w:cs="仿宋_GB2312" w:eastAsia="仿宋_GB2312"/>
                <w:sz w:val="18"/>
              </w:rPr>
              <w:t>1.无人机喷药防治</w:t>
            </w:r>
            <w:r>
              <w:rPr>
                <w:rFonts w:ascii="仿宋_GB2312" w:hAnsi="仿宋_GB2312" w:cs="仿宋_GB2312" w:eastAsia="仿宋_GB2312"/>
                <w:sz w:val="18"/>
              </w:rPr>
              <w:t>5000亩：</w:t>
            </w:r>
            <w:r>
              <w:rPr>
                <w:rFonts w:ascii="仿宋_GB2312" w:hAnsi="仿宋_GB2312" w:cs="仿宋_GB2312" w:eastAsia="仿宋_GB2312"/>
                <w:sz w:val="18"/>
              </w:rPr>
              <w:t>在佛坪县长角坝镇、袁家庄街道办、西岔河镇、石墩河镇、陈家坝镇范围内（具体地点以设计方案或实际监测防治需要确定）开展无人机喷药防治。选用3%噻虫啉微囊悬浮剂，使用100g；300亿孢子/克球孢白僵菌农药，亩用50g。选用农用尿素作为沉降剂，亩用20g,兑水成1000g混合液。飞防后 30 天开展效果调查：对比防治区与对照区计算虫口减退</w:t>
            </w:r>
            <w:r>
              <w:rPr>
                <w:rFonts w:ascii="仿宋_GB2312" w:hAnsi="仿宋_GB2312" w:cs="仿宋_GB2312" w:eastAsia="仿宋_GB2312"/>
                <w:sz w:val="18"/>
              </w:rPr>
              <w:t>率；结合水敏纸雾滴质量综合评价虫口仍偏高，及时开展补喷。</w:t>
            </w:r>
          </w:p>
          <w:p>
            <w:pPr>
              <w:pStyle w:val="null3"/>
            </w:pPr>
            <w:r>
              <w:rPr>
                <w:rFonts w:ascii="仿宋_GB2312" w:hAnsi="仿宋_GB2312" w:cs="仿宋_GB2312" w:eastAsia="仿宋_GB2312"/>
                <w:sz w:val="18"/>
              </w:rPr>
              <w:t>2.松树树干注药防治：在长角坝镇、袁家庄街道办，按照甲方设计或指定的区域（地块小班），对松材线虫病疫点和景点等重点区域亚健康松树，采用高压动力注射，进行树干注药11144瓶（防治松树9000颗以上），药剂选用有效成分5%以上的甲氨基阿维菌素苯甲酸盐微乳剂，所用药剂三证齐全，符合招标文件要求。以每株数定位照片印证。施药10月后，采用人工踏查或无人机勘察方法进行注药松树死亡数量调查，以注药松树存活率计算防治效果。参照GB/T 23478松材线虫病普查监测技术规程执行。注药松树存活率=[1-（死亡松树数/注药松树总数）]*100%。</w:t>
            </w:r>
          </w:p>
          <w:p>
            <w:pPr>
              <w:pStyle w:val="null3"/>
            </w:pPr>
            <w:r>
              <w:rPr>
                <w:rFonts w:ascii="仿宋_GB2312" w:hAnsi="仿宋_GB2312" w:cs="仿宋_GB2312" w:eastAsia="仿宋_GB2312"/>
                <w:sz w:val="18"/>
              </w:rPr>
              <w:t>二、技术标准要求</w:t>
            </w:r>
          </w:p>
          <w:p>
            <w:pPr>
              <w:pStyle w:val="null3"/>
            </w:pPr>
            <w:r>
              <w:rPr>
                <w:rFonts w:ascii="仿宋_GB2312" w:hAnsi="仿宋_GB2312" w:cs="仿宋_GB2312" w:eastAsia="仿宋_GB2312"/>
                <w:sz w:val="18"/>
              </w:rPr>
              <w:t>（一）无人机喷药防治</w:t>
            </w:r>
          </w:p>
          <w:p>
            <w:pPr>
              <w:pStyle w:val="null3"/>
            </w:pPr>
            <w:r>
              <w:rPr>
                <w:rFonts w:ascii="仿宋_GB2312" w:hAnsi="仿宋_GB2312" w:cs="仿宋_GB2312" w:eastAsia="仿宋_GB2312"/>
                <w:sz w:val="18"/>
              </w:rPr>
              <w:t>1、选用3%噻虫啉微囊悬浮剂，亩使用100g；300亿孢子/克球孢白僵菌农药，亩用50g。选用农用尿素作为沉降剂，亩用20g,兑水成1000g混合液。</w:t>
            </w:r>
          </w:p>
          <w:p>
            <w:pPr>
              <w:pStyle w:val="null3"/>
            </w:pPr>
            <w:r>
              <w:rPr>
                <w:rFonts w:ascii="仿宋_GB2312" w:hAnsi="仿宋_GB2312" w:cs="仿宋_GB2312" w:eastAsia="仿宋_GB2312"/>
                <w:sz w:val="18"/>
              </w:rPr>
              <w:t>2、飞防作业前，在小班内随机或均匀布设5个以上载玻片或荧光纸片，待喷洒作业结束后，根据载玻片或荧光纸上喷洒药物的雾滴密度来判断飞防作业质量。</w:t>
            </w:r>
          </w:p>
          <w:p>
            <w:pPr>
              <w:pStyle w:val="null3"/>
            </w:pPr>
            <w:r>
              <w:rPr>
                <w:rFonts w:ascii="仿宋_GB2312" w:hAnsi="仿宋_GB2312" w:cs="仿宋_GB2312" w:eastAsia="仿宋_GB2312"/>
                <w:sz w:val="18"/>
              </w:rPr>
              <w:t>3、一个架次或一个小班或一个飞行工作日结束后，查看航迹图。根据航迹的均匀程度和连续几个架次的拟合程度来判断是否漏喷错喷。飞防作业结束时由飞行员导出航迹图交甲方保存备用。</w:t>
            </w:r>
          </w:p>
          <w:p>
            <w:pPr>
              <w:pStyle w:val="null3"/>
            </w:pPr>
            <w:r>
              <w:rPr>
                <w:rFonts w:ascii="仿宋_GB2312" w:hAnsi="仿宋_GB2312" w:cs="仿宋_GB2312" w:eastAsia="仿宋_GB2312"/>
                <w:sz w:val="18"/>
              </w:rPr>
              <w:t>4、球孢白僵菌有效成分为每克300亿孢子，噻虫啉有效成分为3%微囊悬浮剂。药品为国家正式批准的生产厂家，附有生产合格证，药品有效期限或生产厂家证明及农药三证。</w:t>
            </w:r>
          </w:p>
          <w:p>
            <w:pPr>
              <w:pStyle w:val="null3"/>
            </w:pPr>
            <w:r>
              <w:rPr>
                <w:rFonts w:ascii="仿宋_GB2312" w:hAnsi="仿宋_GB2312" w:cs="仿宋_GB2312" w:eastAsia="仿宋_GB2312"/>
                <w:sz w:val="18"/>
              </w:rPr>
              <w:t>5、飞机喷洒药物的雾滴密度必须达到每平方厘米15滴以上。载玻片或荧光纸片每平方厘米低于15滴，即视为本小班作业不达标，需重新进行飞防作业。</w:t>
            </w:r>
          </w:p>
          <w:p>
            <w:pPr>
              <w:pStyle w:val="null3"/>
            </w:pPr>
            <w:r>
              <w:rPr>
                <w:rFonts w:ascii="仿宋_GB2312" w:hAnsi="仿宋_GB2312" w:cs="仿宋_GB2312" w:eastAsia="仿宋_GB2312"/>
                <w:sz w:val="18"/>
              </w:rPr>
              <w:t>（二）树干注药防治</w:t>
            </w:r>
          </w:p>
          <w:p>
            <w:pPr>
              <w:pStyle w:val="null3"/>
            </w:pPr>
            <w:r>
              <w:rPr>
                <w:rFonts w:ascii="仿宋_GB2312" w:hAnsi="仿宋_GB2312" w:cs="仿宋_GB2312" w:eastAsia="仿宋_GB2312"/>
                <w:sz w:val="18"/>
              </w:rPr>
              <w:t>采用高压动力注射，进行树干注药11144瓶（防治松树9000以上），药剂选用有效成分5%以上的甲氨基阿维菌素苯甲酸盐微乳剂，所用药剂三证齐全，并用手机app定位拍照，做好台账记录，严格按照国家农药安全使用规程和使用说明开展防治，包装物及时回收，药剂吸收完后废药瓶全部收回，集中销毁处理，避免造成环境污染。具体标准施工内容与流程如下：</w:t>
            </w:r>
          </w:p>
          <w:p>
            <w:pPr>
              <w:pStyle w:val="null3"/>
            </w:pPr>
            <w:r>
              <w:rPr>
                <w:rFonts w:ascii="仿宋_GB2312" w:hAnsi="仿宋_GB2312" w:cs="仿宋_GB2312" w:eastAsia="仿宋_GB2312"/>
                <w:sz w:val="18"/>
              </w:rPr>
              <w:t>1、施工时间为2026年12月至次年2月(树液流动前)。</w:t>
            </w:r>
          </w:p>
          <w:p>
            <w:pPr>
              <w:pStyle w:val="null3"/>
            </w:pPr>
            <w:r>
              <w:rPr>
                <w:rFonts w:ascii="仿宋_GB2312" w:hAnsi="仿宋_GB2312" w:cs="仿宋_GB2312" w:eastAsia="仿宋_GB2312"/>
                <w:sz w:val="18"/>
              </w:rPr>
              <w:t>2、高压电力注药设备要求</w:t>
            </w:r>
          </w:p>
          <w:p>
            <w:pPr>
              <w:pStyle w:val="null3"/>
            </w:pPr>
            <w:r>
              <w:rPr>
                <w:rFonts w:ascii="仿宋_GB2312" w:hAnsi="仿宋_GB2312" w:cs="仿宋_GB2312" w:eastAsia="仿宋_GB2312"/>
                <w:sz w:val="18"/>
              </w:rPr>
              <w:t>设备：电动高压树干注药机，配套专用钻头、注药钉 / 注药瓶、密封胶圈；压力表完好，可调控工作压力。</w:t>
            </w:r>
          </w:p>
          <w:p>
            <w:pPr>
              <w:pStyle w:val="null3"/>
            </w:pPr>
            <w:r>
              <w:rPr>
                <w:rFonts w:ascii="仿宋_GB2312" w:hAnsi="仿宋_GB2312" w:cs="仿宋_GB2312" w:eastAsia="仿宋_GB2312"/>
                <w:sz w:val="18"/>
              </w:rPr>
              <w:t>工作压力控制（核心）</w:t>
            </w:r>
          </w:p>
          <w:p>
            <w:pPr>
              <w:pStyle w:val="null3"/>
            </w:pPr>
            <w:r>
              <w:rPr>
                <w:rFonts w:ascii="仿宋_GB2312" w:hAnsi="仿宋_GB2312" w:cs="仿宋_GB2312" w:eastAsia="仿宋_GB2312"/>
                <w:sz w:val="18"/>
              </w:rPr>
              <w:t>工作压力：0.8‑1.2MPa，严禁超过 1.5MPa；压力过高会造成树皮炸裂、韧皮部撕裂，树体受伤；压力过低药液打不进木质部。</w:t>
            </w:r>
          </w:p>
          <w:p>
            <w:pPr>
              <w:pStyle w:val="null3"/>
            </w:pPr>
            <w:r>
              <w:rPr>
                <w:rFonts w:ascii="仿宋_GB2312" w:hAnsi="仿宋_GB2312" w:cs="仿宋_GB2312" w:eastAsia="仿宋_GB2312"/>
                <w:sz w:val="18"/>
              </w:rPr>
              <w:t>钻头：直径 4‑5mm，钻头锋利；避免钝钻头造成孔道木丝堵塞。</w:t>
            </w:r>
          </w:p>
          <w:p>
            <w:pPr>
              <w:pStyle w:val="null3"/>
            </w:pPr>
            <w:r>
              <w:rPr>
                <w:rFonts w:ascii="仿宋_GB2312" w:hAnsi="仿宋_GB2312" w:cs="仿宋_GB2312" w:eastAsia="仿宋_GB2312"/>
                <w:sz w:val="18"/>
              </w:rPr>
              <w:t>3、钻孔技术要点</w:t>
            </w:r>
          </w:p>
          <w:p>
            <w:pPr>
              <w:pStyle w:val="null3"/>
            </w:pPr>
            <w:r>
              <w:rPr>
                <w:rFonts w:ascii="仿宋_GB2312" w:hAnsi="仿宋_GB2312" w:cs="仿宋_GB2312" w:eastAsia="仿宋_GB2312"/>
                <w:sz w:val="18"/>
              </w:rPr>
              <w:t>钻孔位置：树干基部，距地面 20-50cm；绕树干螺旋式均匀布孔，不要在同一水平圈密集打孔。</w:t>
            </w:r>
          </w:p>
          <w:p>
            <w:pPr>
              <w:pStyle w:val="null3"/>
            </w:pPr>
            <w:r>
              <w:rPr>
                <w:rFonts w:ascii="仿宋_GB2312" w:hAnsi="仿宋_GB2312" w:cs="仿宋_GB2312" w:eastAsia="仿宋_GB2312"/>
                <w:sz w:val="18"/>
              </w:rPr>
              <w:t>钻孔角度：向下倾斜 30-45°，斜向钻入木质部，防止药液回流渗漏。</w:t>
            </w:r>
          </w:p>
          <w:p>
            <w:pPr>
              <w:pStyle w:val="null3"/>
            </w:pPr>
            <w:r>
              <w:rPr>
                <w:rFonts w:ascii="仿宋_GB2312" w:hAnsi="仿宋_GB2312" w:cs="仿宋_GB2312" w:eastAsia="仿宋_GB2312"/>
                <w:sz w:val="18"/>
              </w:rPr>
              <w:t>钻孔深度：穿透韧皮部，深入木质部 2-3cm；不要钻穿树干，避免伤对侧树皮。</w:t>
            </w:r>
          </w:p>
          <w:p>
            <w:pPr>
              <w:pStyle w:val="null3"/>
            </w:pPr>
            <w:r>
              <w:rPr>
                <w:rFonts w:ascii="仿宋_GB2312" w:hAnsi="仿宋_GB2312" w:cs="仿宋_GB2312" w:eastAsia="仿宋_GB2312"/>
                <w:sz w:val="18"/>
              </w:rPr>
              <w:t>布孔数量（按胸径）</w:t>
            </w:r>
          </w:p>
          <w:p>
            <w:pPr>
              <w:pStyle w:val="null3"/>
            </w:pPr>
            <w:r>
              <w:rPr>
                <w:rFonts w:ascii="仿宋_GB2312" w:hAnsi="仿宋_GB2312" w:cs="仿宋_GB2312" w:eastAsia="仿宋_GB2312"/>
                <w:sz w:val="18"/>
              </w:rPr>
              <w:t>胸径 10‑15cm：2 个孔，胸径 16‑25cm：3 个孔，胸径 26‑35cm：4 个孔</w:t>
            </w:r>
          </w:p>
          <w:p>
            <w:pPr>
              <w:pStyle w:val="null3"/>
            </w:pPr>
            <w:r>
              <w:rPr>
                <w:rFonts w:ascii="仿宋_GB2312" w:hAnsi="仿宋_GB2312" w:cs="仿宋_GB2312" w:eastAsia="仿宋_GB2312"/>
                <w:sz w:val="18"/>
              </w:rPr>
              <w:t>胸径＞35cm：5‑6 个孔，孔与孔之间水平间隔≥15cm，螺旋错开，不要上下对齐。钻孔后清理孔内木屑，木屑不清理容易堵孔，药液打不进去。</w:t>
            </w:r>
          </w:p>
          <w:p>
            <w:pPr>
              <w:pStyle w:val="null3"/>
            </w:pPr>
            <w:r>
              <w:rPr>
                <w:rFonts w:ascii="仿宋_GB2312" w:hAnsi="仿宋_GB2312" w:cs="仿宋_GB2312" w:eastAsia="仿宋_GB2312"/>
                <w:sz w:val="18"/>
              </w:rPr>
              <w:t>4、药剂与配药</w:t>
            </w:r>
          </w:p>
          <w:p>
            <w:pPr>
              <w:pStyle w:val="null3"/>
            </w:pPr>
            <w:r>
              <w:rPr>
                <w:rFonts w:ascii="仿宋_GB2312" w:hAnsi="仿宋_GB2312" w:cs="仿宋_GB2312" w:eastAsia="仿宋_GB2312"/>
                <w:sz w:val="18"/>
              </w:rPr>
              <w:t>常用药剂：10% 阿维菌素微囊悬浮剂、2% 噻虫啉悬浮剂等树干注射登记药剂，严格按照标签说明剂量，按树木胸径计算用药量。</w:t>
            </w:r>
          </w:p>
          <w:p>
            <w:pPr>
              <w:pStyle w:val="null3"/>
            </w:pPr>
            <w:r>
              <w:rPr>
                <w:rFonts w:ascii="仿宋_GB2312" w:hAnsi="仿宋_GB2312" w:cs="仿宋_GB2312" w:eastAsia="仿宋_GB2312"/>
                <w:sz w:val="18"/>
              </w:rPr>
              <w:t>用药量参考：每厘米胸径，注入药剂原液（或配好药液）参照产品登记用量，严禁随意加大药量，防止药害。</w:t>
            </w:r>
          </w:p>
          <w:p>
            <w:pPr>
              <w:pStyle w:val="null3"/>
            </w:pPr>
            <w:r>
              <w:rPr>
                <w:rFonts w:ascii="仿宋_GB2312" w:hAnsi="仿宋_GB2312" w:cs="仿宋_GB2312" w:eastAsia="仿宋_GB2312"/>
                <w:sz w:val="18"/>
              </w:rPr>
              <w:t>现配现用，药液过滤，防止杂质堵塞注药枪；不同药剂不随意混配。</w:t>
            </w:r>
          </w:p>
          <w:p>
            <w:pPr>
              <w:pStyle w:val="null3"/>
            </w:pPr>
            <w:r>
              <w:rPr>
                <w:rFonts w:ascii="仿宋_GB2312" w:hAnsi="仿宋_GB2312" w:cs="仿宋_GB2312" w:eastAsia="仿宋_GB2312"/>
                <w:sz w:val="18"/>
              </w:rPr>
              <w:t>5、高压注药操作流程</w:t>
            </w:r>
          </w:p>
          <w:p>
            <w:pPr>
              <w:pStyle w:val="null3"/>
            </w:pPr>
            <w:r>
              <w:rPr>
                <w:rFonts w:ascii="仿宋_GB2312" w:hAnsi="仿宋_GB2312" w:cs="仿宋_GB2312" w:eastAsia="仿宋_GB2312"/>
                <w:sz w:val="18"/>
              </w:rPr>
              <w:t>钻头钻孔→清木屑→安装注药钉，密封圈贴紧树皮，防止泄压漏液。</w:t>
            </w:r>
          </w:p>
          <w:p>
            <w:pPr>
              <w:pStyle w:val="null3"/>
            </w:pPr>
            <w:r>
              <w:rPr>
                <w:rFonts w:ascii="仿宋_GB2312" w:hAnsi="仿宋_GB2312" w:cs="仿宋_GB2312" w:eastAsia="仿宋_GB2312"/>
                <w:sz w:val="18"/>
              </w:rPr>
              <w:t>开启设备，缓慢升压，观察压力表，稳定控制 0.8-1.2MPa。</w:t>
            </w:r>
          </w:p>
          <w:p>
            <w:pPr>
              <w:pStyle w:val="null3"/>
            </w:pPr>
            <w:r>
              <w:rPr>
                <w:rFonts w:ascii="仿宋_GB2312" w:hAnsi="仿宋_GB2312" w:cs="仿宋_GB2312" w:eastAsia="仿宋_GB2312"/>
                <w:sz w:val="18"/>
              </w:rPr>
              <w:t>单孔匀速注药，以药液不再向内吸收、孔口开始返液即停止该孔注射，不可强行加压猛灌。同一棵树多个孔轮换注药，不要长时间对单一孔持续高压。</w:t>
            </w:r>
          </w:p>
          <w:p>
            <w:pPr>
              <w:pStyle w:val="null3"/>
            </w:pPr>
            <w:r>
              <w:rPr>
                <w:rFonts w:ascii="仿宋_GB2312" w:hAnsi="仿宋_GB2312" w:cs="仿宋_GB2312" w:eastAsia="仿宋_GB2312"/>
                <w:sz w:val="18"/>
              </w:rPr>
              <w:t>注药完成后，拔出注药钉；孔口可封堵保护（木塞、封口胶），减少病菌侵入和树脂大量外流。</w:t>
            </w:r>
          </w:p>
          <w:p>
            <w:pPr>
              <w:pStyle w:val="null3"/>
            </w:pPr>
            <w:r>
              <w:rPr>
                <w:rFonts w:ascii="仿宋_GB2312" w:hAnsi="仿宋_GB2312" w:cs="仿宋_GB2312" w:eastAsia="仿宋_GB2312"/>
                <w:sz w:val="18"/>
              </w:rPr>
              <w:t>流脂严重的孔位，更换钻孔点位，不要强行注药。</w:t>
            </w:r>
          </w:p>
          <w:p>
            <w:pPr>
              <w:pStyle w:val="null3"/>
            </w:pPr>
            <w:r>
              <w:rPr>
                <w:rFonts w:ascii="仿宋_GB2312" w:hAnsi="仿宋_GB2312" w:cs="仿宋_GB2312" w:eastAsia="仿宋_GB2312"/>
                <w:sz w:val="18"/>
              </w:rPr>
              <w:t>6、标识记录：注药完成后，在每株树上贴上标签，内容包括编号、松树种类、药剂名称、注药日期等。手机定位拍照，详细记录。在每一个防治区醒目处还要设立防治标识牌，内容包括除治地点、林班、小班、防治面积和株数、施工单位、监督电话、作业时间等信息。</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详见评标细则</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详见评标细则</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自合同签订之日起至2027年4月31日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进度款，无人机防治服务结束，经验收合格后，达到付款条件起7个工作日内，支付合同总金额的30.0%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进度款，松树树干注药防治服务结束，经验收合格，达到付款条件起7个工作日内，支付合同总金额的30.0%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进度款，防治成效评估达标后，达到付款条件起7个工作日内，支付合同总金额的40.0%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合法有效的营业执照等证明文件；事业法人应提供事业单位法人证、组织机构代码证等证明文件（或统一社会信用代码的事业单位法人证）等合法有效的证明文件；其他组织应提供合法有效的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供应商应提供有效期内《陕西省林业有害生物防治资质证书》丙级及以上资质证书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供应商应对响应文件进行电子签章，并在规定地点签字。</w:t>
            </w:r>
          </w:p>
        </w:tc>
        <w:tc>
          <w:tcPr>
            <w:tcW w:type="dxa" w:w="1661"/>
          </w:tcPr>
          <w:p>
            <w:pPr>
              <w:pStyle w:val="null3"/>
            </w:pPr>
            <w:r>
              <w:rPr>
                <w:rFonts w:ascii="仿宋_GB2312" w:hAnsi="仿宋_GB2312" w:cs="仿宋_GB2312" w:eastAsia="仿宋_GB2312"/>
              </w:rPr>
              <w:t>开标一览表 供应商应提交的相关资格证明材料.docx 类似项目业绩.docx 投标函 中小企业声明函 残疾人福利性单位声明函 商务应答表 服务方案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包括但不限于以下内容①项目总体规划；②防治整体实施方案；③无人机喷药作业方案；④松树打孔注药方案⑤飞防质量评估和跟踪调查；采用人工踏查或无人机勘察方法进行注药松树死亡数量调查，防治效果检查方案。 二、评审标准:各项内容全面详细、阐述条理清晰详尽、符合本项目采购需求、能有效保障本项目实施得30分；每缺一项扣6分，每项内容存在1项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评审内容：包括但不限于以下内容①质量保障措施；②进度保障措施 ；③安全保障措施。 二、评审标准:各项内容全面详细、阐述条理清晰详尽、符合本项目采购需求、能有效保障本项目实施得9分；每缺一项扣3分，每项内容存在1项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①投标人提供针对本项目拟投入人员配置人员表，5人及以上得5分，4人得4分，3人得3分，3人以下或未提供不得分。 ②拟投入人员中包含2名及以上具有相关领域高级职称人员得5分，2名及以上具有相关领域中级及以上职称人员得3分，未提供不得分。 ③拟投入人员中具有农用无人驾驶航空器操作证，每提供一个得2.5分，本项最高得5分。 （以上人员需提供身份证、职称证、岗位证、劳动合同或社保等证明材料）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①投标人提供针对本项目拟投入设备一览表并提供（购置发票或租赁协议等证明材料）得5分，未提供不得分。 ②提供植保无人机需提供设备来源渠道合法证明资料（购置发票或租赁协议等）得5分。 ③植保无人机投保责任保险得5分。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拟投入药品</w:t>
            </w:r>
          </w:p>
        </w:tc>
        <w:tc>
          <w:tcPr>
            <w:tcW w:type="dxa" w:w="2492"/>
          </w:tcPr>
          <w:p>
            <w:pPr>
              <w:pStyle w:val="null3"/>
            </w:pPr>
            <w:r>
              <w:rPr>
                <w:rFonts w:ascii="仿宋_GB2312" w:hAnsi="仿宋_GB2312" w:cs="仿宋_GB2312" w:eastAsia="仿宋_GB2312"/>
              </w:rPr>
              <w:t>①使用于无人机喷药、松树树干注药（目前最新、效果最好的药品）货源渠道正常（提供销售协议或代理协议或原厂授权等）药品来源渠道证明资料齐全3分；未提供不得分；②每提供投入药品的生产厂家农药生产许可证（或生产批准文件）、农药标准号和农药登记证，得4分，三种药品共计12分，缺项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投标企业近三年（2023年1月至今）类似业绩,每一份业绩得2分，满分为6分。（以合同签订时间为准，提供合同复印件加中标通知书）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价格分统一采用低价优先法计算，即满足招标文件要求且价格最低（通过异常低价审查）的报价为评标基准价，其价格分为满分。其他供应商的价格分统一按照下列公式计算：价格分= (评标基准价／报价)×10。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详见附件：佛坪县2026飞防、树干注药采购合同.docx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