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7C8672">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1" w:after="0" w:afterAutospacing="1" w:line="360" w:lineRule="auto"/>
        <w:ind w:right="0"/>
        <w:jc w:val="center"/>
        <w:textAlignment w:val="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采购需求</w:t>
      </w:r>
    </w:p>
    <w:p w14:paraId="1C0BED1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一、产品技术参数</w:t>
      </w:r>
    </w:p>
    <w:p w14:paraId="29CAF5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▲（1）能源类型：纯电动</w:t>
      </w:r>
    </w:p>
    <w:p w14:paraId="385ABB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▲（2）额定载客（人）：微型客车，6人</w:t>
      </w:r>
    </w:p>
    <w:p w14:paraId="57555E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▲（3）续航里程（km)：≥300km</w:t>
      </w:r>
    </w:p>
    <w:p w14:paraId="24BB64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▲（4）轴距（mm)：≥2800mm</w:t>
      </w:r>
    </w:p>
    <w:p w14:paraId="224A19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▲（5）电池额定容量：≥32.6kWh；  </w:t>
      </w:r>
    </w:p>
    <w:p w14:paraId="706B26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▲（6）最高速度: ≥135  km/h；</w:t>
      </w:r>
    </w:p>
    <w:p w14:paraId="397432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▲（7）车辆整车保修政策：3年或10万公里。</w:t>
      </w:r>
    </w:p>
    <w:p w14:paraId="23D7BA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▲（8）三电保修政策：5年或10万公里。</w:t>
      </w:r>
    </w:p>
    <w:p w14:paraId="122795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▲（9）车身颜色：白色。</w:t>
      </w:r>
    </w:p>
    <w:p w14:paraId="7899BC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▲（10）基本配置：防抱死制动系统ABS、原厂驻车雷达、铝合金轮毂、仿皮座椅、原厂空调（微型客车前排后室带空调）、含地胶、全包围胶垫、拖把、玻璃膜、车辆警示三角牌、灭火器。</w:t>
      </w:r>
    </w:p>
    <w:p w14:paraId="648E3A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上述（1）-（10）项内容，评审时提供国家官方车辆公示文件或车辆出厂合格证或产品检测报告或生产厂家产品技术规格书/宣传手册/官方配置彩页等证明材料。</w:t>
      </w:r>
    </w:p>
    <w:p w14:paraId="52C6ED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注：1.所投车辆报价不得高于官方指导价格（所投车辆品牌官方网站），若报价高于官方指导价格，则该供应商响应文件按无效文件处理。</w:t>
      </w:r>
    </w:p>
    <w:p w14:paraId="173F46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▲2.以上车辆交付时均含①脚垫，②全车玻璃贴膜。（提供承诺函（格式自拟））</w:t>
      </w:r>
    </w:p>
    <w:p w14:paraId="0B5441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▲3.根据采购人用车地点免费安装配套充电桩。（提供承诺函（格式自拟））</w:t>
      </w:r>
    </w:p>
    <w:p w14:paraId="148358A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二、售后服务要求</w:t>
      </w:r>
    </w:p>
    <w:p w14:paraId="0F66EB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1、派专人对采购人提供售后服务，并定期对所提供的车辆、配件等进行巡检，做好巡检记录。</w:t>
      </w:r>
    </w:p>
    <w:p w14:paraId="14BF1A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2、就车辆的安装、运行及维护等对采购人的人员进行培训。主要培训内容为车辆的基本结构、性能、主要部件的构造及处理，日常使用操作、保养与管理、常见故障的排除、紧急情况的处理等。</w:t>
      </w:r>
    </w:p>
    <w:p w14:paraId="1C0648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3、供应商对其所提供车辆负责备品配件的供应，提供维修，并提供技术咨询等服务。质保期内应无偿负责维修和替换等工作。超出质保期只收取维修所需器材、材料成本费用。</w:t>
      </w:r>
    </w:p>
    <w:p w14:paraId="47E2CA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▲4、服务响应时限：7*24小时服务，提供售后服务电话（应具有：固定电话、移动电话、传真）。（提供承诺函（格式自拟））</w:t>
      </w:r>
    </w:p>
    <w:p w14:paraId="297C47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▲5、供应商在接到采购人通知后维修工作时间不大于24小时，更换工作时间不大于72小时。（提供承诺函（格式自拟））</w:t>
      </w:r>
    </w:p>
    <w:p w14:paraId="56F4CD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6、在质保期内更换系统中部件，其保修期应相应延长。</w:t>
      </w:r>
    </w:p>
    <w:p w14:paraId="14A80B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7、若供应商未按照售后服务要求执行，采购人有权自行选择第三方进行维护和修理，所产生的全部费用由供应商承担。</w:t>
      </w:r>
    </w:p>
    <w:p w14:paraId="5A3201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8、知识产权：供应商应保证采购人在使用其提供的设备时，不承担任何涉及知识产权、法律诉讼等责任。</w:t>
      </w:r>
    </w:p>
    <w:p w14:paraId="260081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9、技术保障：供应商在项目实施过程中提供相应的设备、技术服务,进行现场调试技术保障，并解决项目实施过程出现的突发事件。</w:t>
      </w:r>
    </w:p>
    <w:p w14:paraId="043F95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10、安全保障：供应商在项目执行过程中，应保证所有参与人员的人身、财产安全，在项目执行过程中所造成的参与人员及财产安全意外事故，责任由供应商承担，与采购人无关。</w:t>
      </w:r>
    </w:p>
    <w:p w14:paraId="630B7F8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三、交货、验收要求</w:t>
      </w:r>
    </w:p>
    <w:p w14:paraId="1AD7FB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保证所供车辆为全新产品（含零部件、配件等），表面无划伤、无碰撞痕迹；保证所供车辆在装卸、运输和仓储过程中有足够的包装保护，防止产品受潮、锈蚀、遭受冲撞及其他不可预见的损坏。（提供承诺函（格式自拟））</w:t>
      </w:r>
    </w:p>
    <w:p w14:paraId="147C8A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2、安装完成，供应商进行自测，出现的问题限期整改，并形成自测报告。自检最终通过后，供应商提出验收申请，采购人组织相关人员进行最终验收。</w:t>
      </w:r>
    </w:p>
    <w:p w14:paraId="48FE99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3、全部产品交货至指定地点并验收合格后交付使用。</w:t>
      </w:r>
    </w:p>
    <w:p w14:paraId="358251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4、车辆采购从通过最终验收之日起进入保修期，提供原厂保修升级。</w:t>
      </w:r>
    </w:p>
    <w:p w14:paraId="38A8AEB1">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textAlignment w:val="auto"/>
        <w:rPr>
          <w:rFonts w:hint="eastAsia" w:ascii="仿宋" w:hAnsi="仿宋" w:eastAsia="仿宋" w:cs="仿宋"/>
          <w:sz w:val="24"/>
          <w:szCs w:val="24"/>
        </w:rPr>
      </w:pPr>
      <w:bookmarkStart w:id="0" w:name="_GoBack"/>
      <w:r>
        <w:rPr>
          <w:rFonts w:hint="eastAsia" w:ascii="仿宋" w:hAnsi="仿宋" w:eastAsia="仿宋" w:cs="仿宋"/>
          <w:b/>
          <w:bCs/>
          <w:sz w:val="24"/>
          <w:szCs w:val="24"/>
        </w:rPr>
        <w:t>四、商务要求</w:t>
      </w:r>
      <w:bookmarkEnd w:id="0"/>
      <w:r>
        <w:rPr>
          <w:rFonts w:hint="eastAsia" w:ascii="仿宋" w:hAnsi="仿宋" w:eastAsia="仿宋" w:cs="仿宋"/>
          <w:sz w:val="24"/>
          <w:szCs w:val="24"/>
        </w:rPr>
        <w:br w:type="textWrapping"/>
      </w:r>
      <w:r>
        <w:rPr>
          <w:rFonts w:hint="eastAsia" w:ascii="仿宋" w:hAnsi="仿宋" w:eastAsia="仿宋" w:cs="仿宋"/>
          <w:sz w:val="24"/>
          <w:szCs w:val="24"/>
        </w:rPr>
        <w:t>1、采购数量：5辆。</w:t>
      </w:r>
    </w:p>
    <w:p w14:paraId="368981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2、交货周期：自合同签订之日起60个日历天内。</w:t>
      </w:r>
    </w:p>
    <w:p w14:paraId="55CDAE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3、交货地点：西安高新区锦业一路75号。</w:t>
      </w:r>
    </w:p>
    <w:p w14:paraId="0F25BC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4、质保期：整车不小于3年或10万公里，电池：不小于5年或10万公里。 </w:t>
      </w:r>
    </w:p>
    <w:p w14:paraId="2121BE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5、采购车型限价：微型客车75000元/辆，费用包含：①脚垫；②全车玻璃贴膜；③车辆保险【交强险+商业险（车损和三责，其中三责200万）】；④挂牌费用；⑤标识喷涂；⑥税金。</w:t>
      </w:r>
    </w:p>
    <w:p w14:paraId="7CA71042">
      <w:p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91564B"/>
    <w:rsid w:val="415C44C9"/>
    <w:rsid w:val="6E915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2026-07-15T08:52:00Z</dcterms:created>
  <dc:creator>陕西华采招标有限公司</dc:creator>
  <cp:lastModifiedBy>陕西华采招标有限公司</cp:lastModifiedBy>
  <dcterms:modified xsi:type="dcterms:W3CDTF">2026-07-15T08:54:35Z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FC25BBC58A1D42508C216239F5BE102E_11</vt:lpwstr>
  </property>
  <property fmtid="{D5CDD505-2E9C-101B-9397-08002B2CF9AE}" pid="4" name="KSOTemplateDocerSaveRecord">
    <vt:lpwstr>eyJoZGlkIjoiNzM1ODVhY2U0MDFhZDM3YjEyODYzYjYxOTM3YWQzNzUiLCJ1c2VySWQiOiI5MzY1NjA0ODAifQ==</vt:lpwstr>
  </property>
</Properties>
</file>