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版本号：LZBA2026-798.20260722001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2026年“银龄行动”示范项目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LZBA2026-798.</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2026年“银龄行动”示范项目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LZBA2026-798.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2026年“银龄行动”示范项目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2026年“银龄行动”示范项目分为3个采购包，为银发宣讲团、晚晴公益行、银龄·文化传承，具体要求详见招标文件采购需求。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63917511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郝嘉钰（项目负责人）、刘婧、张波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本项目招标代理服务费以中标金额作为收费基数，参照计价格[2002]1980号、发改价格[2011]534号、发改办价格〔2003〕857号中服务类执行。2、中标单位在领取中标通知书之前，须向代理机构支付招标代理服务费。 招标代理服务费以转账或现金形式缴纳至以下账户： 开户名称：龙寰项目管理咨询有限公司 开户银行：平安银行西安高新路支行 采购包1 账 号：30201278018844 采购包2 账 号：30201278018845 采购包3 账 号：30201278018846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以合同具体要求为准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以合同具体要求为准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联系人：郝嘉钰、刘婧、张波</w:t>
      </w:r>
    </w:p>
    <w:p>
      <w:pPr>
        <w:pStyle w:val="null3"/>
      </w:pPr>
      <w:r>
        <w:rPr>
          <w:rFonts w:ascii="仿宋_GB2312" w:hAnsi="仿宋_GB2312" w:cs="仿宋_GB2312" w:eastAsia="仿宋_GB2312"/>
        </w:rPr>
        <w:t>联系电话：029-88228899-613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2026年“银龄行动”示范项目分为3个采购包，为银发宣讲团、晚晴公益行、银龄·文化传承，具体要求详见招标文件采购需求。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银发宣讲团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晚晴公益行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银龄·文化传承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标的名称：银发宣讲团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1.项目背景</w:t>
            </w:r>
          </w:p>
          <w:p>
            <w:pPr>
              <w:pStyle w:val="null3"/>
              <w:ind w:firstLine="400"/>
              <w:jc w:val="both"/>
            </w:pPr>
            <w:r>
              <w:rPr>
                <w:rFonts w:ascii="仿宋_GB2312" w:hAnsi="仿宋_GB2312" w:cs="仿宋_GB2312" w:eastAsia="仿宋_GB2312"/>
                <w:sz w:val="20"/>
              </w:rPr>
              <w:t>为传承思想文化、提升全民健康素养、助力乡村振兴，根据《中华人民共和国老年人权益保障法》、全国老龄工作委员会《关于深入开展新时代</w:t>
            </w:r>
            <w:r>
              <w:rPr>
                <w:rFonts w:ascii="仿宋_GB2312" w:hAnsi="仿宋_GB2312" w:cs="仿宋_GB2312" w:eastAsia="仿宋_GB2312"/>
                <w:sz w:val="20"/>
              </w:rPr>
              <w:t>“银龄行动”的指导意见》（全国老龄委发〔2024〕5号）、《关于深入开展人口老龄化国情教育的指导意见》（民发〔2025〕54号）等文件的要求。</w:t>
            </w:r>
          </w:p>
          <w:p>
            <w:pPr>
              <w:pStyle w:val="null3"/>
              <w:jc w:val="both"/>
            </w:pPr>
            <w:r>
              <w:rPr>
                <w:rFonts w:ascii="仿宋_GB2312" w:hAnsi="仿宋_GB2312" w:cs="仿宋_GB2312" w:eastAsia="仿宋_GB2312"/>
                <w:sz w:val="20"/>
              </w:rPr>
              <w:t>2.项目概述</w:t>
            </w:r>
          </w:p>
          <w:p>
            <w:pPr>
              <w:pStyle w:val="null3"/>
              <w:ind w:firstLine="400"/>
              <w:jc w:val="both"/>
            </w:pPr>
            <w:r>
              <w:rPr>
                <w:rFonts w:ascii="仿宋_GB2312" w:hAnsi="仿宋_GB2312" w:cs="仿宋_GB2312" w:eastAsia="仿宋_GB2312"/>
                <w:sz w:val="20"/>
              </w:rPr>
              <w:t>以老干部、老战士、老专家、老教师、老模范等</w:t>
            </w:r>
            <w:r>
              <w:rPr>
                <w:rFonts w:ascii="仿宋_GB2312" w:hAnsi="仿宋_GB2312" w:cs="仿宋_GB2312" w:eastAsia="仿宋_GB2312"/>
                <w:sz w:val="20"/>
              </w:rPr>
              <w:t>“五老”为主组建银发宣讲团，常态化开展人口老龄化国情教育进机关、进学校、进社区、进企业、进机构等活动；开设“银龄国情云讲堂”，涵盖政策法规、健康养老、金融安全、家风家教、移风易俗、法律维权等领域。费用包括人员招募与培训、志愿者补贴、活动组织、短视频制作、保险与应急等。项目在全省范围内实施，为期一年。</w:t>
            </w:r>
          </w:p>
          <w:p>
            <w:pPr>
              <w:pStyle w:val="null3"/>
              <w:jc w:val="both"/>
            </w:pPr>
            <w:r>
              <w:rPr>
                <w:rFonts w:ascii="仿宋_GB2312" w:hAnsi="仿宋_GB2312" w:cs="仿宋_GB2312" w:eastAsia="仿宋_GB2312"/>
                <w:sz w:val="20"/>
              </w:rPr>
              <w:t>3.活动清单</w:t>
            </w:r>
          </w:p>
          <w:tbl>
            <w:tblPr>
              <w:tblInd w:type="dxa" w:w="120"/>
              <w:tblBorders>
                <w:top w:val="none" w:color="000000" w:sz="4"/>
                <w:left w:val="none" w:color="000000" w:sz="4"/>
                <w:bottom w:val="none" w:color="000000" w:sz="4"/>
                <w:right w:val="none" w:color="000000" w:sz="4"/>
                <w:insideH w:val="none"/>
                <w:insideV w:val="none"/>
              </w:tblBorders>
            </w:tblPr>
            <w:tblGrid>
              <w:gridCol w:w="260"/>
              <w:gridCol w:w="1146"/>
              <w:gridCol w:w="1146"/>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标题</w:t>
                  </w:r>
                </w:p>
              </w:tc>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服务要求</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老年志愿者比例</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90%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线下活动开展</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场次不少于</w:t>
                  </w:r>
                  <w:r>
                    <w:rPr>
                      <w:rFonts w:ascii="仿宋_GB2312" w:hAnsi="仿宋_GB2312" w:cs="仿宋_GB2312" w:eastAsia="仿宋_GB2312"/>
                      <w:sz w:val="20"/>
                    </w:rPr>
                    <w:t>25场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46"/>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覆盖人群每场不少于</w:t>
                  </w:r>
                  <w:r>
                    <w:rPr>
                      <w:rFonts w:ascii="仿宋_GB2312" w:hAnsi="仿宋_GB2312" w:cs="仿宋_GB2312" w:eastAsia="仿宋_GB2312"/>
                      <w:sz w:val="20"/>
                    </w:rPr>
                    <w:t>100人次</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46"/>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进乡村场次不少于</w:t>
                  </w:r>
                  <w:r>
                    <w:rPr>
                      <w:rFonts w:ascii="仿宋_GB2312" w:hAnsi="仿宋_GB2312" w:cs="仿宋_GB2312" w:eastAsia="仿宋_GB2312"/>
                      <w:sz w:val="20"/>
                    </w:rPr>
                    <w:t>30%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省级官方媒体报道场次</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10场</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“银龄国情云讲堂”</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16期</w:t>
                  </w:r>
                </w:p>
              </w:tc>
            </w:tr>
          </w:tbl>
          <w:p>
            <w:pPr>
              <w:pStyle w:val="null3"/>
              <w:numPr>
                <w:ilvl w:val="0"/>
                <w:numId w:val="1"/>
              </w:numPr>
              <w:jc w:val="both"/>
            </w:pPr>
            <w:r>
              <w:rPr>
                <w:rFonts w:ascii="仿宋_GB2312" w:hAnsi="仿宋_GB2312" w:cs="仿宋_GB2312" w:eastAsia="仿宋_GB2312"/>
                <w:sz w:val="20"/>
              </w:rPr>
              <w:t>项目要求</w:t>
            </w:r>
          </w:p>
          <w:p>
            <w:pPr>
              <w:pStyle w:val="null3"/>
              <w:ind w:left="315" w:firstLine="100"/>
              <w:jc w:val="both"/>
            </w:pPr>
            <w:r>
              <w:rPr>
                <w:rFonts w:ascii="仿宋_GB2312" w:hAnsi="仿宋_GB2312" w:cs="仿宋_GB2312" w:eastAsia="仿宋_GB2312"/>
                <w:sz w:val="20"/>
              </w:rPr>
              <w:t>（</w:t>
            </w:r>
            <w:r>
              <w:rPr>
                <w:rFonts w:ascii="仿宋_GB2312" w:hAnsi="仿宋_GB2312" w:cs="仿宋_GB2312" w:eastAsia="仿宋_GB2312"/>
                <w:sz w:val="20"/>
              </w:rPr>
              <w:t>1）项目进展报告：提交月度进展情况报告、中期评估报告和结项报告。</w:t>
            </w:r>
          </w:p>
          <w:p>
            <w:pPr>
              <w:pStyle w:val="null3"/>
              <w:ind w:left="315" w:firstLine="100"/>
              <w:jc w:val="both"/>
            </w:pPr>
            <w:r>
              <w:rPr>
                <w:rFonts w:ascii="仿宋_GB2312" w:hAnsi="仿宋_GB2312" w:cs="仿宋_GB2312" w:eastAsia="仿宋_GB2312"/>
                <w:sz w:val="20"/>
              </w:rPr>
              <w:t>（</w:t>
            </w:r>
            <w:r>
              <w:rPr>
                <w:rFonts w:ascii="仿宋_GB2312" w:hAnsi="仿宋_GB2312" w:cs="仿宋_GB2312" w:eastAsia="仿宋_GB2312"/>
                <w:sz w:val="20"/>
              </w:rPr>
              <w:t>2）制定风险预案：如老年人安全保障等。</w:t>
            </w:r>
          </w:p>
          <w:p>
            <w:pPr>
              <w:pStyle w:val="null3"/>
              <w:ind w:left="315" w:firstLine="100"/>
              <w:jc w:val="both"/>
            </w:pPr>
            <w:r>
              <w:rPr>
                <w:rFonts w:ascii="仿宋_GB2312" w:hAnsi="仿宋_GB2312" w:cs="仿宋_GB2312" w:eastAsia="仿宋_GB2312"/>
                <w:sz w:val="20"/>
              </w:rPr>
              <w:t>（</w:t>
            </w:r>
            <w:r>
              <w:rPr>
                <w:rFonts w:ascii="仿宋_GB2312" w:hAnsi="仿宋_GB2312" w:cs="仿宋_GB2312" w:eastAsia="仿宋_GB2312"/>
                <w:sz w:val="20"/>
              </w:rPr>
              <w:t>3）项目表彰费用不超过5万元。</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4）为银龄志愿者购买保险。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标的名称：晚晴公益行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00"/>
              <w:jc w:val="both"/>
            </w:pPr>
            <w:r>
              <w:rPr>
                <w:rFonts w:ascii="仿宋_GB2312" w:hAnsi="仿宋_GB2312" w:cs="仿宋_GB2312" w:eastAsia="仿宋_GB2312"/>
                <w:sz w:val="20"/>
              </w:rPr>
              <w:t>1.项目背景</w:t>
            </w:r>
          </w:p>
          <w:p>
            <w:pPr>
              <w:pStyle w:val="null3"/>
              <w:ind w:firstLine="100"/>
              <w:jc w:val="both"/>
            </w:pPr>
            <w:r>
              <w:rPr>
                <w:rFonts w:ascii="仿宋_GB2312" w:hAnsi="仿宋_GB2312" w:cs="仿宋_GB2312" w:eastAsia="仿宋_GB2312"/>
                <w:sz w:val="20"/>
              </w:rPr>
              <w:t>为帮助老年人维护合法权益、助力老年人融入数字社会</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《中华人民共和国老年人权益保障法》、全国老龄工作委员会《关于深入开展新时代</w:t>
            </w:r>
            <w:r>
              <w:rPr>
                <w:rFonts w:ascii="仿宋_GB2312" w:hAnsi="仿宋_GB2312" w:cs="仿宋_GB2312" w:eastAsia="仿宋_GB2312"/>
                <w:sz w:val="20"/>
              </w:rPr>
              <w:t>“银龄行动”的指导意见》（全国老龄委发〔2024〕5号）文件的要求。</w:t>
            </w:r>
          </w:p>
          <w:p>
            <w:pPr>
              <w:pStyle w:val="null3"/>
              <w:ind w:firstLine="100"/>
              <w:jc w:val="both"/>
            </w:pPr>
            <w:r>
              <w:rPr>
                <w:rFonts w:ascii="仿宋_GB2312" w:hAnsi="仿宋_GB2312" w:cs="仿宋_GB2312" w:eastAsia="仿宋_GB2312"/>
                <w:sz w:val="20"/>
              </w:rPr>
              <w:t>2.项目概述</w:t>
            </w:r>
          </w:p>
          <w:p>
            <w:pPr>
              <w:pStyle w:val="null3"/>
              <w:ind w:firstLine="100"/>
              <w:jc w:val="both"/>
            </w:pPr>
            <w:r>
              <w:rPr>
                <w:rFonts w:ascii="仿宋_GB2312" w:hAnsi="仿宋_GB2312" w:cs="仿宋_GB2312" w:eastAsia="仿宋_GB2312"/>
                <w:sz w:val="20"/>
              </w:rPr>
              <w:t>组织公检法领域退休人员开展普法宣传、法律援助等服务，维护老年人合法权益；开设</w:t>
            </w:r>
            <w:r>
              <w:rPr>
                <w:rFonts w:ascii="仿宋_GB2312" w:hAnsi="仿宋_GB2312" w:cs="仿宋_GB2312" w:eastAsia="仿宋_GB2312"/>
                <w:sz w:val="20"/>
              </w:rPr>
              <w:t>“银龄学堂”，组织开展反诈知识普及、智能手机培训等数字助老活动；制作法律宣传和数字助老等系列小视频，以线上传播方式扩大宣传覆盖面与影响力。项目在全省范围内实施，为期一年。</w:t>
            </w:r>
          </w:p>
          <w:p>
            <w:pPr>
              <w:pStyle w:val="null3"/>
              <w:ind w:firstLine="100"/>
              <w:jc w:val="both"/>
            </w:pPr>
            <w:r>
              <w:rPr>
                <w:rFonts w:ascii="仿宋_GB2312" w:hAnsi="仿宋_GB2312" w:cs="仿宋_GB2312" w:eastAsia="仿宋_GB2312"/>
                <w:sz w:val="20"/>
              </w:rPr>
              <w:t>3.活动清单</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1271"/>
              <w:gridCol w:w="1033"/>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标题</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服务要求</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1</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老年志愿者比例</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90%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2</w:t>
                  </w:r>
                </w:p>
              </w:tc>
              <w:tc>
                <w:tcPr>
                  <w:tcW w:type="dxa" w:w="1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线下活动开展</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场次不少于</w:t>
                  </w:r>
                  <w:r>
                    <w:rPr>
                      <w:rFonts w:ascii="仿宋_GB2312" w:hAnsi="仿宋_GB2312" w:cs="仿宋_GB2312" w:eastAsia="仿宋_GB2312"/>
                      <w:sz w:val="20"/>
                    </w:rPr>
                    <w:t>25场</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3</w:t>
                  </w:r>
                </w:p>
              </w:tc>
              <w:tc>
                <w:tcPr>
                  <w:tcW w:type="dxa" w:w="1271"/>
                  <w:vMerge/>
                  <w:tcBorders>
                    <w:top w:val="none" w:color="000000" w:sz="4"/>
                    <w:left w:val="single" w:color="000000" w:sz="4"/>
                    <w:bottom w:val="single" w:color="000000" w:sz="4"/>
                    <w:right w:val="single" w:color="000000" w:sz="4"/>
                  </w:tcBorders>
                </w:tcP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覆盖人群每场不少于</w:t>
                  </w:r>
                  <w:r>
                    <w:rPr>
                      <w:rFonts w:ascii="仿宋_GB2312" w:hAnsi="仿宋_GB2312" w:cs="仿宋_GB2312" w:eastAsia="仿宋_GB2312"/>
                      <w:sz w:val="20"/>
                    </w:rPr>
                    <w:t>100人次</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4</w:t>
                  </w:r>
                </w:p>
              </w:tc>
              <w:tc>
                <w:tcPr>
                  <w:tcW w:type="dxa" w:w="1271"/>
                  <w:vMerge/>
                  <w:tcBorders>
                    <w:top w:val="none" w:color="000000" w:sz="4"/>
                    <w:left w:val="single" w:color="000000" w:sz="4"/>
                    <w:bottom w:val="single" w:color="000000" w:sz="4"/>
                    <w:right w:val="single" w:color="000000" w:sz="4"/>
                  </w:tcBorders>
                </w:tcP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进乡村场次不少于</w:t>
                  </w:r>
                  <w:r>
                    <w:rPr>
                      <w:rFonts w:ascii="仿宋_GB2312" w:hAnsi="仿宋_GB2312" w:cs="仿宋_GB2312" w:eastAsia="仿宋_GB2312"/>
                      <w:sz w:val="20"/>
                    </w:rPr>
                    <w:t>30%</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5</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省级官方媒体报道场次</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10场</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6</w:t>
                  </w:r>
                </w:p>
              </w:tc>
              <w:tc>
                <w:tcPr>
                  <w:tcW w:type="dxa" w:w="1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法律宣传和数字助老等系列小视频</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不少于</w:t>
                  </w:r>
                  <w:r>
                    <w:rPr>
                      <w:rFonts w:ascii="仿宋_GB2312" w:hAnsi="仿宋_GB2312" w:cs="仿宋_GB2312" w:eastAsia="仿宋_GB2312"/>
                      <w:sz w:val="20"/>
                    </w:rPr>
                    <w:t>16期</w:t>
                  </w:r>
                </w:p>
              </w:tc>
            </w:tr>
          </w:tbl>
          <w:p>
            <w:pPr>
              <w:pStyle w:val="null3"/>
              <w:ind w:firstLine="100"/>
              <w:jc w:val="both"/>
            </w:pPr>
            <w:r>
              <w:rPr>
                <w:rFonts w:ascii="仿宋_GB2312" w:hAnsi="仿宋_GB2312" w:cs="仿宋_GB2312" w:eastAsia="仿宋_GB2312"/>
                <w:sz w:val="20"/>
              </w:rPr>
              <w:t>4.项目要求</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1）项目进展报告：提交月度进展情况报告、中期评估报告和结项报告。</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2）制定风险预案：如老年人安全保障等。</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3）项目表彰费用不超过5万元。</w:t>
            </w:r>
          </w:p>
          <w:p>
            <w:pPr>
              <w:pStyle w:val="null3"/>
            </w:pPr>
            <w:r>
              <w:rPr>
                <w:rFonts w:ascii="仿宋_GB2312" w:hAnsi="仿宋_GB2312" w:cs="仿宋_GB2312" w:eastAsia="仿宋_GB2312"/>
                <w:sz w:val="20"/>
              </w:rPr>
              <w:t>（</w:t>
            </w:r>
            <w:r>
              <w:rPr>
                <w:rFonts w:ascii="仿宋_GB2312" w:hAnsi="仿宋_GB2312" w:cs="仿宋_GB2312" w:eastAsia="仿宋_GB2312"/>
                <w:sz w:val="20"/>
              </w:rPr>
              <w:t>4）为银龄志愿者购买保险。</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标的名称：银龄·文化传承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100"/>
              <w:jc w:val="both"/>
            </w:pPr>
            <w:r>
              <w:rPr>
                <w:rFonts w:ascii="仿宋_GB2312" w:hAnsi="仿宋_GB2312" w:cs="仿宋_GB2312" w:eastAsia="仿宋_GB2312"/>
                <w:sz w:val="20"/>
              </w:rPr>
              <w:t>1.项目背景</w:t>
            </w:r>
          </w:p>
          <w:p>
            <w:pPr>
              <w:pStyle w:val="null3"/>
              <w:ind w:firstLine="100"/>
              <w:jc w:val="both"/>
            </w:pPr>
            <w:r>
              <w:rPr>
                <w:rFonts w:ascii="仿宋_GB2312" w:hAnsi="仿宋_GB2312" w:cs="仿宋_GB2312" w:eastAsia="仿宋_GB2312"/>
                <w:sz w:val="20"/>
              </w:rPr>
              <w:t>为传承民政文化，倡导新风尚</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《中华人民共和国老年人权益保障法》、全国老龄工作委员会《关于深入开展新时代</w:t>
            </w:r>
            <w:r>
              <w:rPr>
                <w:rFonts w:ascii="仿宋_GB2312" w:hAnsi="仿宋_GB2312" w:cs="仿宋_GB2312" w:eastAsia="仿宋_GB2312"/>
                <w:sz w:val="20"/>
              </w:rPr>
              <w:t>“银龄行动”的指导意见》（全国老龄委发〔2024〕5号）文件的要求。</w:t>
            </w:r>
          </w:p>
          <w:p>
            <w:pPr>
              <w:pStyle w:val="null3"/>
              <w:ind w:firstLine="100"/>
              <w:jc w:val="both"/>
            </w:pPr>
            <w:r>
              <w:rPr>
                <w:rFonts w:ascii="仿宋_GB2312" w:hAnsi="仿宋_GB2312" w:cs="仿宋_GB2312" w:eastAsia="仿宋_GB2312"/>
                <w:sz w:val="20"/>
              </w:rPr>
              <w:t>2.项目概述</w:t>
            </w:r>
          </w:p>
          <w:p>
            <w:pPr>
              <w:pStyle w:val="null3"/>
              <w:ind w:firstLine="100"/>
              <w:jc w:val="both"/>
            </w:pPr>
            <w:r>
              <w:rPr>
                <w:rFonts w:ascii="仿宋_GB2312" w:hAnsi="仿宋_GB2312" w:cs="仿宋_GB2312" w:eastAsia="仿宋_GB2312"/>
                <w:sz w:val="20"/>
              </w:rPr>
              <w:t>丰富我省老年人精神文化生活，常态化开展</w:t>
            </w:r>
            <w:r>
              <w:rPr>
                <w:rFonts w:ascii="仿宋_GB2312" w:hAnsi="仿宋_GB2312" w:cs="仿宋_GB2312" w:eastAsia="仿宋_GB2312"/>
                <w:sz w:val="20"/>
              </w:rPr>
              <w:t>“三秦银龄·乐享四季”系列活动，包含乐龄文艺、乐龄文创、乐龄阅读、乐龄健身、乐龄科普等；组建全省孝亲敬老宣讲团，在全省常态化开展巡回宣讲，营造尊老敬老爱老社会氛围。项目在全省范围内实施，为期一年。</w:t>
            </w:r>
          </w:p>
          <w:p>
            <w:pPr>
              <w:pStyle w:val="null3"/>
              <w:ind w:firstLine="100"/>
              <w:jc w:val="both"/>
            </w:pPr>
            <w:r>
              <w:rPr>
                <w:rFonts w:ascii="仿宋_GB2312" w:hAnsi="仿宋_GB2312" w:cs="仿宋_GB2312" w:eastAsia="仿宋_GB2312"/>
                <w:sz w:val="20"/>
              </w:rPr>
              <w:t>3.活动清单：</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817"/>
              <w:gridCol w:w="1448"/>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标题</w:t>
                  </w:r>
                </w:p>
              </w:tc>
              <w:tc>
                <w:tcPr>
                  <w:tcW w:type="dxa" w:w="1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服务要求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1</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0"/>
                    </w:rPr>
                    <w:t>老年志愿者比例</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不少于</w:t>
                  </w:r>
                  <w:r>
                    <w:rPr>
                      <w:rFonts w:ascii="仿宋_GB2312" w:hAnsi="仿宋_GB2312" w:cs="仿宋_GB2312" w:eastAsia="仿宋_GB2312"/>
                      <w:sz w:val="20"/>
                    </w:rPr>
                    <w:t>90%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2</w:t>
                  </w:r>
                </w:p>
              </w:tc>
              <w:tc>
                <w:tcPr>
                  <w:tcW w:type="dxa" w:w="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“三秦银龄·乐享四季”系列活动</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省级示范活动不少于</w:t>
                  </w:r>
                  <w:r>
                    <w:rPr>
                      <w:rFonts w:ascii="仿宋_GB2312" w:hAnsi="仿宋_GB2312" w:cs="仿宋_GB2312" w:eastAsia="仿宋_GB2312"/>
                      <w:sz w:val="20"/>
                    </w:rPr>
                    <w:t>3场</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3</w:t>
                  </w:r>
                </w:p>
              </w:tc>
              <w:tc>
                <w:tcPr>
                  <w:tcW w:type="dxa" w:w="817"/>
                  <w:vMerge/>
                  <w:tcBorders>
                    <w:top w:val="none" w:color="000000" w:sz="4"/>
                    <w:left w:val="single" w:color="000000" w:sz="4"/>
                    <w:bottom w:val="single" w:color="000000" w:sz="4"/>
                    <w:right w:val="single" w:color="000000" w:sz="4"/>
                  </w:tcBorders>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线下覆盖人群每场不少于</w:t>
                  </w:r>
                  <w:r>
                    <w:rPr>
                      <w:rFonts w:ascii="仿宋_GB2312" w:hAnsi="仿宋_GB2312" w:cs="仿宋_GB2312" w:eastAsia="仿宋_GB2312"/>
                      <w:sz w:val="20"/>
                    </w:rPr>
                    <w:t>200人次</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4</w:t>
                  </w:r>
                </w:p>
              </w:tc>
              <w:tc>
                <w:tcPr>
                  <w:tcW w:type="dxa" w:w="817"/>
                  <w:vMerge/>
                  <w:tcBorders>
                    <w:top w:val="none" w:color="000000" w:sz="4"/>
                    <w:left w:val="single" w:color="000000" w:sz="4"/>
                    <w:bottom w:val="single" w:color="000000" w:sz="4"/>
                    <w:right w:val="single" w:color="000000" w:sz="4"/>
                  </w:tcBorders>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每场</w:t>
                  </w:r>
                  <w:r>
                    <w:rPr>
                      <w:rFonts w:ascii="仿宋_GB2312" w:hAnsi="仿宋_GB2312" w:cs="仿宋_GB2312" w:eastAsia="仿宋_GB2312"/>
                      <w:sz w:val="20"/>
                    </w:rPr>
                    <w:t>2家及以上省级官方媒体报道</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5</w:t>
                  </w:r>
                </w:p>
              </w:tc>
              <w:tc>
                <w:tcPr>
                  <w:tcW w:type="dxa" w:w="8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center"/>
                  </w:pPr>
                  <w:r>
                    <w:rPr>
                      <w:rFonts w:ascii="仿宋_GB2312" w:hAnsi="仿宋_GB2312" w:cs="仿宋_GB2312" w:eastAsia="仿宋_GB2312"/>
                      <w:sz w:val="20"/>
                    </w:rPr>
                    <w:t>孝亲敬老宣讲团</w:t>
                  </w: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宣讲活动不少于</w:t>
                  </w:r>
                  <w:r>
                    <w:rPr>
                      <w:rFonts w:ascii="仿宋_GB2312" w:hAnsi="仿宋_GB2312" w:cs="仿宋_GB2312" w:eastAsia="仿宋_GB2312"/>
                      <w:sz w:val="20"/>
                    </w:rPr>
                    <w:t>25场</w:t>
                  </w:r>
                </w:p>
              </w:tc>
            </w:tr>
            <w:tr>
              <w:tc>
                <w:tcPr>
                  <w:tcW w:type="dxa" w:w="289"/>
                  <w:vMerge/>
                  <w:tcBorders>
                    <w:top w:val="none" w:color="000000" w:sz="4"/>
                    <w:left w:val="single" w:color="000000" w:sz="4"/>
                    <w:bottom w:val="single" w:color="000000" w:sz="4"/>
                    <w:right w:val="single" w:color="000000" w:sz="4"/>
                  </w:tcBorders>
                </w:tcPr>
                <w:p/>
              </w:tc>
              <w:tc>
                <w:tcPr>
                  <w:tcW w:type="dxa" w:w="817"/>
                  <w:vMerge/>
                  <w:tcBorders>
                    <w:top w:val="none" w:color="000000" w:sz="4"/>
                    <w:left w:val="single" w:color="000000" w:sz="4"/>
                    <w:bottom w:val="single" w:color="000000" w:sz="4"/>
                    <w:right w:val="single" w:color="000000" w:sz="4"/>
                  </w:tcBorders>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每场活动宣讲成员不少于</w:t>
                  </w:r>
                  <w:r>
                    <w:rPr>
                      <w:rFonts w:ascii="仿宋_GB2312" w:hAnsi="仿宋_GB2312" w:cs="仿宋_GB2312" w:eastAsia="仿宋_GB2312"/>
                      <w:sz w:val="20"/>
                    </w:rPr>
                    <w:t>10人</w:t>
                  </w:r>
                </w:p>
              </w:tc>
            </w:tr>
            <w:tr>
              <w:tc>
                <w:tcPr>
                  <w:tcW w:type="dxa" w:w="289"/>
                  <w:vMerge/>
                  <w:tcBorders>
                    <w:top w:val="none" w:color="000000" w:sz="4"/>
                    <w:left w:val="single" w:color="000000" w:sz="4"/>
                    <w:bottom w:val="single" w:color="000000" w:sz="4"/>
                    <w:right w:val="single" w:color="000000" w:sz="4"/>
                  </w:tcBorders>
                </w:tcPr>
                <w:p/>
              </w:tc>
              <w:tc>
                <w:tcPr>
                  <w:tcW w:type="dxa" w:w="817"/>
                  <w:vMerge/>
                  <w:tcBorders>
                    <w:top w:val="none" w:color="000000" w:sz="4"/>
                    <w:left w:val="single" w:color="000000" w:sz="4"/>
                    <w:bottom w:val="single" w:color="000000" w:sz="4"/>
                    <w:right w:val="single" w:color="000000" w:sz="4"/>
                  </w:tcBorders>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线下覆盖人群每场不少于</w:t>
                  </w:r>
                  <w:r>
                    <w:rPr>
                      <w:rFonts w:ascii="仿宋_GB2312" w:hAnsi="仿宋_GB2312" w:cs="仿宋_GB2312" w:eastAsia="仿宋_GB2312"/>
                      <w:sz w:val="20"/>
                    </w:rPr>
                    <w:t>200人次</w:t>
                  </w:r>
                </w:p>
              </w:tc>
            </w:tr>
            <w:tr>
              <w:tc>
                <w:tcPr>
                  <w:tcW w:type="dxa" w:w="289"/>
                  <w:vMerge/>
                  <w:tcBorders>
                    <w:top w:val="none" w:color="000000" w:sz="4"/>
                    <w:left w:val="single" w:color="000000" w:sz="4"/>
                    <w:bottom w:val="single" w:color="000000" w:sz="4"/>
                    <w:right w:val="single" w:color="000000" w:sz="4"/>
                  </w:tcBorders>
                </w:tcPr>
                <w:p/>
              </w:tc>
              <w:tc>
                <w:tcPr>
                  <w:tcW w:type="dxa" w:w="817"/>
                  <w:vMerge/>
                  <w:tcBorders>
                    <w:top w:val="none" w:color="000000" w:sz="4"/>
                    <w:left w:val="single" w:color="000000" w:sz="4"/>
                    <w:bottom w:val="single" w:color="000000" w:sz="4"/>
                    <w:right w:val="single" w:color="000000" w:sz="4"/>
                  </w:tcBorders>
                </w:tcPr>
                <w:p/>
              </w:tc>
              <w:tc>
                <w:tcPr>
                  <w:tcW w:type="dxa" w:w="1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0"/>
                    <w:jc w:val="both"/>
                  </w:pPr>
                  <w:r>
                    <w:rPr>
                      <w:rFonts w:ascii="仿宋_GB2312" w:hAnsi="仿宋_GB2312" w:cs="仿宋_GB2312" w:eastAsia="仿宋_GB2312"/>
                      <w:sz w:val="20"/>
                    </w:rPr>
                    <w:t>每场</w:t>
                  </w:r>
                  <w:r>
                    <w:rPr>
                      <w:rFonts w:ascii="仿宋_GB2312" w:hAnsi="仿宋_GB2312" w:cs="仿宋_GB2312" w:eastAsia="仿宋_GB2312"/>
                      <w:sz w:val="20"/>
                    </w:rPr>
                    <w:t>2家及以上省级官方媒体报道</w:t>
                  </w:r>
                </w:p>
              </w:tc>
            </w:tr>
          </w:tbl>
          <w:p>
            <w:pPr>
              <w:pStyle w:val="null3"/>
              <w:ind w:firstLine="100"/>
              <w:jc w:val="both"/>
            </w:pPr>
            <w:r>
              <w:rPr>
                <w:rFonts w:ascii="仿宋_GB2312" w:hAnsi="仿宋_GB2312" w:cs="仿宋_GB2312" w:eastAsia="仿宋_GB2312"/>
                <w:sz w:val="20"/>
              </w:rPr>
              <w:t>4.项目要求</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1）项目进展报告：提交月度进展情况报告、中期评估报告和结项报告。</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2）制定风险预案：如老年人安全保障等。</w:t>
            </w:r>
          </w:p>
          <w:p>
            <w:pPr>
              <w:pStyle w:val="null3"/>
              <w:ind w:firstLine="100"/>
              <w:jc w:val="both"/>
            </w:pPr>
            <w:r>
              <w:rPr>
                <w:rFonts w:ascii="仿宋_GB2312" w:hAnsi="仿宋_GB2312" w:cs="仿宋_GB2312" w:eastAsia="仿宋_GB2312"/>
                <w:sz w:val="20"/>
              </w:rPr>
              <w:t>（</w:t>
            </w:r>
            <w:r>
              <w:rPr>
                <w:rFonts w:ascii="仿宋_GB2312" w:hAnsi="仿宋_GB2312" w:cs="仿宋_GB2312" w:eastAsia="仿宋_GB2312"/>
                <w:sz w:val="20"/>
              </w:rPr>
              <w:t>3）项目表彰费用不超过5万元。</w:t>
            </w:r>
          </w:p>
          <w:p>
            <w:pPr>
              <w:pStyle w:val="null3"/>
            </w:pPr>
            <w:r>
              <w:rPr>
                <w:rFonts w:ascii="仿宋_GB2312" w:hAnsi="仿宋_GB2312" w:cs="仿宋_GB2312" w:eastAsia="仿宋_GB2312"/>
                <w:sz w:val="20"/>
              </w:rPr>
              <w:t>（</w:t>
            </w:r>
            <w:r>
              <w:rPr>
                <w:rFonts w:ascii="仿宋_GB2312" w:hAnsi="仿宋_GB2312" w:cs="仿宋_GB2312" w:eastAsia="仿宋_GB2312"/>
                <w:sz w:val="20"/>
              </w:rPr>
              <w:t>4）为银龄志愿者购买保险。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陕西省民政厅指定地点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陕西省民政厅指定地点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以合同具体要求为准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以合同具体要求为准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进度款，乙方完成项目主体内容并交付，经甲方验收合格，且乙方提交结项报告后5个工作日内，达到付款条件起5个工作日内，支付合同总金额的30.0%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进度款，乙方完成项目主体内容并交付，经甲方验收合格，且乙方提交结项报告后，达到付款条件起5个工作日内，支付合同总金额的30.0%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预付款，合同签订后5个工作日内，达到付款条件起5个工作日内，支付合同总金额的70.0%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进度款，乙方完成项目主体内容并交付，经甲方验收合格，且乙方提交结项报告后，达到付款条件起5个工作日内，支付合同总金额的30.0%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以合同具体要求为准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以合同具体要求为准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以合同具体要求为准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划型标准为：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或2025年度经审计的财务报告或投标文件提交截止时间前六个月内基本存款账户开户银行出具的资信证明及基本存款账户开户许可证（或基本存款账户信息相关证明文件）或信用担保机构出具的投标担保函。（3）2025年7月以来任意一个月纳税证明或完税证明，纳税证明或完税证明上应有代收机构或税务机关的公章或业务专用章；依法免税或无须缴纳税收的供应商应提供相应文件证明。（4）2025年7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投标文件提交截止时间后当日网站查询结果为准</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关于符合本国产品标准的声明函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法定代表人身份证明书及法定代表人授权书.docx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满足招标文件商务及技术要求</w:t>
            </w:r>
          </w:p>
        </w:tc>
        <w:tc>
          <w:tcPr>
            <w:tcW w:type="dxa" w:w="1661"/>
          </w:tcPr>
          <w:p>
            <w:pPr>
              <w:pStyle w:val="null3"/>
            </w:pPr>
            <w:r>
              <w:rPr>
                <w:rFonts w:ascii="仿宋_GB2312" w:hAnsi="仿宋_GB2312" w:cs="仿宋_GB2312" w:eastAsia="仿宋_GB2312"/>
              </w:rPr>
              <w:t>技术条款偏离表.docx 投标文件封面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关于符合本国产品标准的声明函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法定代表人身份证明书及法定代表人授权书.docx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满足招标文件商务及技术要求</w:t>
            </w:r>
          </w:p>
        </w:tc>
        <w:tc>
          <w:tcPr>
            <w:tcW w:type="dxa" w:w="1661"/>
          </w:tcPr>
          <w:p>
            <w:pPr>
              <w:pStyle w:val="null3"/>
            </w:pPr>
            <w:r>
              <w:rPr>
                <w:rFonts w:ascii="仿宋_GB2312" w:hAnsi="仿宋_GB2312" w:cs="仿宋_GB2312" w:eastAsia="仿宋_GB2312"/>
              </w:rPr>
              <w:t>技术条款偏离表.docx 投标文件封面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法人身份证明或授权委托书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法定代表人身份证明书及法定代表人授权书.docx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满足招标文件商务及技术要求</w:t>
            </w:r>
          </w:p>
        </w:tc>
        <w:tc>
          <w:tcPr>
            <w:tcW w:type="dxa" w:w="1661"/>
          </w:tcPr>
          <w:p>
            <w:pPr>
              <w:pStyle w:val="null3"/>
            </w:pPr>
            <w:r>
              <w:rPr>
                <w:rFonts w:ascii="仿宋_GB2312" w:hAnsi="仿宋_GB2312" w:cs="仿宋_GB2312" w:eastAsia="仿宋_GB2312"/>
              </w:rPr>
              <w:t>技术条款偏离表.docx 投标文件封面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供应商针对本项目提供服务方案，内容包括：①总体服务方案；②服务理念及目标 评审标准 完整性：方案须全面合理，架构完整对评审内容中的各项要求有详细描述； 可实施性：切合本项目实际情况，实施步骤清晰、合理； 针对性：方案能够紧扣本项目实际情况，内容科学合理。 三、赋分依据（满分10分）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供应商针对本项目提供服务实施方案，内容包括：①策划方案；②活动方案。 评审标准 完整性：方案须全面合理，架构完整对评审内容中的各项要求有详细描述； 可实施性：切合本项目实际情况，实施步骤清晰、合理； 针对性：方案能够紧扣本项目实际情况，内容科学合理。 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 供应商针对本项目提供服务保障措施，内容包括：①组织保障措施；②进度时效保障措施；③质量管理保障措施④项目安全保障措施； 评审标准 完整性：方案须全面合理，架构完整对评审内容中的各项要求有详细描述； 可实施性：切合本项目实际情况，实施步骤清晰、合理； 针对性：方案能够紧扣本项目实际情况，内容科学合理。 三、赋分依据（满分16分）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评审内容 供应商针对本项目特点提供服务团队人员配置，内容包含:①人员配置清单；②岗位分工、职责；提供相关证明资料（包括但不限于人员姓名、工作职务及职能、身份证、工作经验等）。 评审标准 完整性: 方案须全面合理，架构完整对评审内容中的各项要求有详细描述； 可实施性：切合本项目实际情况，实施步骤清晰、合理； 针对性：方案能够紧扣项目实际情况，内容科学合理。 三、赋分标准(满分4分) 以上内容均应专门针对本项目实际需求编制，方案内容完整、可实施性强的，每一项得2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风险预案处理措施</w:t>
            </w:r>
          </w:p>
        </w:tc>
        <w:tc>
          <w:tcPr>
            <w:tcW w:type="dxa" w:w="2492"/>
          </w:tcPr>
          <w:p>
            <w:pPr>
              <w:pStyle w:val="null3"/>
            </w:pPr>
            <w:r>
              <w:rPr>
                <w:rFonts w:ascii="仿宋_GB2312" w:hAnsi="仿宋_GB2312" w:cs="仿宋_GB2312" w:eastAsia="仿宋_GB2312"/>
              </w:rPr>
              <w:t>供应商针对本项目实际情况，提出的具有实际价值和可行性的风险预案处理措施，每提供一项有效的风险预案措施得2.5分，最高得10分。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服务质量承诺函</w:t>
            </w:r>
          </w:p>
        </w:tc>
        <w:tc>
          <w:tcPr>
            <w:tcW w:type="dxa" w:w="2492"/>
          </w:tcPr>
          <w:p>
            <w:pPr>
              <w:pStyle w:val="null3"/>
            </w:pPr>
            <w:r>
              <w:rPr>
                <w:rFonts w:ascii="仿宋_GB2312" w:hAnsi="仿宋_GB2312" w:cs="仿宋_GB2312" w:eastAsia="仿宋_GB2312"/>
              </w:rPr>
              <w:t>供应商提供本项目的服务质量承诺函，保证完成本项目采购服务要求，得5分，未提供或内容与本项目无关的不得分。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活动场次承诺</w:t>
            </w:r>
          </w:p>
        </w:tc>
        <w:tc>
          <w:tcPr>
            <w:tcW w:type="dxa" w:w="2492"/>
          </w:tcPr>
          <w:p>
            <w:pPr>
              <w:pStyle w:val="null3"/>
            </w:pPr>
            <w:r>
              <w:rPr>
                <w:rFonts w:ascii="仿宋_GB2312" w:hAnsi="仿宋_GB2312" w:cs="仿宋_GB2312" w:eastAsia="仿宋_GB2312"/>
              </w:rPr>
              <w:t>（1）供应商承诺开展线下活动不少于26场得2分；承诺不少于27场得3分；承诺不少于29场得5分； （2）供应商承诺开展银龄国情云讲堂不少于17场得2分；承诺不少于18场得3分；承诺不少于19场得5分； 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购买保险承诺</w:t>
            </w:r>
          </w:p>
        </w:tc>
        <w:tc>
          <w:tcPr>
            <w:tcW w:type="dxa" w:w="2492"/>
          </w:tcPr>
          <w:p>
            <w:pPr>
              <w:pStyle w:val="null3"/>
            </w:pPr>
            <w:r>
              <w:rPr>
                <w:rFonts w:ascii="仿宋_GB2312" w:hAnsi="仿宋_GB2312" w:cs="仿宋_GB2312" w:eastAsia="仿宋_GB2312"/>
              </w:rPr>
              <w:t>供应商承诺为银龄志愿者购买保险，得5分，未提供或内容与本项目无关的不得分。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提供2023年1月1日至今供应商承担的同类项目业绩（以响应文件中提供的完整合同复印件为准），每提供1份得2分，最多得10分。未提供或提供材料不全不得分。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满足招标文件要求且报价最低的供应商的价格为评审基准价，其价格分为满分。其他供应商的价格分统一按照下列公式计算：投标报价得分=（评标基准价/投标报价）×20；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供应商针对本项目提供服务方案，内容包括：①总体服务方案；②服务理念及目标 评审标准 完整性：方案须全面合理，架构完整对评审内容中的各项要求有详细描述； 可实施性：切合本项目实际情况，实施步骤清晰、合理； 针对性：方案能够紧扣本项目实际情况，内容科学合理。 三、赋分依据（满分10分）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供应商针对本项目提供服务实施方案，内容包括：①策划方案；②活动方案。 评审标准 完整性：方案须全面合理，架构完整对评审内容中的各项要求有详细描述； 可实施性：切合本项目实际情况，实施步骤清晰、合理； 针对性：方案能够紧扣本项目实际情况，内容科学合理。 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 供应商针对本项目提供服务保障措施，内容包括：①组织保障措施；②进度时效保障措施；③质量管理保障措施④项目安全保障措施； 评审标准 完整性：方案须全面合理，架构完整对评审内容中的各项要求有详细描述； 可实施性：切合本项目实际情况，实施步骤清晰、合理； 针对性：方案能够紧扣本项目实际情况，内容科学合理。 三、赋分依据（满分16分）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评审内容 供应商针对本项目特点提供服务团队人员配置，内容包含:①人员配置清单；②岗位分工、职责；提供相关证明资料（包括但不限于人员姓名、工作职务及职能、身份证、工作经验等）。 评审标准 完整性: 方案须全面合理，架构完整对评审内容中的各项要求有详细描述； 可实施性：切合本项目实际情况，实施步骤清晰、合理； 针对性：方案能够紧扣项目实际情况，内容科学合理。 三、赋分标准(满分4分) 以上内容均应专门针对本项目实际需求编制，方案内容完整、可实施性强的，每一项得2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风险预案处理措施</w:t>
            </w:r>
          </w:p>
        </w:tc>
        <w:tc>
          <w:tcPr>
            <w:tcW w:type="dxa" w:w="2492"/>
          </w:tcPr>
          <w:p>
            <w:pPr>
              <w:pStyle w:val="null3"/>
            </w:pPr>
            <w:r>
              <w:rPr>
                <w:rFonts w:ascii="仿宋_GB2312" w:hAnsi="仿宋_GB2312" w:cs="仿宋_GB2312" w:eastAsia="仿宋_GB2312"/>
              </w:rPr>
              <w:t>供应商针对本项目实际情况，提出的具有实际价值和可行性的风险预案处理措施，每提供一项有效的风险预案措施得2.5分，最高得10分。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服务质量承诺函</w:t>
            </w:r>
          </w:p>
        </w:tc>
        <w:tc>
          <w:tcPr>
            <w:tcW w:type="dxa" w:w="2492"/>
          </w:tcPr>
          <w:p>
            <w:pPr>
              <w:pStyle w:val="null3"/>
            </w:pPr>
            <w:r>
              <w:rPr>
                <w:rFonts w:ascii="仿宋_GB2312" w:hAnsi="仿宋_GB2312" w:cs="仿宋_GB2312" w:eastAsia="仿宋_GB2312"/>
              </w:rPr>
              <w:t>供应商提供本项目的服务质量承诺函，保证完成本项目采购服务要求，得5分，未提供或内容与本项目无关的不得分。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活动场次承诺</w:t>
            </w:r>
          </w:p>
        </w:tc>
        <w:tc>
          <w:tcPr>
            <w:tcW w:type="dxa" w:w="2492"/>
          </w:tcPr>
          <w:p>
            <w:pPr>
              <w:pStyle w:val="null3"/>
            </w:pPr>
            <w:r>
              <w:rPr>
                <w:rFonts w:ascii="仿宋_GB2312" w:hAnsi="仿宋_GB2312" w:cs="仿宋_GB2312" w:eastAsia="仿宋_GB2312"/>
              </w:rPr>
              <w:t>（1）供应商承诺开展线下活动不少于26场得2分；承诺不少于27场得3分；承诺不少于29场得5分； （2）供应商承诺制作法律宣传和数字助老等系列小视频不少于17期得2分；承诺不少于18期得3分；承诺不少于19期得5分； 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购买保险承诺</w:t>
            </w:r>
          </w:p>
        </w:tc>
        <w:tc>
          <w:tcPr>
            <w:tcW w:type="dxa" w:w="2492"/>
          </w:tcPr>
          <w:p>
            <w:pPr>
              <w:pStyle w:val="null3"/>
            </w:pPr>
            <w:r>
              <w:rPr>
                <w:rFonts w:ascii="仿宋_GB2312" w:hAnsi="仿宋_GB2312" w:cs="仿宋_GB2312" w:eastAsia="仿宋_GB2312"/>
              </w:rPr>
              <w:t>供应商承诺为银龄志愿者购买保险，得5分，未提供或内容与本项目无关的不得分。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提供2023年1月1日至今供应商承担的同类项目业绩（以响应文件中提供的完整合同复印件为准），每提供1份得2分，最多得10分。未提供或提供材料不全不得分。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满足招标文件要求且报价最低的供应商的价格为评审基准价，其价格分为满分。其他供应商的价格分统一按照下列公式计算：投标报价得分=（磋评审基准价/投标报价）×20；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供应商针对本项目提供服务方案，内容包括：①总体服务方案；②服务理念及目标 评审标准 完整性：方案须全面合理，架构完整对评审内容中的各项要求有详细描述； 可实施性：切合本项目实际情况，实施步骤清晰、合理； 针对性：方案能够紧扣本项目实际情况，内容科学合理。 三、赋分依据（满分10分）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供应商针对本项目提供服务实施方案，内容包括：①策划方案；②活动方案。 评审标准 完整性：方案须全面合理，架构完整对评审内容中的各项要求有详细描述； 可实施性：切合本项目实际情况，实施步骤清晰、合理； 针对性：方案能够紧扣本项目实际情况，内容科学合理。 赋分依据（满分10分） 以上内容均应专门针对本项目实际需求编制，方案内容完整、可实施性强的，每一项得5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 供应商针对本项目提供服务保障措施，内容包括：①组织保障措施；②进度时效保障措施；③质量管理保障措施④项目安全保障措施； 评审标准 完整性：方案须全面合理，架构完整对评审内容中的各项要求有详细描述； 可实施性：切合本项目实际情况，实施步骤清晰、合理； 针对性：方案能够紧扣本项目实际情况，内容科学合理。 三、赋分依据（满分16分） 以上内容均应专门针对本项目实际需求编制，方案内容完整、可实施性强的，每一项得4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评审内容 供应商针对本项目特点提供服务团队人员配置，内容包含:①人员配置清单；②岗位分工、职责；提供相关证明资料（包括但不限于人员姓名、工作职务及职能、身份证、工作经验等）。 评审标准 完整性: 方案须全面合理，架构完整对评审内容中的各项要求有详细描述； 可实施性：切合本项目实际情况，实施步骤清晰、合理； 针对性：方案能够紧扣项目实际情况，内容科学合理。 三、赋分标准(满分4分) 以上内容均应专门针对本项目实际需求编制，方案内容完整、可实施性强的，每一项得2分。若每项内容中存在瑕疵，每出现一处瑕疵扣0.5分，扣完为止。“瑕疵”指内容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风险预案处理措施</w:t>
            </w:r>
          </w:p>
        </w:tc>
        <w:tc>
          <w:tcPr>
            <w:tcW w:type="dxa" w:w="2492"/>
          </w:tcPr>
          <w:p>
            <w:pPr>
              <w:pStyle w:val="null3"/>
            </w:pPr>
            <w:r>
              <w:rPr>
                <w:rFonts w:ascii="仿宋_GB2312" w:hAnsi="仿宋_GB2312" w:cs="仿宋_GB2312" w:eastAsia="仿宋_GB2312"/>
              </w:rPr>
              <w:t>供应商针对本项目实际情况，提出的具有实际价值和可行性的风险预案处理措施，每提供一项有效的风险预案措施得2.5分，最高得10分。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服务质量承诺函</w:t>
            </w:r>
          </w:p>
        </w:tc>
        <w:tc>
          <w:tcPr>
            <w:tcW w:type="dxa" w:w="2492"/>
          </w:tcPr>
          <w:p>
            <w:pPr>
              <w:pStyle w:val="null3"/>
            </w:pPr>
            <w:r>
              <w:rPr>
                <w:rFonts w:ascii="仿宋_GB2312" w:hAnsi="仿宋_GB2312" w:cs="仿宋_GB2312" w:eastAsia="仿宋_GB2312"/>
              </w:rPr>
              <w:t>供应商提供本项目的服务质量承诺函，保证完成本项目采购服务要求，得5分，未提供或内容与本项目无关的不得分。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活动场次承诺</w:t>
            </w:r>
          </w:p>
        </w:tc>
        <w:tc>
          <w:tcPr>
            <w:tcW w:type="dxa" w:w="2492"/>
          </w:tcPr>
          <w:p>
            <w:pPr>
              <w:pStyle w:val="null3"/>
            </w:pPr>
            <w:r>
              <w:rPr>
                <w:rFonts w:ascii="仿宋_GB2312" w:hAnsi="仿宋_GB2312" w:cs="仿宋_GB2312" w:eastAsia="仿宋_GB2312"/>
              </w:rPr>
              <w:t>（1）供应商承诺开展“三秦银龄·乐享四季”系列活动不少于4场得3分；承诺不少于5场得5分； （2）开展孝亲敬老宣讲团不少于26场得2分；承诺不少于27场得5分；承诺不少于29场得5分； 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购买保险承诺</w:t>
            </w:r>
          </w:p>
        </w:tc>
        <w:tc>
          <w:tcPr>
            <w:tcW w:type="dxa" w:w="2492"/>
          </w:tcPr>
          <w:p>
            <w:pPr>
              <w:pStyle w:val="null3"/>
            </w:pPr>
            <w:r>
              <w:rPr>
                <w:rFonts w:ascii="仿宋_GB2312" w:hAnsi="仿宋_GB2312" w:cs="仿宋_GB2312" w:eastAsia="仿宋_GB2312"/>
              </w:rPr>
              <w:t>供应商承诺为银龄志愿者购买保险，得5分，未提供或内容与本项目无关的不得分。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提供2023年1月1日至今供应商承担的类似项目业绩，每提供1份得2分，最多得10分。未提供或提供材料不全不得分。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满足招标文件要求且报价最低的供应商的价格为评审基准价，其价格分为满分。其他供应商的价格分统一按照下列公式计算：投标报价得分=（磋评审基准价/投标报价）×20；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