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424B1">
      <w:pPr>
        <w:jc w:val="center"/>
        <w:outlineLvl w:val="1"/>
        <w:rPr>
          <w:rFonts w:hint="eastAsia" w:ascii="宋体" w:hAnsi="宋体" w:eastAsia="宋体" w:cs="宋体"/>
          <w:lang w:val="en-US" w:eastAsia="zh-Hans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6"/>
          <w:lang w:val="en-US" w:eastAsia="zh-Hans" w:bidi="ar-SA"/>
        </w:rPr>
        <w:t xml:space="preserve"> 拟签订采购合同文本</w:t>
      </w:r>
    </w:p>
    <w:p w14:paraId="73E123D4">
      <w:pPr>
        <w:spacing w:line="360" w:lineRule="auto"/>
        <w:ind w:firstLine="0" w:firstLineChars="0"/>
        <w:jc w:val="center"/>
        <w:rPr>
          <w:rFonts w:hint="eastAsia" w:ascii="宋体" w:hAnsi="宋体" w:eastAsia="宋体" w:cs="Times New Roman"/>
          <w:b/>
          <w:bCs/>
          <w:sz w:val="32"/>
          <w:szCs w:val="32"/>
          <w:highlight w:val="none"/>
        </w:rPr>
      </w:pPr>
      <w:r>
        <w:rPr>
          <w:rFonts w:ascii="宋体" w:hAnsi="宋体" w:eastAsia="宋体" w:cs="Times New Roman"/>
          <w:b/>
          <w:bCs/>
          <w:sz w:val="32"/>
          <w:szCs w:val="32"/>
          <w:highlight w:val="none"/>
        </w:rPr>
        <w:t>(参照合同，具体以双方签订为准)</w:t>
      </w:r>
    </w:p>
    <w:p w14:paraId="6D6E05DD">
      <w:pPr>
        <w:ind w:firstLine="0" w:firstLineChars="0"/>
        <w:rPr>
          <w:rFonts w:hint="eastAsia" w:ascii="宋体" w:hAnsi="宋体" w:eastAsia="宋体" w:cs="宋体"/>
          <w:b/>
          <w:color w:val="000000"/>
          <w:spacing w:val="-20"/>
          <w:sz w:val="52"/>
          <w:szCs w:val="52"/>
        </w:rPr>
      </w:pPr>
    </w:p>
    <w:p w14:paraId="71E11295">
      <w:pPr>
        <w:spacing w:line="360" w:lineRule="auto"/>
        <w:ind w:firstLine="0" w:firstLineChars="0"/>
        <w:jc w:val="center"/>
        <w:rPr>
          <w:rFonts w:hint="eastAsia" w:ascii="宋体" w:hAnsi="宋体" w:eastAsia="宋体" w:cs="Times New Roman"/>
          <w:b/>
          <w:bCs/>
          <w:sz w:val="52"/>
          <w:szCs w:val="52"/>
          <w:highlight w:val="none"/>
        </w:rPr>
      </w:pPr>
    </w:p>
    <w:p w14:paraId="514947D3">
      <w:pPr>
        <w:spacing w:line="360" w:lineRule="auto"/>
        <w:ind w:firstLine="0" w:firstLineChars="0"/>
        <w:jc w:val="center"/>
        <w:rPr>
          <w:rFonts w:hint="eastAsia" w:ascii="宋体" w:hAnsi="宋体" w:eastAsia="宋体" w:cs="Times New Roman"/>
          <w:b/>
          <w:bCs/>
          <w:sz w:val="52"/>
          <w:szCs w:val="52"/>
          <w:highlight w:val="none"/>
        </w:rPr>
      </w:pPr>
      <w:r>
        <w:rPr>
          <w:rFonts w:hint="eastAsia" w:ascii="宋体" w:hAnsi="宋体" w:eastAsia="宋体" w:cs="Times New Roman"/>
          <w:b/>
          <w:bCs/>
          <w:sz w:val="52"/>
          <w:szCs w:val="52"/>
          <w:highlight w:val="none"/>
        </w:rPr>
        <w:t>2026年“银龄行动”示范项目</w:t>
      </w:r>
    </w:p>
    <w:p w14:paraId="556D8EFF">
      <w:pPr>
        <w:spacing w:line="360" w:lineRule="auto"/>
        <w:ind w:firstLine="0" w:firstLineChars="0"/>
        <w:jc w:val="center"/>
        <w:rPr>
          <w:rFonts w:hint="eastAsia" w:ascii="宋体" w:hAnsi="宋体" w:eastAsia="宋体" w:cs="Times New Roman"/>
          <w:b/>
          <w:bCs/>
          <w:sz w:val="52"/>
          <w:szCs w:val="52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52"/>
          <w:szCs w:val="52"/>
          <w:highlight w:val="none"/>
          <w:lang w:val="en-US" w:eastAsia="zh-CN"/>
        </w:rPr>
        <w:t>采购包___</w:t>
      </w:r>
    </w:p>
    <w:p w14:paraId="5EC3B876">
      <w:pPr>
        <w:spacing w:line="360" w:lineRule="auto"/>
        <w:ind w:firstLine="0" w:firstLineChars="0"/>
        <w:jc w:val="center"/>
        <w:rPr>
          <w:rFonts w:hint="default" w:ascii="宋体" w:hAnsi="宋体" w:eastAsia="宋体" w:cs="Times New Roman"/>
          <w:b/>
          <w:bCs/>
          <w:sz w:val="52"/>
          <w:szCs w:val="52"/>
          <w:highlight w:val="none"/>
          <w:lang w:val="en-US" w:eastAsia="zh-CN"/>
        </w:rPr>
      </w:pPr>
    </w:p>
    <w:p w14:paraId="47341C73">
      <w:pPr>
        <w:spacing w:line="360" w:lineRule="auto"/>
        <w:ind w:firstLine="0" w:firstLineChars="0"/>
        <w:jc w:val="center"/>
        <w:rPr>
          <w:rFonts w:hint="eastAsia" w:ascii="宋体" w:hAnsi="宋体" w:eastAsia="宋体" w:cs="Times New Roman"/>
          <w:b/>
          <w:bCs/>
          <w:sz w:val="56"/>
          <w:szCs w:val="56"/>
          <w:highlight w:val="none"/>
        </w:rPr>
      </w:pPr>
      <w:r>
        <w:rPr>
          <w:rFonts w:ascii="宋体" w:hAnsi="宋体" w:eastAsia="宋体" w:cs="Times New Roman"/>
          <w:b/>
          <w:bCs/>
          <w:sz w:val="56"/>
          <w:szCs w:val="56"/>
          <w:highlight w:val="none"/>
        </w:rPr>
        <w:t>服务合同</w:t>
      </w:r>
    </w:p>
    <w:p w14:paraId="6BDF506A">
      <w:pPr>
        <w:spacing w:line="360" w:lineRule="auto"/>
        <w:ind w:firstLine="643" w:firstLineChars="200"/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  <w:highlight w:val="none"/>
          <w:lang w:val="en-US" w:eastAsia="zh-CN"/>
        </w:rPr>
        <w:t xml:space="preserve"> </w:t>
      </w:r>
    </w:p>
    <w:p w14:paraId="0AB973A6">
      <w:pPr>
        <w:spacing w:line="360" w:lineRule="auto"/>
        <w:ind w:firstLine="0" w:firstLineChars="0"/>
        <w:rPr>
          <w:rFonts w:hint="eastAsia" w:ascii="宋体" w:hAnsi="宋体" w:eastAsia="宋体" w:cs="Times New Roman"/>
          <w:sz w:val="24"/>
          <w:szCs w:val="24"/>
          <w:highlight w:val="none"/>
        </w:rPr>
      </w:pPr>
    </w:p>
    <w:p w14:paraId="737D9AD8">
      <w:pPr>
        <w:spacing w:line="360" w:lineRule="auto"/>
        <w:ind w:firstLine="0" w:firstLineChars="0"/>
        <w:rPr>
          <w:rFonts w:hint="eastAsia" w:ascii="宋体" w:hAnsi="宋体" w:eastAsia="宋体" w:cs="Times New Roman"/>
          <w:sz w:val="24"/>
          <w:szCs w:val="24"/>
          <w:highlight w:val="none"/>
        </w:rPr>
      </w:pPr>
    </w:p>
    <w:p w14:paraId="244F3B00">
      <w:pPr>
        <w:spacing w:line="360" w:lineRule="auto"/>
        <w:ind w:firstLine="0" w:firstLineChars="0"/>
        <w:rPr>
          <w:rFonts w:hint="eastAsia" w:ascii="宋体" w:hAnsi="宋体" w:eastAsia="宋体" w:cs="Times New Roman"/>
          <w:sz w:val="24"/>
          <w:szCs w:val="24"/>
          <w:highlight w:val="none"/>
        </w:rPr>
      </w:pPr>
    </w:p>
    <w:p w14:paraId="17AD4D6D">
      <w:pPr>
        <w:spacing w:line="360" w:lineRule="auto"/>
        <w:ind w:firstLine="0" w:firstLineChars="0"/>
        <w:rPr>
          <w:rFonts w:hint="eastAsia" w:ascii="宋体" w:hAnsi="宋体" w:eastAsia="宋体" w:cs="Times New Roman"/>
          <w:sz w:val="24"/>
          <w:szCs w:val="24"/>
          <w:highlight w:val="none"/>
        </w:rPr>
      </w:pPr>
    </w:p>
    <w:p w14:paraId="4181C623">
      <w:pPr>
        <w:spacing w:line="360" w:lineRule="auto"/>
        <w:ind w:firstLine="0" w:firstLineChars="0"/>
        <w:rPr>
          <w:rFonts w:hint="eastAsia" w:ascii="宋体" w:hAnsi="宋体" w:eastAsia="宋体" w:cs="Times New Roman"/>
          <w:sz w:val="24"/>
          <w:szCs w:val="24"/>
          <w:highlight w:val="none"/>
        </w:rPr>
      </w:pPr>
    </w:p>
    <w:p w14:paraId="7071ADAB">
      <w:pPr>
        <w:spacing w:line="360" w:lineRule="auto"/>
        <w:ind w:firstLine="0" w:firstLineChars="0"/>
        <w:rPr>
          <w:rFonts w:hint="eastAsia" w:ascii="宋体" w:hAnsi="宋体" w:eastAsia="宋体" w:cs="Times New Roman"/>
          <w:sz w:val="24"/>
          <w:szCs w:val="24"/>
          <w:highlight w:val="none"/>
        </w:rPr>
      </w:pPr>
    </w:p>
    <w:p w14:paraId="6E66C1A2">
      <w:pPr>
        <w:spacing w:line="360" w:lineRule="auto"/>
        <w:ind w:firstLine="0" w:firstLineChars="0"/>
        <w:rPr>
          <w:rFonts w:hint="eastAsia" w:ascii="宋体" w:hAnsi="宋体" w:eastAsia="宋体" w:cs="Times New Roman"/>
          <w:sz w:val="24"/>
          <w:szCs w:val="24"/>
          <w:highlight w:val="none"/>
        </w:rPr>
      </w:pPr>
    </w:p>
    <w:p w14:paraId="41D81ED9">
      <w:pPr>
        <w:spacing w:line="360" w:lineRule="auto"/>
        <w:ind w:firstLine="0" w:firstLineChars="0"/>
        <w:rPr>
          <w:rFonts w:hint="eastAsia" w:ascii="宋体" w:hAnsi="宋体" w:eastAsia="宋体" w:cs="Times New Roman"/>
          <w:sz w:val="24"/>
          <w:szCs w:val="24"/>
          <w:highlight w:val="none"/>
        </w:rPr>
      </w:pPr>
    </w:p>
    <w:p w14:paraId="1C1F5E1E">
      <w:pPr>
        <w:spacing w:line="360" w:lineRule="auto"/>
        <w:ind w:firstLine="0" w:firstLineChars="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</w:t>
      </w:r>
    </w:p>
    <w:p w14:paraId="30934110">
      <w:pPr>
        <w:spacing w:line="360" w:lineRule="auto"/>
        <w:ind w:firstLine="2127" w:firstLineChars="662"/>
        <w:rPr>
          <w:rFonts w:hint="eastAsia" w:ascii="宋体" w:hAnsi="宋体" w:eastAsia="宋体" w:cs="Times New Roman"/>
          <w:b/>
          <w:bCs/>
          <w:sz w:val="32"/>
          <w:szCs w:val="32"/>
          <w:highlight w:val="none"/>
          <w:u w:val="single"/>
        </w:rPr>
      </w:pPr>
      <w:r>
        <w:rPr>
          <w:rFonts w:ascii="宋体" w:hAnsi="宋体" w:eastAsia="宋体" w:cs="Times New Roman"/>
          <w:b/>
          <w:bCs/>
          <w:sz w:val="32"/>
          <w:szCs w:val="32"/>
          <w:highlight w:val="none"/>
        </w:rPr>
        <w:t>采购人：</w:t>
      </w:r>
      <w:r>
        <w:rPr>
          <w:rFonts w:hint="eastAsia" w:ascii="宋体" w:hAnsi="宋体" w:eastAsia="宋体" w:cs="Times New Roman"/>
          <w:b/>
          <w:bCs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宋体" w:hAnsi="宋体" w:eastAsia="宋体" w:cs="Times New Roman"/>
          <w:b/>
          <w:bCs/>
          <w:sz w:val="32"/>
          <w:szCs w:val="32"/>
          <w:highlight w:val="none"/>
          <w:u w:val="single"/>
          <w:lang w:eastAsia="zh-CN"/>
        </w:rPr>
        <w:t>陕西省民政厅</w:t>
      </w:r>
      <w:r>
        <w:rPr>
          <w:rFonts w:hint="eastAsia" w:ascii="宋体" w:hAnsi="宋体" w:eastAsia="宋体" w:cs="Times New Roman"/>
          <w:b/>
          <w:bCs/>
          <w:sz w:val="32"/>
          <w:szCs w:val="32"/>
          <w:highlight w:val="none"/>
          <w:u w:val="single"/>
        </w:rPr>
        <w:t xml:space="preserve">    </w:t>
      </w:r>
    </w:p>
    <w:p w14:paraId="1E9F7481">
      <w:pPr>
        <w:spacing w:line="360" w:lineRule="auto"/>
        <w:ind w:firstLine="2127" w:firstLineChars="662"/>
        <w:rPr>
          <w:rFonts w:hint="eastAsia" w:ascii="宋体" w:hAnsi="宋体" w:eastAsia="宋体" w:cs="Times New Roman"/>
          <w:b/>
          <w:bCs/>
          <w:sz w:val="32"/>
          <w:szCs w:val="32"/>
          <w:highlight w:val="none"/>
        </w:rPr>
      </w:pPr>
      <w:r>
        <w:rPr>
          <w:rFonts w:ascii="宋体" w:hAnsi="宋体" w:eastAsia="宋体" w:cs="Times New Roman"/>
          <w:b/>
          <w:bCs/>
          <w:sz w:val="32"/>
          <w:szCs w:val="32"/>
          <w:highlight w:val="none"/>
        </w:rPr>
        <w:t>服务方：</w:t>
      </w:r>
      <w:r>
        <w:rPr>
          <w:rFonts w:hint="eastAsia" w:ascii="宋体" w:hAnsi="宋体" w:eastAsia="宋体" w:cs="Times New Roman"/>
          <w:b/>
          <w:bCs/>
          <w:sz w:val="32"/>
          <w:szCs w:val="32"/>
          <w:highlight w:val="none"/>
          <w:u w:val="single"/>
        </w:rPr>
        <w:t xml:space="preserve">                      </w:t>
      </w:r>
    </w:p>
    <w:p w14:paraId="5306219F">
      <w:pPr>
        <w:spacing w:line="360" w:lineRule="auto"/>
        <w:ind w:firstLine="643" w:firstLineChars="200"/>
        <w:jc w:val="center"/>
        <w:rPr>
          <w:rFonts w:hint="eastAsia" w:ascii="宋体" w:hAnsi="宋体" w:eastAsia="宋体" w:cs="Times New Roman"/>
          <w:b/>
          <w:bCs/>
          <w:sz w:val="32"/>
          <w:szCs w:val="32"/>
          <w:highlight w:val="none"/>
        </w:rPr>
      </w:pPr>
      <w:r>
        <w:rPr>
          <w:rFonts w:ascii="宋体" w:hAnsi="宋体" w:eastAsia="宋体" w:cs="Times New Roman"/>
          <w:b/>
          <w:bCs/>
          <w:sz w:val="32"/>
          <w:szCs w:val="32"/>
          <w:highlight w:val="none"/>
        </w:rPr>
        <w:t>二〇二</w:t>
      </w:r>
      <w:r>
        <w:rPr>
          <w:rFonts w:hint="eastAsia" w:ascii="宋体" w:hAnsi="宋体" w:eastAsia="宋体" w:cs="Times New Roman"/>
          <w:b/>
          <w:bCs/>
          <w:sz w:val="32"/>
          <w:szCs w:val="32"/>
          <w:highlight w:val="none"/>
          <w:lang w:val="en-US" w:eastAsia="zh-CN"/>
        </w:rPr>
        <w:t>六</w:t>
      </w:r>
      <w:r>
        <w:rPr>
          <w:rFonts w:ascii="宋体" w:hAnsi="宋体" w:eastAsia="宋体" w:cs="Times New Roman"/>
          <w:b/>
          <w:bCs/>
          <w:sz w:val="32"/>
          <w:szCs w:val="32"/>
          <w:highlight w:val="none"/>
        </w:rPr>
        <w:t>年</w:t>
      </w:r>
      <w:r>
        <w:rPr>
          <w:rFonts w:hint="eastAsia" w:ascii="宋体" w:hAnsi="宋体" w:eastAsia="宋体" w:cs="Times New Roman"/>
          <w:b/>
          <w:bCs/>
          <w:sz w:val="32"/>
          <w:szCs w:val="32"/>
          <w:highlight w:val="none"/>
        </w:rPr>
        <w:t xml:space="preserve">  </w:t>
      </w:r>
      <w:r>
        <w:rPr>
          <w:rFonts w:ascii="宋体" w:hAnsi="宋体" w:eastAsia="宋体" w:cs="Times New Roman"/>
          <w:b/>
          <w:bCs/>
          <w:sz w:val="32"/>
          <w:szCs w:val="32"/>
          <w:highlight w:val="none"/>
        </w:rPr>
        <w:t>月</w:t>
      </w:r>
      <w:r>
        <w:rPr>
          <w:rFonts w:ascii="宋体" w:hAnsi="宋体" w:eastAsia="宋体" w:cs="Times New Roman"/>
          <w:b/>
          <w:bCs/>
          <w:sz w:val="32"/>
          <w:szCs w:val="32"/>
          <w:highlight w:val="none"/>
        </w:rPr>
        <w:tab/>
      </w:r>
      <w:r>
        <w:rPr>
          <w:rFonts w:hint="eastAsia" w:ascii="宋体" w:hAnsi="宋体" w:eastAsia="宋体" w:cs="Times New Roman"/>
          <w:b/>
          <w:bCs/>
          <w:sz w:val="32"/>
          <w:szCs w:val="32"/>
          <w:highlight w:val="none"/>
          <w:lang w:val="en-US" w:eastAsia="zh-CN"/>
        </w:rPr>
        <w:t xml:space="preserve">  </w:t>
      </w:r>
      <w:r>
        <w:rPr>
          <w:rFonts w:ascii="宋体" w:hAnsi="宋体" w:eastAsia="宋体" w:cs="Times New Roman"/>
          <w:b/>
          <w:bCs/>
          <w:sz w:val="32"/>
          <w:szCs w:val="32"/>
          <w:highlight w:val="none"/>
        </w:rPr>
        <w:t>日</w:t>
      </w:r>
    </w:p>
    <w:p w14:paraId="3B972E90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</w:p>
    <w:p w14:paraId="1503AE31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</w:p>
    <w:p w14:paraId="7BBFE175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 xml:space="preserve">合同编号： </w:t>
      </w:r>
      <w:r>
        <w:rPr>
          <w:rFonts w:ascii="宋体" w:hAnsi="宋体" w:eastAsia="宋体" w:cs="Times New Roman"/>
          <w:sz w:val="24"/>
          <w:szCs w:val="24"/>
          <w:highlight w:val="none"/>
        </w:rPr>
        <w:tab/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宋体" w:hAnsi="宋体" w:eastAsia="宋体" w:cs="Times New Roman"/>
          <w:sz w:val="24"/>
          <w:szCs w:val="24"/>
          <w:highlight w:val="none"/>
        </w:rPr>
        <w:t xml:space="preserve">签订地点： </w:t>
      </w:r>
      <w:r>
        <w:rPr>
          <w:rFonts w:ascii="宋体" w:hAnsi="宋体" w:eastAsia="宋体" w:cs="Times New Roman"/>
          <w:sz w:val="24"/>
          <w:szCs w:val="24"/>
          <w:highlight w:val="none"/>
        </w:rPr>
        <w:tab/>
      </w:r>
      <w:r>
        <w:rPr>
          <w:rFonts w:ascii="宋体" w:hAnsi="宋体" w:eastAsia="宋体" w:cs="Times New Roman"/>
          <w:sz w:val="24"/>
          <w:szCs w:val="24"/>
          <w:highlight w:val="none"/>
        </w:rPr>
        <w:tab/>
      </w:r>
      <w:r>
        <w:rPr>
          <w:rFonts w:ascii="宋体" w:hAnsi="宋体" w:eastAsia="宋体" w:cs="Times New Roman"/>
          <w:sz w:val="24"/>
          <w:szCs w:val="24"/>
          <w:highlight w:val="none"/>
        </w:rPr>
        <w:tab/>
      </w:r>
    </w:p>
    <w:p w14:paraId="2E738E0D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 xml:space="preserve">签订时间： </w:t>
      </w:r>
      <w:r>
        <w:rPr>
          <w:rFonts w:ascii="宋体" w:hAnsi="宋体" w:eastAsia="宋体" w:cs="Times New Roman"/>
          <w:sz w:val="24"/>
          <w:szCs w:val="24"/>
          <w:highlight w:val="none"/>
        </w:rPr>
        <w:tab/>
      </w:r>
      <w:r>
        <w:rPr>
          <w:rFonts w:ascii="宋体" w:hAnsi="宋体" w:eastAsia="宋体" w:cs="Times New Roman"/>
          <w:sz w:val="24"/>
          <w:szCs w:val="24"/>
          <w:highlight w:val="none"/>
        </w:rPr>
        <w:t xml:space="preserve">年 </w:t>
      </w:r>
      <w:r>
        <w:rPr>
          <w:rFonts w:ascii="宋体" w:hAnsi="宋体" w:eastAsia="宋体" w:cs="Times New Roman"/>
          <w:sz w:val="24"/>
          <w:szCs w:val="24"/>
          <w:highlight w:val="none"/>
        </w:rPr>
        <w:tab/>
      </w:r>
      <w:r>
        <w:rPr>
          <w:rFonts w:ascii="宋体" w:hAnsi="宋体" w:eastAsia="宋体" w:cs="Times New Roman"/>
          <w:sz w:val="24"/>
          <w:szCs w:val="24"/>
          <w:highlight w:val="none"/>
        </w:rPr>
        <w:t xml:space="preserve">月 </w:t>
      </w:r>
      <w:r>
        <w:rPr>
          <w:rFonts w:ascii="宋体" w:hAnsi="宋体" w:eastAsia="宋体" w:cs="Times New Roman"/>
          <w:sz w:val="24"/>
          <w:szCs w:val="24"/>
          <w:highlight w:val="none"/>
        </w:rPr>
        <w:tab/>
      </w:r>
      <w:r>
        <w:rPr>
          <w:rFonts w:ascii="宋体" w:hAnsi="宋体" w:eastAsia="宋体" w:cs="Times New Roman"/>
          <w:sz w:val="24"/>
          <w:szCs w:val="24"/>
          <w:highlight w:val="none"/>
        </w:rPr>
        <w:t xml:space="preserve">日 </w:t>
      </w:r>
    </w:p>
    <w:p w14:paraId="2E16D8DF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采购人（甲方）：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陕西省民政厅</w:t>
      </w:r>
      <w:r>
        <w:rPr>
          <w:rFonts w:ascii="宋体" w:hAnsi="宋体" w:eastAsia="宋体" w:cs="Times New Roman"/>
          <w:sz w:val="24"/>
          <w:szCs w:val="24"/>
          <w:highlight w:val="none"/>
        </w:rPr>
        <w:t xml:space="preserve"> </w:t>
      </w:r>
    </w:p>
    <w:p w14:paraId="1D36E45F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 xml:space="preserve">供应商（乙方）： </w:t>
      </w:r>
      <w:r>
        <w:rPr>
          <w:rFonts w:ascii="宋体" w:hAnsi="宋体" w:eastAsia="宋体" w:cs="Times New Roman"/>
          <w:sz w:val="24"/>
          <w:szCs w:val="24"/>
          <w:highlight w:val="none"/>
        </w:rPr>
        <w:tab/>
      </w:r>
      <w:r>
        <w:rPr>
          <w:rFonts w:ascii="宋体" w:hAnsi="宋体" w:eastAsia="宋体" w:cs="Times New Roman"/>
          <w:sz w:val="24"/>
          <w:szCs w:val="24"/>
          <w:highlight w:val="none"/>
        </w:rPr>
        <w:tab/>
      </w:r>
      <w:r>
        <w:rPr>
          <w:rFonts w:ascii="宋体" w:hAnsi="宋体" w:eastAsia="宋体" w:cs="Times New Roman"/>
          <w:sz w:val="24"/>
          <w:szCs w:val="24"/>
          <w:highlight w:val="none"/>
        </w:rPr>
        <w:tab/>
      </w:r>
    </w:p>
    <w:p w14:paraId="23DB839D">
      <w:pPr>
        <w:spacing w:line="360" w:lineRule="auto"/>
        <w:ind w:firstLine="480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根据《中华人民共和国政府采购法》及实施条例、《中华人民共和国民法典》 和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u w:val="single"/>
          <w:lang w:eastAsia="zh-CN"/>
        </w:rPr>
        <w:t>陕西省民政厅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u w:val="single"/>
          <w:lang w:eastAsia="zh-CN"/>
        </w:rPr>
        <w:t>2026年“银龄行动”示范项目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  <w:t>采购包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ascii="宋体" w:hAnsi="宋体" w:eastAsia="宋体" w:cs="Times New Roman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招标文件</w:t>
      </w:r>
      <w:r>
        <w:rPr>
          <w:rFonts w:ascii="宋体" w:hAnsi="宋体" w:eastAsia="宋体" w:cs="Times New Roman"/>
          <w:sz w:val="24"/>
          <w:szCs w:val="24"/>
          <w:highlight w:val="none"/>
        </w:rPr>
        <w:t>、乙方递交的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投标文件</w:t>
      </w:r>
      <w:r>
        <w:rPr>
          <w:rFonts w:ascii="宋体" w:hAnsi="宋体" w:eastAsia="宋体" w:cs="Times New Roman"/>
          <w:sz w:val="24"/>
          <w:szCs w:val="24"/>
          <w:highlight w:val="none"/>
        </w:rPr>
        <w:t>等有关规定，为确保甲方采购项目的顺利实施，甲、乙双方在平等自愿原则下签订本合同，并共同遵守如下条款：</w:t>
      </w:r>
    </w:p>
    <w:p w14:paraId="7A6762CB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>第一条  项目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  <w:t>名称</w:t>
      </w:r>
    </w:p>
    <w:p w14:paraId="018C30DB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2026年“银龄行动”示范项目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采购包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  <w:t xml:space="preserve">    </w:t>
      </w:r>
    </w:p>
    <w:p w14:paraId="1CD49AA5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>第二条  合同期限</w:t>
      </w:r>
    </w:p>
    <w:p w14:paraId="2460EB0D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合同履行期限：</w:t>
      </w:r>
    </w:p>
    <w:p w14:paraId="2BD53F59">
      <w:pPr>
        <w:numPr>
          <w:ilvl w:val="0"/>
          <w:numId w:val="1"/>
        </w:numPr>
        <w:spacing w:line="360" w:lineRule="auto"/>
        <w:ind w:firstLine="482" w:firstLineChars="200"/>
        <w:rPr>
          <w:rFonts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 xml:space="preserve"> 服务内容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及要求（根据供应商响应场次的实际情况填写）</w:t>
      </w:r>
    </w:p>
    <w:p w14:paraId="223FC39B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采购包1</w:t>
      </w:r>
    </w:p>
    <w:tbl>
      <w:tblPr>
        <w:tblStyle w:val="3"/>
        <w:tblW w:w="8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4178"/>
        <w:gridCol w:w="3515"/>
      </w:tblGrid>
      <w:tr w14:paraId="597E1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85" w:type="dxa"/>
          </w:tcPr>
          <w:p w14:paraId="5B6D22A0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4178" w:type="dxa"/>
          </w:tcPr>
          <w:p w14:paraId="3CF18221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标题</w:t>
            </w:r>
          </w:p>
        </w:tc>
        <w:tc>
          <w:tcPr>
            <w:tcW w:w="3515" w:type="dxa"/>
          </w:tcPr>
          <w:p w14:paraId="2547B574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服务要求</w:t>
            </w:r>
          </w:p>
        </w:tc>
      </w:tr>
      <w:tr w14:paraId="3BC4F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085" w:type="dxa"/>
            <w:vAlign w:val="center"/>
          </w:tcPr>
          <w:p w14:paraId="51FEEE48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178" w:type="dxa"/>
            <w:vAlign w:val="center"/>
          </w:tcPr>
          <w:p w14:paraId="09DE2A06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老年志愿者比例</w:t>
            </w:r>
          </w:p>
        </w:tc>
        <w:tc>
          <w:tcPr>
            <w:tcW w:w="3515" w:type="dxa"/>
            <w:vAlign w:val="center"/>
          </w:tcPr>
          <w:p w14:paraId="45C696B0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不少于90%</w:t>
            </w:r>
          </w:p>
        </w:tc>
      </w:tr>
      <w:tr w14:paraId="782D5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85" w:type="dxa"/>
            <w:vAlign w:val="center"/>
          </w:tcPr>
          <w:p w14:paraId="35174E83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178" w:type="dxa"/>
            <w:vMerge w:val="restart"/>
            <w:vAlign w:val="center"/>
          </w:tcPr>
          <w:p w14:paraId="30379F70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线下活动开展</w:t>
            </w:r>
          </w:p>
        </w:tc>
        <w:tc>
          <w:tcPr>
            <w:tcW w:w="3515" w:type="dxa"/>
            <w:vAlign w:val="center"/>
          </w:tcPr>
          <w:p w14:paraId="6FBBF0AE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场次不少于25场</w:t>
            </w:r>
          </w:p>
        </w:tc>
      </w:tr>
      <w:tr w14:paraId="00316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1085" w:type="dxa"/>
            <w:vAlign w:val="center"/>
          </w:tcPr>
          <w:p w14:paraId="1AE5BE83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178" w:type="dxa"/>
            <w:vMerge w:val="continue"/>
            <w:vAlign w:val="center"/>
          </w:tcPr>
          <w:p w14:paraId="0578F6A8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515" w:type="dxa"/>
            <w:vAlign w:val="center"/>
          </w:tcPr>
          <w:p w14:paraId="3B810D49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覆盖人群每场不少于100人次</w:t>
            </w:r>
          </w:p>
        </w:tc>
      </w:tr>
      <w:tr w14:paraId="476A3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85" w:type="dxa"/>
            <w:vAlign w:val="center"/>
          </w:tcPr>
          <w:p w14:paraId="220153B2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178" w:type="dxa"/>
            <w:vMerge w:val="continue"/>
            <w:vAlign w:val="center"/>
          </w:tcPr>
          <w:p w14:paraId="326B4817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515" w:type="dxa"/>
            <w:vAlign w:val="center"/>
          </w:tcPr>
          <w:p w14:paraId="396C2FDA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进乡村场次不少于30%</w:t>
            </w:r>
          </w:p>
        </w:tc>
      </w:tr>
      <w:tr w14:paraId="142B2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85" w:type="dxa"/>
            <w:vAlign w:val="center"/>
          </w:tcPr>
          <w:p w14:paraId="64BBD944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4178" w:type="dxa"/>
            <w:vAlign w:val="center"/>
          </w:tcPr>
          <w:p w14:paraId="35070785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省级官方媒体报道场次</w:t>
            </w:r>
          </w:p>
        </w:tc>
        <w:tc>
          <w:tcPr>
            <w:tcW w:w="3515" w:type="dxa"/>
            <w:vAlign w:val="center"/>
          </w:tcPr>
          <w:p w14:paraId="2290D2F0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不少于10场</w:t>
            </w:r>
          </w:p>
        </w:tc>
      </w:tr>
      <w:tr w14:paraId="55C7B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085" w:type="dxa"/>
            <w:vAlign w:val="center"/>
          </w:tcPr>
          <w:p w14:paraId="315F72E9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4178" w:type="dxa"/>
            <w:vAlign w:val="center"/>
          </w:tcPr>
          <w:p w14:paraId="5A1C4E68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“银龄国情云讲堂”</w:t>
            </w:r>
          </w:p>
        </w:tc>
        <w:tc>
          <w:tcPr>
            <w:tcW w:w="3515" w:type="dxa"/>
            <w:vAlign w:val="center"/>
          </w:tcPr>
          <w:p w14:paraId="132783AB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不少于16期</w:t>
            </w:r>
          </w:p>
        </w:tc>
      </w:tr>
    </w:tbl>
    <w:p w14:paraId="017FDAA3">
      <w:pPr>
        <w:widowControl w:val="0"/>
        <w:numPr>
          <w:ilvl w:val="0"/>
          <w:numId w:val="0"/>
        </w:numPr>
        <w:spacing w:line="360" w:lineRule="auto"/>
        <w:ind w:firstLine="0" w:firstLineChars="0"/>
        <w:jc w:val="left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  <w:t>采购包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2</w:t>
      </w:r>
    </w:p>
    <w:tbl>
      <w:tblPr>
        <w:tblStyle w:val="3"/>
        <w:tblW w:w="88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4418"/>
        <w:gridCol w:w="3567"/>
      </w:tblGrid>
      <w:tr w14:paraId="296EE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30" w:type="dxa"/>
          </w:tcPr>
          <w:p w14:paraId="293142BD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4418" w:type="dxa"/>
          </w:tcPr>
          <w:p w14:paraId="336387F6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标题</w:t>
            </w:r>
          </w:p>
        </w:tc>
        <w:tc>
          <w:tcPr>
            <w:tcW w:w="3567" w:type="dxa"/>
          </w:tcPr>
          <w:p w14:paraId="3B4E1FAB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服务要求</w:t>
            </w:r>
          </w:p>
        </w:tc>
      </w:tr>
      <w:tr w14:paraId="7CB2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30" w:type="dxa"/>
            <w:vAlign w:val="center"/>
          </w:tcPr>
          <w:p w14:paraId="5C70ECE8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418" w:type="dxa"/>
            <w:vAlign w:val="center"/>
          </w:tcPr>
          <w:p w14:paraId="2EF96A76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老年志愿者比例</w:t>
            </w:r>
          </w:p>
        </w:tc>
        <w:tc>
          <w:tcPr>
            <w:tcW w:w="3567" w:type="dxa"/>
            <w:vAlign w:val="center"/>
          </w:tcPr>
          <w:p w14:paraId="628C2BBE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不少于90%</w:t>
            </w:r>
          </w:p>
        </w:tc>
      </w:tr>
      <w:tr w14:paraId="7059C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30" w:type="dxa"/>
            <w:vAlign w:val="center"/>
          </w:tcPr>
          <w:p w14:paraId="5D6F9795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418" w:type="dxa"/>
            <w:vMerge w:val="restart"/>
            <w:vAlign w:val="center"/>
          </w:tcPr>
          <w:p w14:paraId="20C730E2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线下活动开展</w:t>
            </w:r>
          </w:p>
        </w:tc>
        <w:tc>
          <w:tcPr>
            <w:tcW w:w="3567" w:type="dxa"/>
            <w:vAlign w:val="center"/>
          </w:tcPr>
          <w:p w14:paraId="378A3BEC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场次不少于25场</w:t>
            </w:r>
          </w:p>
        </w:tc>
      </w:tr>
      <w:tr w14:paraId="1102B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30" w:type="dxa"/>
            <w:vAlign w:val="center"/>
          </w:tcPr>
          <w:p w14:paraId="22A3CD29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418" w:type="dxa"/>
            <w:vMerge w:val="continue"/>
            <w:vAlign w:val="center"/>
          </w:tcPr>
          <w:p w14:paraId="1BB9487F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567" w:type="dxa"/>
            <w:vAlign w:val="center"/>
          </w:tcPr>
          <w:p w14:paraId="6164E1BF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覆盖人群每场不少于100人次</w:t>
            </w:r>
          </w:p>
        </w:tc>
      </w:tr>
      <w:tr w14:paraId="0A72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30" w:type="dxa"/>
            <w:vAlign w:val="center"/>
          </w:tcPr>
          <w:p w14:paraId="146A9F2E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418" w:type="dxa"/>
            <w:vMerge w:val="continue"/>
            <w:vAlign w:val="center"/>
          </w:tcPr>
          <w:p w14:paraId="686164E2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567" w:type="dxa"/>
            <w:vAlign w:val="center"/>
          </w:tcPr>
          <w:p w14:paraId="64B612C4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进乡村场次不少于30%</w:t>
            </w:r>
          </w:p>
        </w:tc>
      </w:tr>
      <w:tr w14:paraId="5B43C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30" w:type="dxa"/>
            <w:vAlign w:val="center"/>
          </w:tcPr>
          <w:p w14:paraId="72B646D8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4418" w:type="dxa"/>
            <w:vAlign w:val="center"/>
          </w:tcPr>
          <w:p w14:paraId="2EA23D35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省级官方媒体报道场次</w:t>
            </w:r>
          </w:p>
        </w:tc>
        <w:tc>
          <w:tcPr>
            <w:tcW w:w="3567" w:type="dxa"/>
            <w:vAlign w:val="center"/>
          </w:tcPr>
          <w:p w14:paraId="6143C754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不少于10场</w:t>
            </w:r>
          </w:p>
        </w:tc>
      </w:tr>
      <w:tr w14:paraId="43659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830" w:type="dxa"/>
            <w:vAlign w:val="center"/>
          </w:tcPr>
          <w:p w14:paraId="4EA5E2AC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4418" w:type="dxa"/>
            <w:vAlign w:val="center"/>
          </w:tcPr>
          <w:p w14:paraId="1E478AA9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法律宣传和数字助老等系列小视频</w:t>
            </w:r>
          </w:p>
        </w:tc>
        <w:tc>
          <w:tcPr>
            <w:tcW w:w="3567" w:type="dxa"/>
            <w:vAlign w:val="center"/>
          </w:tcPr>
          <w:p w14:paraId="29296739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不少于16期</w:t>
            </w:r>
          </w:p>
        </w:tc>
      </w:tr>
    </w:tbl>
    <w:p w14:paraId="29BC92B4">
      <w:pPr>
        <w:widowControl w:val="0"/>
        <w:numPr>
          <w:ilvl w:val="0"/>
          <w:numId w:val="0"/>
        </w:numPr>
        <w:spacing w:line="360" w:lineRule="auto"/>
        <w:ind w:firstLine="0" w:firstLineChars="0"/>
        <w:jc w:val="left"/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采购包3</w:t>
      </w:r>
    </w:p>
    <w:tbl>
      <w:tblPr>
        <w:tblStyle w:val="3"/>
        <w:tblW w:w="88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3643"/>
        <w:gridCol w:w="4371"/>
      </w:tblGrid>
      <w:tr w14:paraId="25DF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833" w:type="dxa"/>
          </w:tcPr>
          <w:p w14:paraId="4E9E5298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3643" w:type="dxa"/>
          </w:tcPr>
          <w:p w14:paraId="46D7C426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标题</w:t>
            </w:r>
          </w:p>
        </w:tc>
        <w:tc>
          <w:tcPr>
            <w:tcW w:w="4371" w:type="dxa"/>
          </w:tcPr>
          <w:p w14:paraId="4C741895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服务要求</w:t>
            </w:r>
          </w:p>
        </w:tc>
      </w:tr>
      <w:tr w14:paraId="2FD8C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33" w:type="dxa"/>
            <w:vAlign w:val="center"/>
          </w:tcPr>
          <w:p w14:paraId="1B578A41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3643" w:type="dxa"/>
            <w:vAlign w:val="center"/>
          </w:tcPr>
          <w:p w14:paraId="5921E47D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老年志愿者比例</w:t>
            </w:r>
          </w:p>
        </w:tc>
        <w:tc>
          <w:tcPr>
            <w:tcW w:w="4371" w:type="dxa"/>
            <w:vAlign w:val="center"/>
          </w:tcPr>
          <w:p w14:paraId="46E4ED05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不少于90%</w:t>
            </w:r>
          </w:p>
        </w:tc>
      </w:tr>
      <w:tr w14:paraId="37C61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833" w:type="dxa"/>
            <w:vAlign w:val="center"/>
          </w:tcPr>
          <w:p w14:paraId="5E3CA16E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643" w:type="dxa"/>
            <w:vMerge w:val="restart"/>
            <w:vAlign w:val="center"/>
          </w:tcPr>
          <w:p w14:paraId="2A973CA2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“三秦银龄·乐享四季”系列活动</w:t>
            </w:r>
          </w:p>
        </w:tc>
        <w:tc>
          <w:tcPr>
            <w:tcW w:w="4371" w:type="dxa"/>
            <w:vAlign w:val="center"/>
          </w:tcPr>
          <w:p w14:paraId="2D02D99C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省级示范活动不少于3场</w:t>
            </w:r>
          </w:p>
        </w:tc>
      </w:tr>
      <w:tr w14:paraId="248CC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833" w:type="dxa"/>
            <w:vAlign w:val="center"/>
          </w:tcPr>
          <w:p w14:paraId="57924D3E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3643" w:type="dxa"/>
            <w:vMerge w:val="continue"/>
            <w:vAlign w:val="center"/>
          </w:tcPr>
          <w:p w14:paraId="6D9F318B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371" w:type="dxa"/>
            <w:vAlign w:val="center"/>
          </w:tcPr>
          <w:p w14:paraId="369657AA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线下覆盖人群每场不少于200人次</w:t>
            </w:r>
          </w:p>
        </w:tc>
      </w:tr>
      <w:tr w14:paraId="0A5D1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833" w:type="dxa"/>
            <w:vAlign w:val="center"/>
          </w:tcPr>
          <w:p w14:paraId="6B9AD22C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3643" w:type="dxa"/>
            <w:vMerge w:val="continue"/>
            <w:vAlign w:val="center"/>
          </w:tcPr>
          <w:p w14:paraId="0564BDC8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371" w:type="dxa"/>
            <w:vAlign w:val="center"/>
          </w:tcPr>
          <w:p w14:paraId="111071A4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每场2家及以上省级官方媒体报道</w:t>
            </w:r>
          </w:p>
        </w:tc>
      </w:tr>
      <w:tr w14:paraId="07114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833" w:type="dxa"/>
            <w:vMerge w:val="restart"/>
            <w:vAlign w:val="center"/>
          </w:tcPr>
          <w:p w14:paraId="6B16BF7F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3643" w:type="dxa"/>
            <w:vMerge w:val="restart"/>
            <w:vAlign w:val="center"/>
          </w:tcPr>
          <w:p w14:paraId="14BA84AB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孝亲敬老宣讲团</w:t>
            </w:r>
          </w:p>
        </w:tc>
        <w:tc>
          <w:tcPr>
            <w:tcW w:w="4371" w:type="dxa"/>
            <w:vAlign w:val="center"/>
          </w:tcPr>
          <w:p w14:paraId="4B78384F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宣讲活动不少于25场</w:t>
            </w:r>
          </w:p>
        </w:tc>
      </w:tr>
      <w:tr w14:paraId="4DF7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833" w:type="dxa"/>
            <w:vMerge w:val="continue"/>
            <w:vAlign w:val="center"/>
          </w:tcPr>
          <w:p w14:paraId="5B7CAAB6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643" w:type="dxa"/>
            <w:vMerge w:val="continue"/>
            <w:vAlign w:val="center"/>
          </w:tcPr>
          <w:p w14:paraId="3A47E5E8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371" w:type="dxa"/>
            <w:vAlign w:val="center"/>
          </w:tcPr>
          <w:p w14:paraId="102A3F60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每场活动宣讲成员不少于10人</w:t>
            </w:r>
          </w:p>
        </w:tc>
      </w:tr>
      <w:tr w14:paraId="7E396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833" w:type="dxa"/>
            <w:vMerge w:val="continue"/>
            <w:vAlign w:val="center"/>
          </w:tcPr>
          <w:p w14:paraId="607EBE80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643" w:type="dxa"/>
            <w:vMerge w:val="continue"/>
            <w:vAlign w:val="center"/>
          </w:tcPr>
          <w:p w14:paraId="42172891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371" w:type="dxa"/>
            <w:vAlign w:val="center"/>
          </w:tcPr>
          <w:p w14:paraId="53FA00BE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线下覆盖人群每场不少于200人次</w:t>
            </w:r>
          </w:p>
        </w:tc>
      </w:tr>
      <w:tr w14:paraId="172D2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833" w:type="dxa"/>
            <w:vMerge w:val="continue"/>
            <w:vAlign w:val="center"/>
          </w:tcPr>
          <w:p w14:paraId="35075775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643" w:type="dxa"/>
            <w:vMerge w:val="continue"/>
            <w:vAlign w:val="center"/>
          </w:tcPr>
          <w:p w14:paraId="4C72447C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371" w:type="dxa"/>
            <w:vAlign w:val="center"/>
          </w:tcPr>
          <w:p w14:paraId="4B7877B3">
            <w:pPr>
              <w:widowControl w:val="0"/>
              <w:numPr>
                <w:ilvl w:val="0"/>
                <w:numId w:val="0"/>
              </w:numPr>
              <w:spacing w:line="360" w:lineRule="auto"/>
              <w:ind w:firstLine="0" w:firstLineChars="0"/>
              <w:jc w:val="center"/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每场2家及以上省级官方媒体报道</w:t>
            </w:r>
          </w:p>
        </w:tc>
      </w:tr>
    </w:tbl>
    <w:p w14:paraId="6B1D98BA">
      <w:pPr>
        <w:numPr>
          <w:ilvl w:val="0"/>
          <w:numId w:val="2"/>
        </w:num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>第四条  合同价款</w:t>
      </w:r>
    </w:p>
    <w:p w14:paraId="4F8C8F46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1.合同总价款为人民币(大写):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</w:t>
      </w:r>
      <w:r>
        <w:rPr>
          <w:rFonts w:ascii="宋体" w:hAnsi="宋体" w:eastAsia="宋体" w:cs="Times New Roman"/>
          <w:sz w:val="24"/>
          <w:szCs w:val="24"/>
          <w:highlight w:val="none"/>
        </w:rPr>
        <w:t xml:space="preserve">，¥ 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</w:t>
      </w:r>
    </w:p>
    <w:p w14:paraId="2B6315D2">
      <w:pPr>
        <w:spacing w:line="360" w:lineRule="auto"/>
        <w:ind w:left="239" w:leftChars="114" w:firstLine="240" w:firstLineChars="100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2.本项目合同总价款由以下组成:</w:t>
      </w:r>
      <w:r>
        <w:rPr>
          <w:rFonts w:hint="eastAsia" w:ascii="宋体" w:hAnsi="宋体" w:cs="Times New Roman"/>
          <w:sz w:val="24"/>
          <w:szCs w:val="24"/>
          <w:highlight w:val="none"/>
          <w:u w:val="single"/>
          <w:lang w:val="en-US" w:eastAsia="zh-CN"/>
        </w:rPr>
        <w:t xml:space="preserve">1、    2、         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Times New Roman"/>
          <w:sz w:val="24"/>
          <w:szCs w:val="24"/>
          <w:highlight w:val="none"/>
          <w:u w:val="single"/>
          <w:lang w:eastAsia="zh-CN"/>
        </w:rPr>
        <w:t>；（项目表彰费用：</w:t>
      </w:r>
      <w:r>
        <w:rPr>
          <w:rFonts w:hint="eastAsia" w:ascii="宋体" w:hAnsi="宋体" w:cs="Times New Roman"/>
          <w:sz w:val="24"/>
          <w:szCs w:val="24"/>
          <w:highlight w:val="none"/>
          <w:u w:val="single"/>
          <w:lang w:val="en-US" w:eastAsia="zh-CN"/>
        </w:rPr>
        <w:t xml:space="preserve">    元</w:t>
      </w:r>
      <w:r>
        <w:rPr>
          <w:rFonts w:hint="eastAsia" w:ascii="宋体" w:hAnsi="宋体" w:cs="Times New Roman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</w:p>
    <w:p w14:paraId="59DE2C8F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3.甲方无须另向乙方支付本合同规定之外的其他任何费用。</w:t>
      </w:r>
    </w:p>
    <w:p w14:paraId="72EE3C02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 xml:space="preserve">4.履约保证金: 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ab/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不涉及 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ab/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</w:p>
    <w:p w14:paraId="493F3F2B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>第五条  付款方式、时间及付款条件</w:t>
      </w:r>
    </w:p>
    <w:p w14:paraId="685CCB77"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（1）合同签订后5个工作日内，甲方向乙方支付合同总价款的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0%，作为项目预付款。（2）乙方完成项目主体内容并交付，经甲方验收合格，且乙方提交结项报告后5个工作日内，甲方向乙方支付合同总价款的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0%。（3）乙方应在甲方支付各笔款项前，提供符合甲方财务要求的等额合法有效票据，否则甲方有权顺延付款且不承担违约责任。甲方以银行转账方式支付至乙方指定账户，乙方账户信息如有变更，需提前3个工作日书面通知甲方。（4）付款方式为银行转账。（5）若项目阶段性或最终成果验收不合格，乙方应在甲方要求的期限内无偿整改至合格；逾期未整改或整改后仍不合格的，甲方有权暂缓支付相应款项，直至合格为止，由此造成的一切损失由乙方承担。</w:t>
      </w:r>
    </w:p>
    <w:p w14:paraId="35D5400C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 xml:space="preserve">第六条  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服务时间</w:t>
      </w: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>、地点、方式</w:t>
      </w:r>
    </w:p>
    <w:p w14:paraId="06A48F0F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服务时间</w:t>
      </w:r>
      <w:r>
        <w:rPr>
          <w:rFonts w:ascii="宋体" w:hAnsi="宋体" w:eastAsia="宋体" w:cs="Times New Roman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自签订合同起一年</w:t>
      </w:r>
    </w:p>
    <w:p w14:paraId="3317A267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 xml:space="preserve">2.交付地点：甲方指定地点                                                             </w:t>
      </w:r>
    </w:p>
    <w:p w14:paraId="00C4D3B0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 xml:space="preserve">3.交付条件：本次所有服务内容完成 </w:t>
      </w:r>
    </w:p>
    <w:p w14:paraId="0D02CAA2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甲方联系人及电话：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                       </w:t>
      </w:r>
    </w:p>
    <w:p w14:paraId="1993F029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 xml:space="preserve">乙方联系人及电话: 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                       </w:t>
      </w:r>
      <w:r>
        <w:rPr>
          <w:rFonts w:ascii="宋体" w:hAnsi="宋体" w:eastAsia="宋体" w:cs="Times New Roman"/>
          <w:sz w:val="24"/>
          <w:szCs w:val="24"/>
          <w:highlight w:val="none"/>
        </w:rPr>
        <w:t xml:space="preserve">                                                 </w:t>
      </w:r>
    </w:p>
    <w:p w14:paraId="33912D10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>第七条  质量保证</w:t>
      </w:r>
    </w:p>
    <w:p w14:paraId="684DD856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质量保证：乙方应保证所提供的服务，符合甲方的要求。如不符时，乙方应负全责。并尽快处理解决，由此造成的损失和相关费用由乙方负责，甲方保留终止合同及索赔的权利 。</w:t>
      </w:r>
    </w:p>
    <w:p w14:paraId="3742A5BA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>第八条  验收</w:t>
      </w:r>
    </w:p>
    <w:p w14:paraId="7AF8C249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验收不合格的，供应商应在指定期限内整改，整改合格并重新验收通过后，方可申请付款。</w:t>
      </w:r>
    </w:p>
    <w:p w14:paraId="57C79D28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 xml:space="preserve">第九条  无产权瑕疵条款 </w:t>
      </w:r>
    </w:p>
    <w:p w14:paraId="73DA0EC8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乙方保证所提供的服务的所有权完全属于乙方且无任何抵押、查封等产权瑕疵。如有产权瑕疵的，视为乙方违约，乙方应负担由此而产生的一切损失。</w:t>
      </w:r>
    </w:p>
    <w:p w14:paraId="4395D33B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>第十条  甲方的权利和义务</w:t>
      </w:r>
    </w:p>
    <w:p w14:paraId="4EA75C0E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1.</w:t>
      </w:r>
      <w:r>
        <w:rPr>
          <w:rFonts w:ascii="宋体" w:hAnsi="宋体" w:eastAsia="宋体" w:cs="Times New Roman"/>
          <w:sz w:val="24"/>
          <w:szCs w:val="24"/>
          <w:highlight w:val="none"/>
        </w:rPr>
        <w:t>甲方有权对合同规定范围内乙方的服务行为进行监督和检查，拥有监 管权；有权定期核对乙方提供服务所配备的人员数量，对甲方认为不合理的 部分有权下达整改通知书，并要求乙方限期整改。</w:t>
      </w:r>
    </w:p>
    <w:p w14:paraId="118A669D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2.甲方有权对乙方提供的服务进行定期考评，当考评结果未达到标准时，有权要求乙方返还已支付相应数额的费用。</w:t>
      </w:r>
    </w:p>
    <w:p w14:paraId="0AF84204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3.负责检查监督乙方管理工作的实施及制度的执行情况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。</w:t>
      </w:r>
    </w:p>
    <w:p w14:paraId="7B29668E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4.根据本合同规定，按时向乙方支付应付服务费用。</w:t>
      </w:r>
    </w:p>
    <w:p w14:paraId="76E022D0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 xml:space="preserve">5.国家法律、法规所规定由甲方承担的其它责任。 </w:t>
      </w:r>
    </w:p>
    <w:p w14:paraId="72ADDCCD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>第十一条  乙方的权利和义务</w:t>
      </w:r>
    </w:p>
    <w:p w14:paraId="119F3BA7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1.对本合同规定的委托服务范围内的项目享有管理权及服务义务。</w:t>
      </w:r>
    </w:p>
    <w:p w14:paraId="62566AC8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2.根据本合同的规定向甲方收取相关服务费用，并有权在本项目管理范围内管理及合理使用。</w:t>
      </w:r>
    </w:p>
    <w:p w14:paraId="240513FA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3.及时向甲方通告本项目服务范围内有关服务的重大事项，及时配合处理投诉。</w:t>
      </w:r>
    </w:p>
    <w:p w14:paraId="5FE625E8">
      <w:p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4.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本项目实施过程中发生的安全事故责任由乙方承担。</w:t>
      </w:r>
    </w:p>
    <w:p w14:paraId="2BEF3283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5.接受项目行业管理部门及政府有关部门的指导，接受甲方的监督。</w:t>
      </w:r>
    </w:p>
    <w:p w14:paraId="311450E3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6.</w:t>
      </w:r>
      <w:r>
        <w:rPr>
          <w:rFonts w:ascii="宋体" w:hAnsi="宋体" w:eastAsia="宋体" w:cs="Times New Roman"/>
          <w:sz w:val="24"/>
          <w:szCs w:val="24"/>
          <w:highlight w:val="none"/>
        </w:rPr>
        <w:t xml:space="preserve">国家法律、法规所规定由乙方承担的其它责任。 </w:t>
      </w:r>
    </w:p>
    <w:p w14:paraId="4EE0915D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>第十二条  违约责任</w:t>
      </w:r>
    </w:p>
    <w:p w14:paraId="49E0A085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1.甲乙双方必须遵守本合同并执行合同中的各项规定，保证本合同的正常履行。</w:t>
      </w:r>
    </w:p>
    <w:p w14:paraId="60B7E86C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2.乙方未全面履行合同义务或者发生违约，甲方有权解除合同，要求乙方承担本合同总价款20%的违约金。依法向乙方进行经济索赔(包括但不限于律师费、诉讼费、保全费等)，并报请政府采购监督管理机关依法进行相应的行政处罚。</w:t>
      </w:r>
    </w:p>
    <w:p w14:paraId="4994CBB0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>第十三条  不可抗力事件处理</w:t>
      </w:r>
    </w:p>
    <w:p w14:paraId="60A515A6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1.在合同有效期内，任何一方因不可抗力事件导致不能履行合同，则合同履行期可延长，其延长期与不可抗力影响期相同。</w:t>
      </w:r>
    </w:p>
    <w:p w14:paraId="720EF247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2.不可抗力事件发生后，应立即通知对方，并寄送有关权威机构出具的证明。</w:t>
      </w:r>
    </w:p>
    <w:p w14:paraId="15200779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3.不可抗力事件延续 30 天以上，双方应通过友好协商，确定是否继续履行合同。</w:t>
      </w:r>
    </w:p>
    <w:p w14:paraId="6C4AB172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>第十四条  合同的变更和终止</w:t>
      </w:r>
    </w:p>
    <w:p w14:paraId="34BA48FB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除《中华人民共和国政府采购法》第 49 条、第 50 条第二款规定的情形外，本合同一经签订，甲乙双方不得擅自变更、中止或终止合同。</w:t>
      </w:r>
    </w:p>
    <w:p w14:paraId="138CBFC9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 xml:space="preserve">第十五条  争议解决条款 </w:t>
      </w:r>
    </w:p>
    <w:p w14:paraId="11C15170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在执行本合同中发生的或与本合同有关的争端，双方应通过友好协商解</w:t>
      </w:r>
    </w:p>
    <w:p w14:paraId="2CFA0478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决，经协商在 7 天内不能达成协议时，双方可按下列第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>2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ab/>
      </w:r>
      <w:r>
        <w:rPr>
          <w:rFonts w:ascii="宋体" w:hAnsi="宋体" w:eastAsia="宋体" w:cs="Times New Roman"/>
          <w:sz w:val="24"/>
          <w:szCs w:val="24"/>
          <w:highlight w:val="none"/>
        </w:rPr>
        <w:t>种方式解决：</w:t>
      </w:r>
    </w:p>
    <w:p w14:paraId="5E7A59D3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（一）提交西安仲裁委员会仲裁；</w:t>
      </w:r>
    </w:p>
    <w:p w14:paraId="1FBF618C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（二）依法向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有管辖权的</w:t>
      </w:r>
      <w:r>
        <w:rPr>
          <w:rFonts w:ascii="宋体" w:hAnsi="宋体" w:eastAsia="宋体" w:cs="Times New Roman"/>
          <w:sz w:val="24"/>
          <w:szCs w:val="24"/>
          <w:highlight w:val="none"/>
        </w:rPr>
        <w:t xml:space="preserve">人民法院起诉。 </w:t>
      </w:r>
    </w:p>
    <w:p w14:paraId="5CD44298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ascii="宋体" w:hAnsi="宋体" w:eastAsia="宋体" w:cs="Times New Roman"/>
          <w:b/>
          <w:bCs/>
          <w:sz w:val="24"/>
          <w:szCs w:val="24"/>
          <w:highlight w:val="none"/>
        </w:rPr>
        <w:t>第十六条  合同生效及其他</w:t>
      </w:r>
    </w:p>
    <w:p w14:paraId="45B1B58E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1.合同经双方法定代表人签字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或者盖章</w:t>
      </w:r>
      <w:r>
        <w:rPr>
          <w:rFonts w:ascii="宋体" w:hAnsi="宋体" w:eastAsia="宋体" w:cs="Times New Roman"/>
          <w:sz w:val="24"/>
          <w:szCs w:val="24"/>
          <w:highlight w:val="none"/>
        </w:rPr>
        <w:t>并加盖单位公章后生效。</w:t>
      </w:r>
    </w:p>
    <w:p w14:paraId="7DEF6C92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2.合同执行中涉及采购资金和采购内容修改或补充的，须经政府采购监管部门审批，并签书面补充协议报政府采购监督管理部门备案，方可作为主合同不可分割的一部分。</w:t>
      </w:r>
    </w:p>
    <w:p w14:paraId="4EA6A7F8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>3.本合同一式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highlight w:val="none"/>
        </w:rPr>
        <w:t>份，自双方签章之日起起效。甲方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highlight w:val="none"/>
        </w:rPr>
        <w:t>份，乙方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highlight w:val="none"/>
        </w:rPr>
        <w:t>份，具有同等法律效力。</w:t>
      </w:r>
    </w:p>
    <w:p w14:paraId="74A2D887">
      <w:pPr>
        <w:spacing w:line="360" w:lineRule="auto"/>
        <w:ind w:firstLine="0" w:firstLineChars="0"/>
        <w:rPr>
          <w:rFonts w:hint="eastAsia" w:ascii="宋体" w:hAnsi="宋体" w:eastAsia="宋体" w:cs="Times New Roman"/>
          <w:sz w:val="24"/>
          <w:szCs w:val="24"/>
          <w:highlight w:val="none"/>
        </w:rPr>
      </w:pPr>
    </w:p>
    <w:p w14:paraId="48A5E590">
      <w:pPr>
        <w:widowControl/>
        <w:spacing w:line="240" w:lineRule="auto"/>
        <w:ind w:firstLine="0" w:firstLineChars="0"/>
        <w:jc w:val="left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br w:type="page"/>
      </w:r>
    </w:p>
    <w:tbl>
      <w:tblPr>
        <w:tblStyle w:val="2"/>
        <w:tblW w:w="522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6"/>
        <w:gridCol w:w="4328"/>
      </w:tblGrid>
      <w:tr w14:paraId="24ED1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C5D02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甲  方</w:t>
            </w:r>
          </w:p>
        </w:tc>
        <w:tc>
          <w:tcPr>
            <w:tcW w:w="2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DB9D1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乙  方</w:t>
            </w:r>
          </w:p>
        </w:tc>
      </w:tr>
      <w:tr w14:paraId="684C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587BC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采购人名称（盖章）</w:t>
            </w:r>
          </w:p>
          <w:p w14:paraId="0B5A384F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highlight w:val="none"/>
                <w:lang w:eastAsia="zh-CN"/>
              </w:rPr>
              <w:t>陕西省民政厅</w:t>
            </w:r>
          </w:p>
        </w:tc>
        <w:tc>
          <w:tcPr>
            <w:tcW w:w="2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AB283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供应商全称（盖章）</w:t>
            </w:r>
          </w:p>
          <w:p w14:paraId="34FA507D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3C6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</w:trPr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9F3C2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地址：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A64FD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地址：</w:t>
            </w:r>
          </w:p>
        </w:tc>
      </w:tr>
      <w:tr w14:paraId="2D084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</w:trPr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EE8F6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邮编：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A3497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邮编：</w:t>
            </w:r>
          </w:p>
        </w:tc>
      </w:tr>
      <w:tr w14:paraId="0B11B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</w:trPr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B3CBA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val="en-US" w:eastAsia="zh-CN"/>
              </w:rPr>
              <w:t>签字或盖章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 xml:space="preserve">： </w:t>
            </w:r>
          </w:p>
        </w:tc>
        <w:tc>
          <w:tcPr>
            <w:tcW w:w="2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1400B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val="en-US" w:eastAsia="zh-CN"/>
              </w:rPr>
              <w:t>签字或盖章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：</w:t>
            </w:r>
          </w:p>
        </w:tc>
      </w:tr>
      <w:tr w14:paraId="70249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</w:trPr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BE68E">
            <w:pPr>
              <w:spacing w:line="360" w:lineRule="auto"/>
              <w:ind w:firstLine="0" w:firstLineChars="0"/>
              <w:rPr>
                <w:rFonts w:hint="default" w:ascii="宋体" w:hAnsi="宋体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2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DCAF9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电话：</w:t>
            </w:r>
          </w:p>
        </w:tc>
      </w:tr>
      <w:tr w14:paraId="0C1E0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</w:trPr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505B7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日期：  年   月    日</w:t>
            </w:r>
          </w:p>
        </w:tc>
        <w:tc>
          <w:tcPr>
            <w:tcW w:w="2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7BF53">
            <w:pPr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日期： 年   月    日</w:t>
            </w:r>
          </w:p>
        </w:tc>
      </w:tr>
    </w:tbl>
    <w:p w14:paraId="56002ED9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</w:p>
    <w:p w14:paraId="5420464A">
      <w:pPr>
        <w:widowControl/>
        <w:spacing w:line="360" w:lineRule="auto"/>
        <w:ind w:firstLine="0" w:firstLineChars="0"/>
        <w:jc w:val="left"/>
        <w:rPr>
          <w:rFonts w:ascii="宋体" w:hAnsi="宋体" w:eastAsia="宋体" w:cs="Times New Roman"/>
          <w:kern w:val="0"/>
          <w:sz w:val="24"/>
          <w:szCs w:val="24"/>
          <w:highlight w:val="none"/>
          <w:lang w:eastAsia="zh-Hans"/>
        </w:rPr>
      </w:pPr>
    </w:p>
    <w:p w14:paraId="378F2AF1">
      <w:pPr>
        <w:spacing w:line="240" w:lineRule="auto"/>
        <w:ind w:firstLine="0" w:firstLineChars="0"/>
        <w:rPr>
          <w:rFonts w:hint="eastAsia" w:ascii="Calibri" w:hAnsi="Calibri" w:eastAsia="宋体" w:cs="Times New Roman"/>
          <w:szCs w:val="22"/>
          <w:highlight w:val="none"/>
        </w:rPr>
      </w:pPr>
    </w:p>
    <w:p w14:paraId="276646AA">
      <w:pPr>
        <w:spacing w:line="240" w:lineRule="auto"/>
        <w:ind w:firstLine="0" w:firstLineChars="0"/>
        <w:rPr>
          <w:rFonts w:ascii="Calibri" w:hAnsi="Calibri" w:eastAsia="宋体" w:cs="Times New Roman"/>
          <w:szCs w:val="22"/>
          <w:highlight w:val="none"/>
        </w:rPr>
      </w:pPr>
    </w:p>
    <w:p w14:paraId="7A0C4E9B">
      <w:pPr>
        <w:spacing w:line="360" w:lineRule="auto"/>
        <w:ind w:firstLine="522"/>
        <w:jc w:val="center"/>
        <w:rPr>
          <w:rFonts w:hint="eastAsia" w:ascii="宋体" w:hAnsi="宋体" w:eastAsia="宋体" w:cs="宋体"/>
          <w:b/>
          <w:color w:val="000000"/>
          <w:sz w:val="52"/>
          <w:szCs w:val="52"/>
        </w:rPr>
      </w:pPr>
    </w:p>
    <w:p w14:paraId="08D979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210"/>
      </w:pPr>
      <w:r>
        <w:separator/>
      </w:r>
    </w:p>
  </w:endnote>
  <w:endnote w:type="continuationSeparator" w:id="1">
    <w:p>
      <w:pPr>
        <w:spacing w:line="240" w:lineRule="auto"/>
        <w:ind w:firstLine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210"/>
      </w:pPr>
      <w:r>
        <w:separator/>
      </w:r>
    </w:p>
  </w:footnote>
  <w:footnote w:type="continuationSeparator" w:id="1">
    <w:p>
      <w:pPr>
        <w:spacing w:line="240" w:lineRule="auto"/>
        <w:ind w:firstLine="21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4262ED"/>
    <w:multiLevelType w:val="singleLevel"/>
    <w:tmpl w:val="8B4262ED"/>
    <w:lvl w:ilvl="0" w:tentative="0">
      <w:start w:val="3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2C5FF48D"/>
    <w:multiLevelType w:val="singleLevel"/>
    <w:tmpl w:val="2C5FF48D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165582"/>
    <w:rsid w:val="71F3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ind w:firstLine="10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2403</Words>
  <Characters>2477</Characters>
  <Lines>0</Lines>
  <Paragraphs>0</Paragraphs>
  <TotalTime>2</TotalTime>
  <ScaleCrop>false</ScaleCrop>
  <LinksUpToDate>false</LinksUpToDate>
  <CharactersWithSpaces>2856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2026-07-20T03:59:00Z</dcterms:created>
  <dc:creator>Administrator</dc:creator>
  <cp:lastModifiedBy>苗子</cp:lastModifiedBy>
  <dcterms:modified xsi:type="dcterms:W3CDTF">2026-07-22T06:27:15Z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eyJoZGlkIjoiYWMwZDE5MGE4NDhjMDcyNWM4OTNkNzAzZTdjZDc5YmQiLCJ1c2VySWQiOiIyMzk2NTMzMjUifQ==</vt:lpwstr>
  </property>
  <property fmtid="{D5CDD505-2E9C-101B-9397-08002B2CF9AE}" pid="4" name="ICV">
    <vt:lpwstr>07A725C7896648D3BBB5506CB054C28B_12</vt:lpwstr>
  </property>
</Properties>
</file>