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91A05">
      <w:pPr>
        <w:widowControl/>
        <w:numPr>
          <w:ilvl w:val="0"/>
          <w:numId w:val="0"/>
        </w:numPr>
        <w:shd w:val="clear" w:color="auto" w:fill="FFFFFF"/>
        <w:snapToGrid w:val="0"/>
        <w:spacing w:line="450" w:lineRule="atLeast"/>
        <w:ind w:left="0" w:leftChars="0" w:right="0" w:rightChars="0" w:firstLine="0" w:firstLineChars="0"/>
        <w:jc w:val="center"/>
        <w:outlineLvl w:val="0"/>
        <w:rPr>
          <w:rFonts w:hint="default" w:ascii="仿宋" w:hAnsi="仿宋" w:eastAsia="仿宋" w:cs="仿宋"/>
          <w:b/>
          <w:bCs/>
          <w:color w:val="333333"/>
          <w:kern w:val="44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333333"/>
          <w:kern w:val="44"/>
          <w:sz w:val="32"/>
          <w:szCs w:val="32"/>
          <w:shd w:val="clear" w:color="auto" w:fill="FFFFFF"/>
          <w:lang w:val="en-US" w:eastAsia="zh-CN" w:bidi="ar-SA"/>
        </w:rPr>
        <w:t>拟签订采购合同文本</w:t>
      </w:r>
    </w:p>
    <w:p w14:paraId="6CF8043E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3640" w:firstLineChars="13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bookmarkStart w:id="0" w:name="_Toc18006"/>
      <w:bookmarkStart w:id="1" w:name="_Toc28172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</w:rPr>
        <w:t>（参考格式）</w:t>
      </w:r>
      <w:bookmarkEnd w:id="0"/>
      <w:bookmarkEnd w:id="1"/>
    </w:p>
    <w:p w14:paraId="6362CCA2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960" w:firstLineChars="7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(最终以甲乙双方实际协商签定协议为准)</w:t>
      </w:r>
    </w:p>
    <w:p w14:paraId="56754D78">
      <w:pPr>
        <w:spacing w:line="540" w:lineRule="exact"/>
        <w:jc w:val="both"/>
        <w:outlineLvl w:val="0"/>
        <w:rPr>
          <w:rFonts w:hint="eastAsia" w:ascii="仿宋" w:hAnsi="仿宋" w:eastAsia="仿宋" w:cs="仿宋"/>
          <w:b w:val="0"/>
          <w:bCs w:val="0"/>
          <w:sz w:val="30"/>
          <w:szCs w:val="30"/>
          <w:lang w:val="zh-CN"/>
        </w:rPr>
      </w:pPr>
    </w:p>
    <w:p w14:paraId="67540DFF">
      <w:pPr>
        <w:spacing w:line="540" w:lineRule="exact"/>
        <w:jc w:val="both"/>
        <w:outlineLvl w:val="0"/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zh-CN"/>
        </w:rPr>
        <w:t>合同编号：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</w:p>
    <w:p w14:paraId="1EA9D34B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741BAE0C">
      <w:pPr>
        <w:rPr>
          <w:rFonts w:hint="eastAsia" w:ascii="仿宋" w:hAnsi="仿宋" w:eastAsia="仿宋" w:cs="仿宋"/>
          <w:b w:val="0"/>
          <w:bCs w:val="0"/>
          <w:sz w:val="21"/>
          <w:szCs w:val="24"/>
          <w:lang w:val="zh-CN"/>
        </w:rPr>
      </w:pPr>
    </w:p>
    <w:p w14:paraId="64F0FF56">
      <w:pPr>
        <w:widowControl w:val="0"/>
        <w:spacing w:line="540" w:lineRule="exact"/>
        <w:jc w:val="both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0C80858C">
      <w:pPr>
        <w:widowControl w:val="0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58D1538B">
      <w:pPr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78D0EF04">
      <w:pPr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153EDA6A">
      <w:pPr>
        <w:widowControl w:val="0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  <w:t>李家河水源地应急监测监察船舶</w:t>
      </w:r>
    </w:p>
    <w:p w14:paraId="4F91C673">
      <w:pPr>
        <w:widowControl w:val="0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  <w:t>运维项目（</w:t>
      </w: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二次</w:t>
      </w: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  <w:t>）合同</w:t>
      </w:r>
    </w:p>
    <w:p w14:paraId="127BB92C">
      <w:pPr>
        <w:spacing w:line="48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730FD756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41C501BE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3DE0A779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474A73AB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0E4434FA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69B103BB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  <w:bookmarkStart w:id="3" w:name="_GoBack"/>
      <w:bookmarkEnd w:id="3"/>
    </w:p>
    <w:p w14:paraId="0F8AEFCB">
      <w:pPr>
        <w:widowControl w:val="0"/>
        <w:spacing w:line="540" w:lineRule="exact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</w:p>
    <w:p w14:paraId="601E076D">
      <w:pPr>
        <w:widowControl w:val="0"/>
        <w:spacing w:line="480" w:lineRule="auto"/>
        <w:ind w:firstLine="1606" w:firstLineChars="5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甲方：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  <w:t>西安市李家河水源地环境保护管理站</w:t>
      </w:r>
    </w:p>
    <w:p w14:paraId="7B0FC1C7">
      <w:pPr>
        <w:widowControl w:val="0"/>
        <w:spacing w:line="480" w:lineRule="auto"/>
        <w:ind w:firstLine="1606" w:firstLineChars="5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乙方：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  <w:t xml:space="preserve">                                </w:t>
      </w:r>
    </w:p>
    <w:p w14:paraId="2689DFB0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年    月    日</w:t>
      </w:r>
    </w:p>
    <w:p w14:paraId="1317A01F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06C7D73B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0A36FA53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34AA13A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甲方：</w:t>
      </w:r>
      <w:bookmarkStart w:id="2" w:name="OLE_LINK1"/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</w:rPr>
        <w:t>西安市李家河水源地环境保护管理站</w:t>
      </w:r>
    </w:p>
    <w:bookmarkEnd w:id="2"/>
    <w:p w14:paraId="7C6732EE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1"/>
          <w:szCs w:val="24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乙方：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2CA8B7C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根据《中华人民共和国民法典》、《中华人民共和国政府采购法》、《中华人民共和国政府采购法实施条例》、等法律法规，甲方通过竞争性磋商，选定乙方为成交单位。甲、乙双方在平等基础上协商一致，达成如下合同条款:</w:t>
      </w:r>
    </w:p>
    <w:p w14:paraId="0B0B7EF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第一条 项目概况</w:t>
      </w:r>
    </w:p>
    <w:p w14:paraId="53C84753">
      <w:pPr>
        <w:widowControl w:val="0"/>
        <w:spacing w:line="480" w:lineRule="auto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1.项目名称：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zh-CN" w:eastAsia="zh-CN" w:bidi="ar-SA"/>
        </w:rPr>
        <w:t>李家河水源地应急监测监察船舶运维项目（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二次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zh-CN" w:eastAsia="zh-CN" w:bidi="ar-SA"/>
        </w:rPr>
        <w:t>）</w:t>
      </w:r>
    </w:p>
    <w:p w14:paraId="1BADD07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2.服务地点：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甲方指定地点</w:t>
      </w:r>
    </w:p>
    <w:p w14:paraId="340F9F2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第二条 服务期限</w:t>
      </w:r>
    </w:p>
    <w:p w14:paraId="499587B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自合同签订生效之日起1年。</w:t>
      </w:r>
    </w:p>
    <w:p w14:paraId="73E818F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第三条 服务内容</w:t>
      </w:r>
    </w:p>
    <w:p w14:paraId="0157BC3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1、确保船舶的发动机、发电机、声呐等设备的正常使用，定期做好船舶的维护保养，保障设备的安全性和可靠性；</w:t>
      </w:r>
    </w:p>
    <w:p w14:paraId="1064236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2、提供燃料的添加工作，定期对声呐设备进行升级；</w:t>
      </w:r>
    </w:p>
    <w:p w14:paraId="5D38B13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技术要求</w:t>
      </w:r>
    </w:p>
    <w:p w14:paraId="71F240E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1.定期检查：船舶在正常运行过程中需要进行定期的检查和保养,以确保船舶的正常工作和安全运行。定期检查包括船体、船机设备、电气设备等各个方面,保证船舶的完好性。</w:t>
      </w:r>
    </w:p>
    <w:p w14:paraId="36DF859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2.清洁和润滑：船舶需要定期清洁和润滑,以防止腐蚀和摩擦。清洁和润滑工作应遵循相关标准和方法,确保船舶各个部件的正常工作。</w:t>
      </w:r>
    </w:p>
    <w:p w14:paraId="1CA6C0B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3.储存与保管：在航行停靠或航行休息期间,船舶需要进行储存和保管工作。储存与保管需要注意防水、防潮、防火等安全问题,确保船舶设备的完好性。</w:t>
      </w:r>
    </w:p>
    <w:p w14:paraId="4A911CF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4.部件更换</w:t>
      </w:r>
    </w:p>
    <w:p w14:paraId="1A6EF9F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服务要求</w:t>
      </w:r>
    </w:p>
    <w:p w14:paraId="7F1D617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1、日常维护到位</w:t>
      </w:r>
    </w:p>
    <w:p w14:paraId="533AD45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对船舶仪器设备进行电子仪器的升级、检查调校、易损件更换、机油更换、发动机保养、船舶清洁等工作，由乙方负责承担船舶运行燃油费用，并定期负责添加。</w:t>
      </w:r>
    </w:p>
    <w:p w14:paraId="048D811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2、故障检修及时</w:t>
      </w:r>
    </w:p>
    <w:p w14:paraId="79A00BC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建立船舶运行应急预案，当船舶发生突发性设备故障时，运维公司在48小时内赶到现场进行处理。对于一些容易诊断的故障，应在维修人员到场后24小时内修理完成。如因运维方船运维不利造成的损失，由运维方承担并做出补偿。</w:t>
      </w:r>
    </w:p>
    <w:p w14:paraId="5120CE5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3.各项记录完整</w:t>
      </w:r>
    </w:p>
    <w:p w14:paraId="40E1F32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按照国家、省及甲方有关规定做好船检记录表，仪器维护记录表，仪器故障维修记录表，系统年度维护（大修）记录表等，并定期提交。</w:t>
      </w:r>
    </w:p>
    <w:p w14:paraId="044F7A7E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4.仪器更换</w:t>
      </w:r>
    </w:p>
    <w:p w14:paraId="7E083BB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对于仪器使用寿命超过使用年限以后出现报废，或者因自然灾害等不可抗力导致的仪器报废，运维单位须先行及时报告甲方，甲方视情况决定重新采购仪器设备。</w:t>
      </w:r>
    </w:p>
    <w:p w14:paraId="73B24DA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5.年度船底清洁保养</w:t>
      </w:r>
    </w:p>
    <w:p w14:paraId="4558F93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每年至少一次将船舶吊装上岸进行检修，对船底进行一次清洁保养检测，进行喷涂环保漆，更换防撞圈等作业。</w:t>
      </w:r>
    </w:p>
    <w:p w14:paraId="48B00B7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6.人员培训</w:t>
      </w:r>
    </w:p>
    <w:p w14:paraId="586A58C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运维单位负责对西安市李家河水源地环境保护站船员进行安全培训，使其能够正确操作船舶。</w:t>
      </w:r>
    </w:p>
    <w:p w14:paraId="2363C4B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7.安全责任</w:t>
      </w:r>
    </w:p>
    <w:p w14:paraId="240799E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乙方所有的运维服务都应按照相关安全操作规范进行操作，保证操作安全,在运维过程中出现的任何安全事故由乙方负责。</w:t>
      </w:r>
    </w:p>
    <w:p w14:paraId="2C886C3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8.船舶年检</w:t>
      </w:r>
    </w:p>
    <w:p w14:paraId="1E3F922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配合海事局对我站船舶进行年检，并配合我站所有船舶证件相关手续。</w:t>
      </w:r>
    </w:p>
    <w:p w14:paraId="132D6CC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9.两台发动机大保养，每年对两台发动机进行一次大保养，包括更换气门油封、缸垫、底垫、曲轴油封、活塞环、凸轮轴油封，进行缸盖和缸套修复及零配件清洗，更换齿轮箱油封等。</w:t>
      </w:r>
    </w:p>
    <w:p w14:paraId="627EC6A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10.船顶及边窗漏水修复，为保障监测设备安全和船舱干燥，需每年对密封系统进行全面修复处理。</w:t>
      </w:r>
    </w:p>
    <w:p w14:paraId="10D1517E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11.船舶发电机保养维护及燃油添加，监测船舶搭载的发电机为声呐、水质监测仪等精密设备提供电力保障，定期对其保养及燃油补充费用。</w:t>
      </w:r>
    </w:p>
    <w:p w14:paraId="20172A2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12.船员救生培训，培训内容包括急救措施、落水救助、抛绳器使用、心肺复苏等实操科目，需聘请具有资质的专业机构授课。</w:t>
      </w:r>
    </w:p>
    <w:p w14:paraId="7C8911F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服务标准与验收标准</w:t>
      </w:r>
    </w:p>
    <w:p w14:paraId="3240453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（一）进度要求</w:t>
      </w:r>
    </w:p>
    <w:p w14:paraId="4434379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每月至少一次船舶现场检查（附有完整的运维记录），每季度更换一次船舶缆绳，每月船舶整体清洁一次，每年应配合单位开展船舶应急演练一次。</w:t>
      </w:r>
    </w:p>
    <w:p w14:paraId="25129F2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（二）质量验收标准或规范</w:t>
      </w:r>
    </w:p>
    <w:p w14:paraId="6346495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现行的国家标准或国家行政部门颁布的法律法规、规章制度等，是项目验收的另一个重要依据。没有国家标准的，可以参考行业标准。</w:t>
      </w:r>
    </w:p>
    <w:p w14:paraId="6061F6F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双方权利与义务</w:t>
      </w:r>
    </w:p>
    <w:p w14:paraId="3360426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（一）甲方权利义务</w:t>
      </w:r>
    </w:p>
    <w:p w14:paraId="6C32FD2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1.甲方有权对乙方全部运维工作、人员配置、安全管理、台账资料进行日常监督、抽查；对不符合合同标准的服务内容，有权要求乙方限期整改；</w:t>
      </w:r>
    </w:p>
    <w:p w14:paraId="55A7990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2.按本合同约定及时支付服务款项；</w:t>
      </w:r>
    </w:p>
    <w:p w14:paraId="1BE91CD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3.为乙方提供船舶作业必要的通行、停靠及作业场地基础条件，配合乙方开展应急演练、安全检查；</w:t>
      </w:r>
    </w:p>
    <w:p w14:paraId="476D386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4.对于因使用寿命超过年限或因不可抗力导致报废的仪器设备，由甲方视情况决定重新采购。</w:t>
      </w:r>
    </w:p>
    <w:p w14:paraId="6017AB7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（二）乙方权利义务</w:t>
      </w:r>
    </w:p>
    <w:p w14:paraId="062C4C5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1.严格按照本合同第三条、第四条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条、第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全部标准完成运维服务，建立完整运维档案，按时提交各项运维记录与台账资料；</w:t>
      </w:r>
    </w:p>
    <w:p w14:paraId="4D35D0E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2.全权负责作业全过程安全生产，承担因自身原因造成的水上作业、设备维修、现场施工等安全责任。如因乙方过错发生人员伤亡、财产损毁、第三方损失的，由乙方依法承担相应赔偿责任；</w:t>
      </w:r>
    </w:p>
    <w:p w14:paraId="572C159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3.自备作业所需全部工具、机械设备、保养材料、安全防护物资、燃油等，所有物资、设备费用包含在合同总价内；</w:t>
      </w:r>
    </w:p>
    <w:p w14:paraId="6A02344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4.接到甲方故障通知后严格执行48小时应急响应，逾期未处置造成船舶设备损坏、水源地安全风险的，乙方承担相应维修及损失费用；</w:t>
      </w:r>
    </w:p>
    <w:p w14:paraId="6E2C53D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5.服从甲方、海事部门、水源地管理各项监管要求，配合各类安全检查、专项督查；</w:t>
      </w:r>
    </w:p>
    <w:p w14:paraId="4FF6772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6.合同到期或提前终止时，完整移交全部运维台账、设备资料、防护物资清单，配合甲方完成整体验收。</w:t>
      </w:r>
    </w:p>
    <w:p w14:paraId="0391D64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合同价款及结算方式</w:t>
      </w:r>
    </w:p>
    <w:p w14:paraId="3D51B02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1.本合同总价：人民币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元（大写：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整），为固定总价包干，包含人工、设备、材料、燃料、安全防护、培训、应急演练、保险、维修保养、船底清洁、船检配合、管理费、税费等完成全部服务内容所需一切费用，甲方无需额外支付任何其他费用。</w:t>
      </w:r>
    </w:p>
    <w:p w14:paraId="3151843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2.付款节点：</w:t>
      </w:r>
    </w:p>
    <w:p w14:paraId="474EF4E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本合同签订生效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且满足付款条件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后10个工作日内，甲方向乙方支付合同总价款40%，即人民币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元；</w:t>
      </w:r>
    </w:p>
    <w:p w14:paraId="2C0A14A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服务期限届满，乙方完成全部运维工作、提交全套完整运维档案，经甲方整体验收合格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且满足付款条件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后1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个工作日内，支付剩余60%合同价款，即人民币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元。</w:t>
      </w:r>
    </w:p>
    <w:p w14:paraId="7C41D81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.付款方式：银行转账</w:t>
      </w:r>
    </w:p>
    <w:p w14:paraId="7E7AF34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履约验收</w:t>
      </w:r>
    </w:p>
    <w:p w14:paraId="7505957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1.阶段性核查：甲方每月核对乙方提交运维记录、现场照片，每季度核查安全生产及培训资料，不定期现场抽查作业人员、防护设施、设备运行状态；</w:t>
      </w:r>
    </w:p>
    <w:p w14:paraId="08B54D6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整体竣工验收：服务期满后5个工作日内，乙方提交全套运维成果资料（月度台账、培训记录、保险单据、年度保养记录、船底清洁记录、设备更换清单、演练材料等），甲方在收到资料后10个工作日内组织现场综合验收；</w:t>
      </w:r>
    </w:p>
    <w:p w14:paraId="3ECC95D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3.验收不合格处置： 若验收存在不合格项，甲方应向乙方出具书面整改通知书，载明具体不合格内容及整改要求。乙方须在7日内完成整改并重新报验。若乙方无正当理由逾期未完成整改或经两次整改仍不合格的，甲方有权就该不合格项所对应的服务内容，按照合同约定的计价方式核减相应合同价款。整改产生的费用由乙方自行承担。</w:t>
      </w:r>
    </w:p>
    <w:p w14:paraId="519216C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违约责任</w:t>
      </w:r>
    </w:p>
    <w:p w14:paraId="2752B93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1.乙方未按约定频次开展船舶现场检查，每逾期一次，扣除合同总价款1%；连续3次未完成作业的，甲方有权单方解除合同，乙方支付合同总价10%违约金。</w:t>
      </w:r>
    </w:p>
    <w:p w14:paraId="0A37D54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2.设备故障乙方未在48小时内到场处置，每逾期24小时扣除合同总价2%；因乙方原因处置不及时造成船舶设备损毁的，乙方承担修复费用并赔偿甲方由此造成的直接经济损失。</w:t>
      </w:r>
    </w:p>
    <w:p w14:paraId="3360965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乙方未按约定落实安全培训、船员救生培训，或未给作业人员购买足额保险，或未按要求配备防护设施，经甲方书面通知后5个工作日内仍未整改的，甲方有权暂停支付当期款项，直至乙方整改完毕。若因乙方未履行上述安全保障义务而导致发生安全事故的，乙方应依法承担与其过错相应的法律责任；若因此造成重大安全责任事故，对甲方声誉或财产造成严重损害的，甲方有权在乙方应承担的赔偿之外，另行扣除合同总价10%作为违约金。</w:t>
      </w:r>
    </w:p>
    <w:p w14:paraId="30E1A7B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4.未按要求开展年度船底清洁保养、发动机大保养、船顶及边窗漏水修复、应急演练的，甲方有权要求乙方限期补做，并扣除合同总价15%。</w:t>
      </w:r>
    </w:p>
    <w:p w14:paraId="4608F9C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5.乙方逾期交付运维台账、影像资料，每逾期一日扣除合同总价0.5%。</w:t>
      </w:r>
    </w:p>
    <w:p w14:paraId="32903DC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.任何一方单方无故解除合同，需向对方支付合同总价15%违约金；违约金不足以弥补实际损失的，违约方另行补足差额。</w:t>
      </w:r>
    </w:p>
    <w:p w14:paraId="13E30B0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.本合同约定的违约金总额以合同总价款的30%为上限，超出部分不予支持。</w:t>
      </w:r>
    </w:p>
    <w:p w14:paraId="0742215F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十一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争议解决</w:t>
      </w:r>
    </w:p>
    <w:p w14:paraId="03ECA6E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本合同履行过程中发生争议，双方优先友好协商解决；协商不成的，按下列第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1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种方式处理：</w:t>
      </w:r>
    </w:p>
    <w:p w14:paraId="6C6D267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所在地有管辖权的人民法院提起诉讼；</w:t>
      </w:r>
    </w:p>
    <w:p w14:paraId="72E1BA4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2.向西安仲裁委员会申请仲裁。</w:t>
      </w:r>
    </w:p>
    <w:p w14:paraId="070C7E8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其他约定</w:t>
      </w:r>
    </w:p>
    <w:p w14:paraId="374F666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1.本合同所有附件、采购需求文件、乙方投标（响应）文件、中标（成交）通知书均为本合同有效组成部分，与本合同具有同等法律效力；内容冲突时，以本合同约定为准。</w:t>
      </w:r>
    </w:p>
    <w:p w14:paraId="5D654CE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.乙方不得将本项目全部或主要运维服务转包、违法分包；未经甲方书面同意分包的，甲方有权解除合同并追究乙方违约责任。</w:t>
      </w:r>
    </w:p>
    <w:p w14:paraId="4B422FA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.本合同一式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份，甲方执贰份，乙方执壹份，自甲乙双方签字盖章之日起生效。</w:t>
      </w:r>
    </w:p>
    <w:p w14:paraId="0AE3A5B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通知与送达</w:t>
      </w:r>
    </w:p>
    <w:p w14:paraId="412FA20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本合同履行过程中，双方所有通知、函件、资料等应以书面形式按地址送达。任何一方变更地址的，应提前3个工作日书面通知对方。</w:t>
      </w:r>
    </w:p>
    <w:p w14:paraId="4099FCF6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50C0B950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tbl>
      <w:tblPr>
        <w:tblStyle w:val="3"/>
        <w:tblW w:w="84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4193"/>
      </w:tblGrid>
      <w:tr w14:paraId="5DD9D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53832FE0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甲  方：西安市李家河水源地环境保护管理站</w:t>
            </w:r>
          </w:p>
        </w:tc>
        <w:tc>
          <w:tcPr>
            <w:tcW w:w="4193" w:type="dxa"/>
            <w:vAlign w:val="center"/>
          </w:tcPr>
          <w:p w14:paraId="6AD08DB9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乙  方：</w:t>
            </w:r>
          </w:p>
        </w:tc>
      </w:tr>
      <w:tr w14:paraId="0C080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09AEE081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193" w:type="dxa"/>
            <w:vAlign w:val="center"/>
          </w:tcPr>
          <w:p w14:paraId="14E76485">
            <w:pPr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58909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2B6F9BC3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邮编：</w:t>
            </w:r>
          </w:p>
        </w:tc>
        <w:tc>
          <w:tcPr>
            <w:tcW w:w="4193" w:type="dxa"/>
            <w:vAlign w:val="center"/>
          </w:tcPr>
          <w:p w14:paraId="73B742F5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邮编：</w:t>
            </w:r>
          </w:p>
        </w:tc>
      </w:tr>
      <w:tr w14:paraId="207F2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3DFA1D52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193" w:type="dxa"/>
            <w:vAlign w:val="center"/>
          </w:tcPr>
          <w:p w14:paraId="3F43A0DD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6D04F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485A0373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193" w:type="dxa"/>
            <w:vAlign w:val="center"/>
          </w:tcPr>
          <w:p w14:paraId="404332E9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7DA8D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717FF9BE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193" w:type="dxa"/>
            <w:vAlign w:val="center"/>
          </w:tcPr>
          <w:p w14:paraId="559CDBCB">
            <w:pPr>
              <w:autoSpaceDE w:val="0"/>
              <w:autoSpaceDN w:val="0"/>
              <w:adjustRightInd w:val="0"/>
              <w:spacing w:line="540" w:lineRule="exact"/>
              <w:ind w:left="510" w:hanging="720" w:hangingChars="300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22497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518B892E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711A8ABE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开户银行：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  <w:t xml:space="preserve">  </w:t>
            </w:r>
          </w:p>
        </w:tc>
      </w:tr>
      <w:tr w14:paraId="6AE5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785FA53B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0852C891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开户行账号：</w:t>
            </w:r>
          </w:p>
        </w:tc>
      </w:tr>
      <w:tr w14:paraId="68813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6F50C1B4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193" w:type="dxa"/>
            <w:vAlign w:val="center"/>
          </w:tcPr>
          <w:p w14:paraId="08240284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77AE1B8E">
      <w:pPr>
        <w:rPr>
          <w:rFonts w:hint="eastAsia"/>
          <w:lang w:val="en-US" w:eastAsia="zh-Han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20DA7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0453DE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2</w: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vgJmo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KKZQsdPP76f&#10;fj6cfn0juINArfUzxN1bRIbunekwNsO9x2Xk3VVOxV8wIvBD3uNFXtEFwuOj6WQ6zeHi8A0H4GeP&#10;z63z4b0wikSjoA79S7Kyw8aHPnQIidm0WTdSph5KTdqCXr1+m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vgJmo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0453DE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2</w: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A5121"/>
    <w:rsid w:val="0BC82BEF"/>
    <w:rsid w:val="2325222C"/>
    <w:rsid w:val="2AEA5121"/>
    <w:rsid w:val="3D182C95"/>
    <w:rsid w:val="3E057EBF"/>
    <w:rsid w:val="726A06E2"/>
    <w:rsid w:val="7C8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48"/>
      <w:szCs w:val="4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3533</Words>
  <Characters>3607</Characters>
  <Lines>0</Lines>
  <Paragraphs>0</Paragraphs>
  <TotalTime>2</TotalTime>
  <ScaleCrop>false</ScaleCrop>
  <LinksUpToDate>false</LinksUpToDate>
  <CharactersWithSpaces>3754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2026-06-22T09:48:00Z</dcterms:created>
  <dc:creator>江格</dc:creator>
  <cp:lastModifiedBy>江格</cp:lastModifiedBy>
  <dcterms:modified xsi:type="dcterms:W3CDTF">2026-07-22T02:17:30Z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5B6C6C6E4A584CECB3FDD4E05A7B855F_11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