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9859D">
      <w:pPr>
        <w:widowControl/>
        <w:jc w:val="center"/>
        <w:outlineLvl w:val="9"/>
        <w:rPr>
          <w:rFonts w:hint="eastAsia" w:ascii="黑体" w:hAnsi="黑体" w:eastAsia="黑体" w:cs="黑体"/>
          <w:b/>
          <w:bCs/>
          <w:i w:val="0"/>
          <w:iCs w:val="0"/>
          <w:caps w:val="0"/>
          <w:color w:val="auto"/>
          <w:spacing w:val="0"/>
          <w:kern w:val="2"/>
          <w:sz w:val="52"/>
          <w:szCs w:val="52"/>
          <w:highlight w:val="none"/>
          <w:shd w:val="clear" w:fill="FFFFFF"/>
          <w:lang w:val="en-US" w:eastAsia="zh-CN" w:bidi="ar"/>
        </w:rPr>
      </w:pPr>
      <w:r>
        <w:rPr>
          <w:rFonts w:hint="eastAsia" w:ascii="黑体" w:hAnsi="黑体" w:eastAsia="黑体" w:cs="黑体"/>
          <w:b/>
          <w:bCs/>
          <w:i w:val="0"/>
          <w:iCs w:val="0"/>
          <w:caps w:val="0"/>
          <w:color w:val="auto"/>
          <w:spacing w:val="0"/>
          <w:kern w:val="2"/>
          <w:sz w:val="52"/>
          <w:szCs w:val="52"/>
          <w:highlight w:val="none"/>
          <w:shd w:val="clear" w:fill="FFFFFF"/>
          <w:lang w:val="en-US" w:eastAsia="zh-CN" w:bidi="ar"/>
        </w:rPr>
        <w:t xml:space="preserve">  </w:t>
      </w:r>
    </w:p>
    <w:p w14:paraId="045FB4DC">
      <w:pPr>
        <w:widowControl/>
        <w:spacing w:line="360" w:lineRule="auto"/>
        <w:jc w:val="center"/>
        <w:outlineLvl w:val="9"/>
        <w:rPr>
          <w:rFonts w:hint="eastAsia" w:ascii="黑体" w:hAnsi="黑体" w:eastAsia="黑体" w:cs="黑体"/>
          <w:b/>
          <w:bCs/>
          <w:color w:val="auto"/>
          <w:kern w:val="2"/>
          <w:sz w:val="48"/>
          <w:szCs w:val="48"/>
          <w:highlight w:val="none"/>
          <w:lang w:val="en-US" w:eastAsia="zh-CN" w:bidi="ar-SA"/>
        </w:rPr>
      </w:pPr>
    </w:p>
    <w:p w14:paraId="5AA94C73">
      <w:pPr>
        <w:widowControl/>
        <w:spacing w:line="360" w:lineRule="auto"/>
        <w:jc w:val="center"/>
        <w:outlineLvl w:val="9"/>
        <w:rPr>
          <w:rFonts w:hint="eastAsia" w:ascii="黑体" w:hAnsi="黑体" w:eastAsia="黑体" w:cs="黑体"/>
          <w:b/>
          <w:bCs/>
          <w:color w:val="auto"/>
          <w:kern w:val="2"/>
          <w:sz w:val="48"/>
          <w:szCs w:val="48"/>
          <w:highlight w:val="none"/>
          <w:lang w:val="en-US" w:eastAsia="zh-CN" w:bidi="ar-SA"/>
        </w:rPr>
      </w:pPr>
    </w:p>
    <w:p w14:paraId="432EBC15">
      <w:pPr>
        <w:widowControl/>
        <w:spacing w:line="360" w:lineRule="auto"/>
        <w:jc w:val="center"/>
        <w:outlineLvl w:val="9"/>
        <w:rPr>
          <w:rFonts w:hint="eastAsia" w:ascii="黑体" w:hAnsi="黑体" w:eastAsia="黑体" w:cs="黑体"/>
          <w:b/>
          <w:bCs/>
          <w:color w:val="auto"/>
          <w:kern w:val="2"/>
          <w:sz w:val="60"/>
          <w:szCs w:val="60"/>
          <w:highlight w:val="none"/>
          <w:lang w:val="en-US" w:eastAsia="zh-CN" w:bidi="ar-SA"/>
        </w:rPr>
      </w:pPr>
      <w:r>
        <w:rPr>
          <w:rFonts w:hint="eastAsia" w:ascii="黑体" w:hAnsi="黑体" w:eastAsia="黑体" w:cs="黑体"/>
          <w:b/>
          <w:bCs/>
          <w:color w:val="auto"/>
          <w:kern w:val="2"/>
          <w:sz w:val="48"/>
          <w:szCs w:val="48"/>
          <w:highlight w:val="none"/>
          <w:lang w:val="en-US" w:eastAsia="zh-CN" w:bidi="ar-SA"/>
        </w:rPr>
        <w:t>岚皋县中心城区导视标识系统规划设计</w:t>
      </w:r>
      <w:r>
        <w:rPr>
          <w:rFonts w:hint="eastAsia" w:ascii="黑体" w:hAnsi="黑体" w:eastAsia="黑体" w:cs="黑体"/>
          <w:b/>
          <w:bCs/>
          <w:color w:val="auto"/>
          <w:kern w:val="2"/>
          <w:sz w:val="60"/>
          <w:szCs w:val="60"/>
          <w:highlight w:val="none"/>
          <w:lang w:val="en-US" w:eastAsia="zh-CN" w:bidi="ar-SA"/>
        </w:rPr>
        <w:t xml:space="preserve"> </w:t>
      </w:r>
    </w:p>
    <w:p w14:paraId="1A380207">
      <w:pPr>
        <w:widowControl w:val="0"/>
        <w:jc w:val="both"/>
        <w:outlineLvl w:val="9"/>
        <w:rPr>
          <w:rFonts w:hint="eastAsia" w:ascii="黑体" w:hAnsi="黑体" w:eastAsia="黑体" w:cs="黑体"/>
          <w:kern w:val="2"/>
          <w:sz w:val="24"/>
          <w:lang w:val="en-US" w:eastAsia="zh-CN" w:bidi="ar-SA"/>
        </w:rPr>
      </w:pPr>
    </w:p>
    <w:p w14:paraId="77549DBB">
      <w:pPr>
        <w:widowControl/>
        <w:jc w:val="center"/>
        <w:outlineLvl w:val="9"/>
        <w:rPr>
          <w:rFonts w:hint="eastAsia" w:ascii="黑体" w:hAnsi="黑体" w:eastAsia="黑体" w:cs="黑体"/>
          <w:b/>
          <w:bCs/>
          <w:color w:val="auto"/>
          <w:kern w:val="2"/>
          <w:sz w:val="56"/>
          <w:szCs w:val="56"/>
          <w:highlight w:val="none"/>
          <w:lang w:val="en-US" w:eastAsia="zh-CN" w:bidi="ar-SA"/>
        </w:rPr>
      </w:pPr>
      <w:bookmarkStart w:id="0" w:name="_Toc31254"/>
      <w:bookmarkStart w:id="1" w:name="_Toc4570"/>
    </w:p>
    <w:p w14:paraId="573F0E08">
      <w:pPr>
        <w:widowControl/>
        <w:jc w:val="center"/>
        <w:outlineLvl w:val="9"/>
        <w:rPr>
          <w:rFonts w:hint="eastAsia" w:ascii="黑体" w:hAnsi="黑体" w:eastAsia="黑体" w:cs="黑体"/>
          <w:b/>
          <w:bCs/>
          <w:color w:val="auto"/>
          <w:kern w:val="2"/>
          <w:sz w:val="56"/>
          <w:szCs w:val="56"/>
          <w:highlight w:val="none"/>
          <w:lang w:val="en-US" w:eastAsia="zh-CN" w:bidi="ar-SA"/>
        </w:rPr>
      </w:pPr>
    </w:p>
    <w:p w14:paraId="36CAE87A">
      <w:pPr>
        <w:widowControl/>
        <w:jc w:val="center"/>
        <w:outlineLvl w:val="9"/>
        <w:rPr>
          <w:rFonts w:hint="eastAsia" w:ascii="黑体" w:hAnsi="黑体" w:eastAsia="黑体" w:cs="黑体"/>
          <w:b/>
          <w:bCs/>
          <w:color w:val="auto"/>
          <w:kern w:val="2"/>
          <w:sz w:val="72"/>
          <w:szCs w:val="72"/>
          <w:highlight w:val="none"/>
          <w:lang w:val="en-US" w:eastAsia="zh-CN" w:bidi="ar-SA"/>
        </w:rPr>
      </w:pPr>
      <w:r>
        <w:rPr>
          <w:rFonts w:hint="eastAsia" w:ascii="黑体" w:hAnsi="黑体" w:eastAsia="黑体" w:cs="黑体"/>
          <w:b/>
          <w:bCs/>
          <w:color w:val="auto"/>
          <w:kern w:val="2"/>
          <w:sz w:val="72"/>
          <w:szCs w:val="72"/>
          <w:highlight w:val="none"/>
          <w:lang w:val="en-US" w:eastAsia="zh-CN" w:bidi="ar-SA"/>
        </w:rPr>
        <w:t>竞争性磋商文件</w:t>
      </w:r>
      <w:bookmarkEnd w:id="0"/>
      <w:bookmarkEnd w:id="1"/>
    </w:p>
    <w:p w14:paraId="16ECFD09">
      <w:pPr>
        <w:keepNext w:val="0"/>
        <w:keepLines w:val="0"/>
        <w:widowControl w:val="0"/>
        <w:suppressLineNumbers w:val="0"/>
        <w:spacing w:before="0" w:beforeAutospacing="0" w:after="0" w:afterAutospacing="0"/>
        <w:ind w:left="0" w:right="0"/>
        <w:jc w:val="center"/>
        <w:outlineLvl w:val="9"/>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kern w:val="2"/>
          <w:sz w:val="21"/>
          <w:szCs w:val="21"/>
          <w:highlight w:val="none"/>
          <w:lang w:val="en-US" w:eastAsia="zh-CN" w:bidi="ar"/>
        </w:rPr>
        <w:t xml:space="preserve"> </w:t>
      </w:r>
    </w:p>
    <w:p w14:paraId="119B55EF">
      <w:pPr>
        <w:widowControl/>
        <w:jc w:val="both"/>
        <w:outlineLvl w:val="9"/>
        <w:rPr>
          <w:rFonts w:hint="eastAsia" w:ascii="黑体" w:hAnsi="黑体" w:eastAsia="黑体" w:cs="黑体"/>
          <w:color w:val="auto"/>
          <w:kern w:val="2"/>
          <w:sz w:val="21"/>
          <w:szCs w:val="21"/>
          <w:highlight w:val="none"/>
          <w:lang w:val="en-US" w:eastAsia="zh-CN" w:bidi="ar-SA"/>
        </w:rPr>
      </w:pPr>
      <w:r>
        <w:rPr>
          <w:rFonts w:hint="eastAsia" w:ascii="黑体" w:hAnsi="黑体" w:eastAsia="黑体" w:cs="黑体"/>
          <w:color w:val="auto"/>
          <w:kern w:val="2"/>
          <w:sz w:val="21"/>
          <w:szCs w:val="21"/>
          <w:highlight w:val="none"/>
          <w:lang w:val="en-US" w:eastAsia="zh-CN" w:bidi="ar-SA"/>
        </w:rPr>
        <w:t xml:space="preserve"> </w:t>
      </w:r>
    </w:p>
    <w:p w14:paraId="7BCE0EAD">
      <w:pPr>
        <w:keepNext w:val="0"/>
        <w:keepLines w:val="0"/>
        <w:widowControl w:val="0"/>
        <w:suppressLineNumbers w:val="0"/>
        <w:spacing w:before="0" w:beforeAutospacing="0" w:after="0" w:afterAutospacing="0" w:line="700" w:lineRule="exact"/>
        <w:ind w:left="0" w:right="0"/>
        <w:jc w:val="both"/>
        <w:outlineLvl w:val="9"/>
        <w:rPr>
          <w:rFonts w:hint="eastAsia" w:ascii="黑体" w:hAnsi="黑体" w:eastAsia="黑体" w:cs="黑体"/>
          <w:b/>
          <w:bCs/>
          <w:color w:val="auto"/>
          <w:kern w:val="2"/>
          <w:sz w:val="48"/>
          <w:szCs w:val="48"/>
          <w:highlight w:val="none"/>
          <w:lang w:val="en-US" w:eastAsia="zh-CN" w:bidi="ar"/>
        </w:rPr>
      </w:pPr>
      <w:r>
        <w:rPr>
          <w:rFonts w:hint="eastAsia" w:ascii="黑体" w:hAnsi="黑体" w:eastAsia="黑体" w:cs="黑体"/>
          <w:b/>
          <w:bCs/>
          <w:color w:val="auto"/>
          <w:kern w:val="2"/>
          <w:sz w:val="48"/>
          <w:szCs w:val="48"/>
          <w:highlight w:val="none"/>
          <w:lang w:val="en-US" w:eastAsia="zh-CN" w:bidi="ar"/>
        </w:rPr>
        <w:t xml:space="preserve"> </w:t>
      </w:r>
      <w:r>
        <w:rPr>
          <w:rFonts w:hint="eastAsia" w:ascii="黑体" w:hAnsi="黑体" w:eastAsia="黑体" w:cs="黑体"/>
          <w:b/>
          <w:bCs/>
          <w:color w:val="auto"/>
          <w:kern w:val="2"/>
          <w:sz w:val="48"/>
          <w:szCs w:val="48"/>
          <w:highlight w:val="none"/>
          <w:lang w:val="en-US" w:eastAsia="zh-CN" w:bidi="ar"/>
        </w:rPr>
        <w:tab/>
      </w:r>
    </w:p>
    <w:p w14:paraId="285AA83B">
      <w:pPr>
        <w:widowControl w:val="0"/>
        <w:spacing w:after="120" w:line="360" w:lineRule="auto"/>
        <w:ind w:firstLine="420"/>
        <w:jc w:val="both"/>
        <w:outlineLvl w:val="9"/>
        <w:rPr>
          <w:rFonts w:hint="eastAsia" w:ascii="黑体" w:hAnsi="黑体" w:eastAsia="黑体" w:cs="黑体"/>
          <w:b/>
          <w:bCs/>
          <w:color w:val="auto"/>
          <w:kern w:val="2"/>
          <w:sz w:val="48"/>
          <w:szCs w:val="48"/>
          <w:highlight w:val="none"/>
          <w:lang w:val="en-US" w:eastAsia="zh-CN" w:bidi="ar"/>
        </w:rPr>
      </w:pPr>
    </w:p>
    <w:p w14:paraId="07100272">
      <w:pPr>
        <w:widowControl w:val="0"/>
        <w:jc w:val="both"/>
        <w:outlineLvl w:val="9"/>
        <w:rPr>
          <w:rFonts w:hint="eastAsia" w:ascii="黑体" w:hAnsi="黑体" w:eastAsia="黑体" w:cs="黑体"/>
          <w:b/>
          <w:bCs/>
          <w:color w:val="auto"/>
          <w:kern w:val="2"/>
          <w:sz w:val="48"/>
          <w:szCs w:val="48"/>
          <w:highlight w:val="none"/>
          <w:lang w:val="en-US" w:eastAsia="zh-CN" w:bidi="ar-SA"/>
        </w:rPr>
      </w:pPr>
    </w:p>
    <w:p w14:paraId="1BCDB97E">
      <w:pPr>
        <w:widowControl w:val="0"/>
        <w:jc w:val="both"/>
        <w:outlineLvl w:val="9"/>
        <w:rPr>
          <w:rFonts w:hint="eastAsia" w:ascii="黑体" w:hAnsi="黑体" w:eastAsia="黑体" w:cs="黑体"/>
          <w:b/>
          <w:bCs/>
          <w:color w:val="auto"/>
          <w:kern w:val="2"/>
          <w:sz w:val="48"/>
          <w:szCs w:val="48"/>
          <w:highlight w:val="none"/>
          <w:lang w:val="en-US" w:eastAsia="zh-CN" w:bidi="ar-SA"/>
        </w:rPr>
      </w:pPr>
    </w:p>
    <w:p w14:paraId="7DC75C6D">
      <w:pPr>
        <w:widowControl w:val="0"/>
        <w:jc w:val="both"/>
        <w:outlineLvl w:val="9"/>
        <w:rPr>
          <w:rFonts w:hint="eastAsia" w:ascii="黑体" w:hAnsi="黑体" w:eastAsia="黑体" w:cs="黑体"/>
          <w:b/>
          <w:bCs/>
          <w:color w:val="auto"/>
          <w:kern w:val="2"/>
          <w:sz w:val="48"/>
          <w:szCs w:val="48"/>
          <w:highlight w:val="none"/>
          <w:lang w:val="en-US" w:eastAsia="zh-CN" w:bidi="ar-SA"/>
        </w:rPr>
      </w:pPr>
      <w:r>
        <w:rPr>
          <w:rFonts w:hint="eastAsia" w:ascii="黑体" w:hAnsi="黑体" w:eastAsia="黑体" w:cs="黑体"/>
          <w:b/>
          <w:bCs/>
          <w:color w:val="auto"/>
          <w:kern w:val="2"/>
          <w:sz w:val="48"/>
          <w:szCs w:val="48"/>
          <w:highlight w:val="none"/>
          <w:lang w:val="en-US" w:eastAsia="zh-CN" w:bidi="ar-SA"/>
        </w:rPr>
        <w:t xml:space="preserve"> </w:t>
      </w:r>
    </w:p>
    <w:p w14:paraId="425AC2A3">
      <w:pPr>
        <w:widowControl w:val="0"/>
        <w:spacing w:line="480" w:lineRule="auto"/>
        <w:jc w:val="center"/>
        <w:outlineLvl w:val="9"/>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kern w:val="2"/>
          <w:sz w:val="32"/>
          <w:szCs w:val="32"/>
          <w:highlight w:val="none"/>
          <w:lang w:val="en-US" w:eastAsia="zh-CN" w:bidi="ar-SA"/>
        </w:rPr>
        <w:t>采购代理机构： 中恭鸿建项目管理有限公司</w:t>
      </w:r>
    </w:p>
    <w:p w14:paraId="569F334F">
      <w:pPr>
        <w:widowControl w:val="0"/>
        <w:spacing w:line="480" w:lineRule="auto"/>
        <w:ind w:firstLine="1280" w:firstLineChars="400"/>
        <w:jc w:val="both"/>
        <w:outlineLvl w:val="9"/>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kern w:val="2"/>
          <w:sz w:val="32"/>
          <w:szCs w:val="32"/>
          <w:highlight w:val="none"/>
          <w:lang w:val="en-US" w:eastAsia="zh-CN" w:bidi="ar-SA"/>
        </w:rPr>
        <w:t>时        间：    二零二六年八月</w:t>
      </w:r>
    </w:p>
    <w:p w14:paraId="103AF1B9">
      <w:pPr>
        <w:widowControl w:val="0"/>
        <w:spacing w:line="480" w:lineRule="auto"/>
        <w:ind w:firstLine="1280" w:firstLineChars="400"/>
        <w:jc w:val="both"/>
        <w:outlineLvl w:val="9"/>
        <w:rPr>
          <w:rFonts w:hint="eastAsia" w:ascii="黑体" w:hAnsi="黑体" w:eastAsia="黑体" w:cs="黑体"/>
          <w:b w:val="0"/>
          <w:bCs w:val="0"/>
          <w:color w:val="auto"/>
          <w:kern w:val="2"/>
          <w:sz w:val="32"/>
          <w:szCs w:val="32"/>
          <w:highlight w:val="none"/>
          <w:lang w:val="en-US" w:eastAsia="zh-CN" w:bidi="ar-SA"/>
        </w:rPr>
      </w:pPr>
    </w:p>
    <w:p w14:paraId="13370703">
      <w:pPr>
        <w:widowControl w:val="0"/>
        <w:jc w:val="both"/>
        <w:outlineLvl w:val="9"/>
        <w:rPr>
          <w:rFonts w:hint="eastAsia" w:ascii="黑体" w:hAnsi="黑体" w:eastAsia="黑体" w:cs="黑体"/>
          <w:b/>
          <w:bCs/>
          <w:color w:val="auto"/>
          <w:kern w:val="2"/>
          <w:sz w:val="48"/>
          <w:szCs w:val="48"/>
          <w:highlight w:val="none"/>
          <w:lang w:val="en-US" w:eastAsia="zh-CN" w:bidi="ar-SA"/>
        </w:rPr>
      </w:pPr>
    </w:p>
    <w:p w14:paraId="0DD57CC1">
      <w:pPr>
        <w:widowControl w:val="0"/>
        <w:jc w:val="both"/>
        <w:outlineLvl w:val="9"/>
        <w:rPr>
          <w:rFonts w:hint="eastAsia" w:ascii="黑体" w:hAnsi="黑体" w:eastAsia="黑体" w:cs="黑体"/>
          <w:color w:val="auto"/>
          <w:kern w:val="2"/>
          <w:sz w:val="28"/>
          <w:szCs w:val="28"/>
          <w:highlight w:val="none"/>
          <w:lang w:val="zh-CN" w:eastAsia="zh-CN" w:bidi="ar-SA"/>
        </w:rPr>
      </w:pPr>
    </w:p>
    <w:p w14:paraId="64FDA96D">
      <w:pPr>
        <w:rPr>
          <w:highlight w:val="none"/>
        </w:rPr>
      </w:pPr>
    </w:p>
    <w:p w14:paraId="5596845E">
      <w:pPr>
        <w:pStyle w:val="90"/>
        <w:widowControl/>
        <w:rPr>
          <w:highlight w:val="none"/>
        </w:rPr>
      </w:pPr>
      <w:r>
        <w:rPr>
          <w:highlight w:val="none"/>
        </w:rPr>
        <w:t>目 录</w:t>
      </w:r>
    </w:p>
    <w:p w14:paraId="364FE734">
      <w:pPr>
        <w:pStyle w:val="23"/>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32"/>
          <w:szCs w:val="40"/>
          <w:highlight w:val="none"/>
        </w:rPr>
      </w:pPr>
      <w:r>
        <w:rPr>
          <w:rFonts w:hint="eastAsia" w:ascii="黑体" w:hAnsi="黑体" w:eastAsia="黑体" w:cs="黑体"/>
          <w:color w:val="auto"/>
          <w:sz w:val="48"/>
          <w:szCs w:val="56"/>
          <w:highlight w:val="none"/>
        </w:rPr>
        <w:fldChar w:fldCharType="begin"/>
      </w:r>
      <w:r>
        <w:rPr>
          <w:rFonts w:hint="eastAsia" w:ascii="黑体" w:hAnsi="黑体" w:eastAsia="黑体" w:cs="黑体"/>
          <w:color w:val="auto"/>
          <w:sz w:val="48"/>
          <w:szCs w:val="56"/>
          <w:highlight w:val="none"/>
        </w:rPr>
        <w:instrText xml:space="preserve">TOC \o "1-3" \h \u </w:instrText>
      </w:r>
      <w:r>
        <w:rPr>
          <w:rFonts w:hint="eastAsia" w:ascii="黑体" w:hAnsi="黑体" w:eastAsia="黑体" w:cs="黑体"/>
          <w:color w:val="auto"/>
          <w:sz w:val="48"/>
          <w:szCs w:val="56"/>
          <w:highlight w:val="none"/>
        </w:rPr>
        <w:fldChar w:fldCharType="separate"/>
      </w:r>
      <w:r>
        <w:rPr>
          <w:rFonts w:hint="eastAsia" w:ascii="黑体" w:hAnsi="黑体" w:eastAsia="黑体" w:cs="黑体"/>
          <w:color w:val="auto"/>
          <w:sz w:val="32"/>
          <w:szCs w:val="160"/>
          <w:highlight w:val="none"/>
        </w:rPr>
        <w:fldChar w:fldCharType="begin"/>
      </w:r>
      <w:r>
        <w:rPr>
          <w:rFonts w:hint="eastAsia" w:ascii="黑体" w:hAnsi="黑体" w:eastAsia="黑体" w:cs="黑体"/>
          <w:color w:val="auto"/>
          <w:sz w:val="32"/>
          <w:szCs w:val="160"/>
          <w:highlight w:val="none"/>
        </w:rPr>
        <w:instrText xml:space="preserve"> HYPERLINK \l _Toc15796 </w:instrText>
      </w:r>
      <w:r>
        <w:rPr>
          <w:rFonts w:hint="eastAsia" w:ascii="黑体" w:hAnsi="黑体" w:eastAsia="黑体" w:cs="黑体"/>
          <w:color w:val="auto"/>
          <w:sz w:val="32"/>
          <w:szCs w:val="160"/>
          <w:highlight w:val="none"/>
        </w:rPr>
        <w:fldChar w:fldCharType="separate"/>
      </w:r>
      <w:r>
        <w:rPr>
          <w:rFonts w:hint="eastAsia" w:ascii="黑体" w:hAnsi="黑体" w:eastAsia="黑体" w:cs="黑体"/>
          <w:color w:val="auto"/>
          <w:sz w:val="32"/>
          <w:szCs w:val="40"/>
          <w:highlight w:val="none"/>
        </w:rPr>
        <w:t>第一章 竞争性磋商公告</w:t>
      </w:r>
      <w:r>
        <w:rPr>
          <w:rFonts w:hint="eastAsia" w:ascii="黑体" w:hAnsi="黑体" w:eastAsia="黑体" w:cs="黑体"/>
          <w:color w:val="auto"/>
          <w:sz w:val="32"/>
          <w:szCs w:val="40"/>
          <w:highlight w:val="none"/>
        </w:rPr>
        <w:tab/>
      </w:r>
      <w:r>
        <w:rPr>
          <w:rFonts w:hint="eastAsia" w:ascii="黑体" w:hAnsi="黑体" w:eastAsia="黑体" w:cs="黑体"/>
          <w:color w:val="auto"/>
          <w:sz w:val="32"/>
          <w:szCs w:val="40"/>
          <w:highlight w:val="none"/>
        </w:rPr>
        <w:fldChar w:fldCharType="begin"/>
      </w:r>
      <w:r>
        <w:rPr>
          <w:rFonts w:hint="eastAsia" w:ascii="黑体" w:hAnsi="黑体" w:eastAsia="黑体" w:cs="黑体"/>
          <w:color w:val="auto"/>
          <w:sz w:val="32"/>
          <w:szCs w:val="40"/>
          <w:highlight w:val="none"/>
        </w:rPr>
        <w:instrText xml:space="preserve"> PAGEREF _Toc15796 \h </w:instrText>
      </w:r>
      <w:r>
        <w:rPr>
          <w:rFonts w:hint="eastAsia" w:ascii="黑体" w:hAnsi="黑体" w:eastAsia="黑体" w:cs="黑体"/>
          <w:color w:val="auto"/>
          <w:sz w:val="32"/>
          <w:szCs w:val="40"/>
          <w:highlight w:val="none"/>
        </w:rPr>
        <w:fldChar w:fldCharType="separate"/>
      </w:r>
      <w:r>
        <w:rPr>
          <w:rFonts w:hint="eastAsia" w:ascii="黑体" w:hAnsi="黑体" w:eastAsia="黑体" w:cs="黑体"/>
          <w:color w:val="auto"/>
          <w:sz w:val="32"/>
          <w:szCs w:val="40"/>
          <w:highlight w:val="none"/>
        </w:rPr>
        <w:t>3</w:t>
      </w:r>
      <w:r>
        <w:rPr>
          <w:rFonts w:hint="eastAsia" w:ascii="黑体" w:hAnsi="黑体" w:eastAsia="黑体" w:cs="黑体"/>
          <w:color w:val="auto"/>
          <w:sz w:val="32"/>
          <w:szCs w:val="40"/>
          <w:highlight w:val="none"/>
        </w:rPr>
        <w:fldChar w:fldCharType="end"/>
      </w:r>
      <w:r>
        <w:rPr>
          <w:rFonts w:hint="eastAsia" w:ascii="黑体" w:hAnsi="黑体" w:eastAsia="黑体" w:cs="黑体"/>
          <w:color w:val="auto"/>
          <w:sz w:val="32"/>
          <w:szCs w:val="160"/>
          <w:highlight w:val="none"/>
        </w:rPr>
        <w:fldChar w:fldCharType="end"/>
      </w:r>
    </w:p>
    <w:p w14:paraId="33F43DBB">
      <w:pPr>
        <w:pStyle w:val="23"/>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32"/>
          <w:szCs w:val="40"/>
          <w:highlight w:val="none"/>
        </w:rPr>
      </w:pPr>
      <w:r>
        <w:rPr>
          <w:rFonts w:hint="eastAsia" w:ascii="黑体" w:hAnsi="黑体" w:eastAsia="黑体" w:cs="黑体"/>
          <w:color w:val="auto"/>
          <w:sz w:val="32"/>
          <w:szCs w:val="160"/>
          <w:highlight w:val="none"/>
        </w:rPr>
        <w:fldChar w:fldCharType="begin"/>
      </w:r>
      <w:r>
        <w:rPr>
          <w:rFonts w:hint="eastAsia" w:ascii="黑体" w:hAnsi="黑体" w:eastAsia="黑体" w:cs="黑体"/>
          <w:color w:val="auto"/>
          <w:sz w:val="32"/>
          <w:szCs w:val="160"/>
          <w:highlight w:val="none"/>
        </w:rPr>
        <w:instrText xml:space="preserve"> HYPERLINK \l _Toc6548 </w:instrText>
      </w:r>
      <w:r>
        <w:rPr>
          <w:rFonts w:hint="eastAsia" w:ascii="黑体" w:hAnsi="黑体" w:eastAsia="黑体" w:cs="黑体"/>
          <w:color w:val="auto"/>
          <w:sz w:val="32"/>
          <w:szCs w:val="160"/>
          <w:highlight w:val="none"/>
        </w:rPr>
        <w:fldChar w:fldCharType="separate"/>
      </w:r>
      <w:r>
        <w:rPr>
          <w:rFonts w:hint="eastAsia" w:ascii="黑体" w:hAnsi="黑体" w:eastAsia="黑体" w:cs="黑体"/>
          <w:color w:val="auto"/>
          <w:sz w:val="32"/>
          <w:szCs w:val="40"/>
          <w:highlight w:val="none"/>
        </w:rPr>
        <w:t>第二章 供应商须知</w:t>
      </w:r>
      <w:r>
        <w:rPr>
          <w:rFonts w:hint="eastAsia" w:ascii="黑体" w:hAnsi="黑体" w:eastAsia="黑体" w:cs="黑体"/>
          <w:color w:val="auto"/>
          <w:sz w:val="32"/>
          <w:szCs w:val="40"/>
          <w:highlight w:val="none"/>
        </w:rPr>
        <w:tab/>
      </w:r>
      <w:r>
        <w:rPr>
          <w:rFonts w:hint="eastAsia" w:ascii="黑体" w:hAnsi="黑体" w:eastAsia="黑体" w:cs="黑体"/>
          <w:color w:val="auto"/>
          <w:sz w:val="32"/>
          <w:szCs w:val="40"/>
          <w:highlight w:val="none"/>
        </w:rPr>
        <w:fldChar w:fldCharType="begin"/>
      </w:r>
      <w:r>
        <w:rPr>
          <w:rFonts w:hint="eastAsia" w:ascii="黑体" w:hAnsi="黑体" w:eastAsia="黑体" w:cs="黑体"/>
          <w:color w:val="auto"/>
          <w:sz w:val="32"/>
          <w:szCs w:val="40"/>
          <w:highlight w:val="none"/>
        </w:rPr>
        <w:instrText xml:space="preserve"> PAGEREF _Toc6548 \h </w:instrText>
      </w:r>
      <w:r>
        <w:rPr>
          <w:rFonts w:hint="eastAsia" w:ascii="黑体" w:hAnsi="黑体" w:eastAsia="黑体" w:cs="黑体"/>
          <w:color w:val="auto"/>
          <w:sz w:val="32"/>
          <w:szCs w:val="40"/>
          <w:highlight w:val="none"/>
        </w:rPr>
        <w:fldChar w:fldCharType="separate"/>
      </w:r>
      <w:r>
        <w:rPr>
          <w:rFonts w:hint="eastAsia" w:ascii="黑体" w:hAnsi="黑体" w:eastAsia="黑体" w:cs="黑体"/>
          <w:color w:val="auto"/>
          <w:sz w:val="32"/>
          <w:szCs w:val="40"/>
          <w:highlight w:val="none"/>
        </w:rPr>
        <w:t>7</w:t>
      </w:r>
      <w:r>
        <w:rPr>
          <w:rFonts w:hint="eastAsia" w:ascii="黑体" w:hAnsi="黑体" w:eastAsia="黑体" w:cs="黑体"/>
          <w:color w:val="auto"/>
          <w:sz w:val="32"/>
          <w:szCs w:val="40"/>
          <w:highlight w:val="none"/>
        </w:rPr>
        <w:fldChar w:fldCharType="end"/>
      </w:r>
      <w:r>
        <w:rPr>
          <w:rFonts w:hint="eastAsia" w:ascii="黑体" w:hAnsi="黑体" w:eastAsia="黑体" w:cs="黑体"/>
          <w:color w:val="auto"/>
          <w:sz w:val="32"/>
          <w:szCs w:val="160"/>
          <w:highlight w:val="none"/>
        </w:rPr>
        <w:fldChar w:fldCharType="end"/>
      </w:r>
    </w:p>
    <w:p w14:paraId="08EC5AC4">
      <w:pPr>
        <w:pStyle w:val="23"/>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32"/>
          <w:szCs w:val="40"/>
          <w:highlight w:val="none"/>
          <w:lang w:val="en-US" w:eastAsia="zh-CN"/>
        </w:rPr>
      </w:pPr>
      <w:r>
        <w:rPr>
          <w:rFonts w:hint="eastAsia" w:ascii="黑体" w:hAnsi="黑体" w:eastAsia="黑体" w:cs="黑体"/>
          <w:color w:val="auto"/>
          <w:sz w:val="32"/>
          <w:szCs w:val="160"/>
          <w:highlight w:val="none"/>
        </w:rPr>
        <w:fldChar w:fldCharType="begin"/>
      </w:r>
      <w:r>
        <w:rPr>
          <w:rFonts w:hint="eastAsia" w:ascii="黑体" w:hAnsi="黑体" w:eastAsia="黑体" w:cs="黑体"/>
          <w:color w:val="auto"/>
          <w:sz w:val="32"/>
          <w:szCs w:val="160"/>
          <w:highlight w:val="none"/>
        </w:rPr>
        <w:instrText xml:space="preserve"> HYPERLINK \l _Toc14440 </w:instrText>
      </w:r>
      <w:r>
        <w:rPr>
          <w:rFonts w:hint="eastAsia" w:ascii="黑体" w:hAnsi="黑体" w:eastAsia="黑体" w:cs="黑体"/>
          <w:color w:val="auto"/>
          <w:sz w:val="32"/>
          <w:szCs w:val="160"/>
          <w:highlight w:val="none"/>
        </w:rPr>
        <w:fldChar w:fldCharType="separate"/>
      </w:r>
      <w:r>
        <w:rPr>
          <w:rFonts w:hint="eastAsia" w:ascii="黑体" w:hAnsi="黑体" w:eastAsia="黑体" w:cs="黑体"/>
          <w:color w:val="auto"/>
          <w:sz w:val="32"/>
          <w:szCs w:val="40"/>
          <w:highlight w:val="none"/>
        </w:rPr>
        <w:t>第三章 合同条款及格式</w:t>
      </w:r>
      <w:r>
        <w:rPr>
          <w:rFonts w:hint="eastAsia" w:ascii="黑体" w:hAnsi="黑体" w:eastAsia="黑体" w:cs="黑体"/>
          <w:color w:val="auto"/>
          <w:sz w:val="32"/>
          <w:szCs w:val="40"/>
          <w:highlight w:val="none"/>
        </w:rPr>
        <w:tab/>
      </w:r>
      <w:r>
        <w:rPr>
          <w:rFonts w:hint="eastAsia" w:ascii="黑体" w:hAnsi="黑体" w:eastAsia="黑体" w:cs="黑体"/>
          <w:color w:val="auto"/>
          <w:sz w:val="32"/>
          <w:szCs w:val="40"/>
          <w:highlight w:val="none"/>
          <w:lang w:val="en-US" w:eastAsia="zh-CN"/>
        </w:rPr>
        <w:t>2</w:t>
      </w:r>
      <w:r>
        <w:rPr>
          <w:rFonts w:hint="eastAsia" w:ascii="黑体" w:hAnsi="黑体" w:eastAsia="黑体" w:cs="黑体"/>
          <w:color w:val="auto"/>
          <w:sz w:val="32"/>
          <w:szCs w:val="160"/>
          <w:highlight w:val="none"/>
        </w:rPr>
        <w:fldChar w:fldCharType="end"/>
      </w:r>
      <w:r>
        <w:rPr>
          <w:rFonts w:hint="eastAsia" w:ascii="黑体" w:hAnsi="黑体" w:eastAsia="黑体" w:cs="黑体"/>
          <w:color w:val="auto"/>
          <w:sz w:val="32"/>
          <w:szCs w:val="160"/>
          <w:highlight w:val="none"/>
          <w:lang w:val="en-US" w:eastAsia="zh-CN"/>
        </w:rPr>
        <w:t>7</w:t>
      </w:r>
    </w:p>
    <w:p w14:paraId="074B9EBB">
      <w:pPr>
        <w:pStyle w:val="23"/>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32"/>
          <w:szCs w:val="40"/>
          <w:highlight w:val="none"/>
          <w:lang w:val="en-US" w:eastAsia="zh-CN"/>
        </w:rPr>
      </w:pPr>
      <w:r>
        <w:rPr>
          <w:rFonts w:hint="eastAsia" w:ascii="黑体" w:hAnsi="黑体" w:eastAsia="黑体" w:cs="黑体"/>
          <w:color w:val="auto"/>
          <w:sz w:val="32"/>
          <w:szCs w:val="160"/>
          <w:highlight w:val="none"/>
        </w:rPr>
        <w:fldChar w:fldCharType="begin"/>
      </w:r>
      <w:r>
        <w:rPr>
          <w:rFonts w:hint="eastAsia" w:ascii="黑体" w:hAnsi="黑体" w:eastAsia="黑体" w:cs="黑体"/>
          <w:color w:val="auto"/>
          <w:sz w:val="32"/>
          <w:szCs w:val="160"/>
          <w:highlight w:val="none"/>
        </w:rPr>
        <w:instrText xml:space="preserve"> HYPERLINK \l _Toc25206 </w:instrText>
      </w:r>
      <w:r>
        <w:rPr>
          <w:rFonts w:hint="eastAsia" w:ascii="黑体" w:hAnsi="黑体" w:eastAsia="黑体" w:cs="黑体"/>
          <w:color w:val="auto"/>
          <w:sz w:val="32"/>
          <w:szCs w:val="160"/>
          <w:highlight w:val="none"/>
        </w:rPr>
        <w:fldChar w:fldCharType="separate"/>
      </w:r>
      <w:r>
        <w:rPr>
          <w:rFonts w:hint="eastAsia" w:ascii="黑体" w:hAnsi="黑体" w:eastAsia="黑体" w:cs="黑体"/>
          <w:color w:val="auto"/>
          <w:sz w:val="32"/>
          <w:szCs w:val="40"/>
          <w:highlight w:val="none"/>
          <w:lang w:val="en-US" w:eastAsia="zh-CN"/>
        </w:rPr>
        <w:t>第四章</w:t>
      </w:r>
      <w:r>
        <w:rPr>
          <w:rFonts w:hint="eastAsia" w:ascii="黑体" w:hAnsi="黑体" w:eastAsia="黑体" w:cs="黑体"/>
          <w:color w:val="auto"/>
          <w:sz w:val="32"/>
          <w:szCs w:val="40"/>
          <w:highlight w:val="none"/>
        </w:rPr>
        <w:t xml:space="preserve"> </w:t>
      </w:r>
      <w:r>
        <w:rPr>
          <w:rFonts w:hint="eastAsia" w:ascii="黑体" w:hAnsi="黑体" w:eastAsia="黑体" w:cs="黑体"/>
          <w:color w:val="auto"/>
          <w:sz w:val="32"/>
          <w:szCs w:val="48"/>
          <w:highlight w:val="none"/>
          <w:lang w:val="en-US" w:eastAsia="zh-CN"/>
        </w:rPr>
        <w:t>采购内容及服务要求</w:t>
      </w:r>
      <w:r>
        <w:rPr>
          <w:rFonts w:hint="eastAsia" w:ascii="黑体" w:hAnsi="黑体" w:eastAsia="黑体" w:cs="黑体"/>
          <w:color w:val="auto"/>
          <w:sz w:val="32"/>
          <w:szCs w:val="40"/>
          <w:highlight w:val="none"/>
        </w:rPr>
        <w:tab/>
      </w:r>
      <w:r>
        <w:rPr>
          <w:rFonts w:hint="eastAsia" w:ascii="黑体" w:hAnsi="黑体" w:eastAsia="黑体" w:cs="黑体"/>
          <w:color w:val="auto"/>
          <w:sz w:val="32"/>
          <w:szCs w:val="40"/>
          <w:highlight w:val="none"/>
          <w:lang w:val="en-US" w:eastAsia="zh-CN"/>
        </w:rPr>
        <w:t>3</w:t>
      </w:r>
      <w:r>
        <w:rPr>
          <w:rFonts w:hint="eastAsia" w:ascii="黑体" w:hAnsi="黑体" w:eastAsia="黑体" w:cs="黑体"/>
          <w:color w:val="auto"/>
          <w:sz w:val="32"/>
          <w:szCs w:val="160"/>
          <w:highlight w:val="none"/>
        </w:rPr>
        <w:fldChar w:fldCharType="end"/>
      </w:r>
      <w:r>
        <w:rPr>
          <w:rFonts w:hint="eastAsia" w:ascii="黑体" w:hAnsi="黑体" w:eastAsia="黑体" w:cs="黑体"/>
          <w:color w:val="auto"/>
          <w:sz w:val="32"/>
          <w:szCs w:val="160"/>
          <w:highlight w:val="none"/>
          <w:lang w:val="en-US" w:eastAsia="zh-CN"/>
        </w:rPr>
        <w:t>1</w:t>
      </w:r>
    </w:p>
    <w:p w14:paraId="4166631C">
      <w:pPr>
        <w:pStyle w:val="23"/>
        <w:keepNext w:val="0"/>
        <w:keepLines w:val="0"/>
        <w:pageBreakBefore w:val="0"/>
        <w:widowControl w:val="0"/>
        <w:tabs>
          <w:tab w:val="right" w:leader="dot" w:pos="8998"/>
        </w:tabs>
        <w:kinsoku/>
        <w:wordWrap/>
        <w:overflowPunct/>
        <w:topLinePunct w:val="0"/>
        <w:autoSpaceDE/>
        <w:autoSpaceDN/>
        <w:bidi w:val="0"/>
        <w:adjustRightInd/>
        <w:snapToGrid/>
        <w:spacing w:line="360" w:lineRule="auto"/>
        <w:textAlignment w:val="auto"/>
        <w:rPr>
          <w:rFonts w:hint="eastAsia" w:ascii="黑体" w:hAnsi="黑体" w:eastAsia="黑体" w:cs="黑体"/>
          <w:color w:val="auto"/>
          <w:sz w:val="32"/>
          <w:szCs w:val="40"/>
          <w:highlight w:val="none"/>
        </w:rPr>
      </w:pPr>
      <w:r>
        <w:rPr>
          <w:rFonts w:hint="eastAsia" w:ascii="黑体" w:hAnsi="黑体" w:eastAsia="黑体" w:cs="黑体"/>
          <w:color w:val="auto"/>
          <w:sz w:val="32"/>
          <w:szCs w:val="160"/>
          <w:highlight w:val="none"/>
        </w:rPr>
        <w:fldChar w:fldCharType="begin"/>
      </w:r>
      <w:r>
        <w:rPr>
          <w:rFonts w:hint="eastAsia" w:ascii="黑体" w:hAnsi="黑体" w:eastAsia="黑体" w:cs="黑体"/>
          <w:color w:val="auto"/>
          <w:sz w:val="32"/>
          <w:szCs w:val="160"/>
          <w:highlight w:val="none"/>
        </w:rPr>
        <w:instrText xml:space="preserve"> HYPERLINK \l _Toc17706 </w:instrText>
      </w:r>
      <w:r>
        <w:rPr>
          <w:rFonts w:hint="eastAsia" w:ascii="黑体" w:hAnsi="黑体" w:eastAsia="黑体" w:cs="黑体"/>
          <w:color w:val="auto"/>
          <w:sz w:val="32"/>
          <w:szCs w:val="160"/>
          <w:highlight w:val="none"/>
        </w:rPr>
        <w:fldChar w:fldCharType="separate"/>
      </w:r>
      <w:r>
        <w:rPr>
          <w:rFonts w:hint="eastAsia" w:ascii="黑体" w:hAnsi="黑体" w:eastAsia="黑体" w:cs="黑体"/>
          <w:color w:val="auto"/>
          <w:sz w:val="32"/>
          <w:szCs w:val="40"/>
          <w:highlight w:val="none"/>
          <w:lang w:val="en-US" w:eastAsia="zh-CN"/>
        </w:rPr>
        <w:t>第五章 响应文件格式</w:t>
      </w:r>
      <w:r>
        <w:rPr>
          <w:rFonts w:hint="eastAsia" w:ascii="黑体" w:hAnsi="黑体" w:eastAsia="黑体" w:cs="黑体"/>
          <w:color w:val="auto"/>
          <w:sz w:val="32"/>
          <w:szCs w:val="40"/>
          <w:highlight w:val="none"/>
        </w:rPr>
        <w:tab/>
      </w:r>
      <w:r>
        <w:rPr>
          <w:rFonts w:hint="eastAsia" w:ascii="黑体" w:hAnsi="黑体" w:eastAsia="黑体" w:cs="黑体"/>
          <w:color w:val="auto"/>
          <w:sz w:val="32"/>
          <w:szCs w:val="40"/>
          <w:highlight w:val="none"/>
        </w:rPr>
        <w:fldChar w:fldCharType="begin"/>
      </w:r>
      <w:r>
        <w:rPr>
          <w:rFonts w:hint="eastAsia" w:ascii="黑体" w:hAnsi="黑体" w:eastAsia="黑体" w:cs="黑体"/>
          <w:color w:val="auto"/>
          <w:sz w:val="32"/>
          <w:szCs w:val="40"/>
          <w:highlight w:val="none"/>
        </w:rPr>
        <w:instrText xml:space="preserve"> PAGEREF _Toc17706 \h </w:instrText>
      </w:r>
      <w:r>
        <w:rPr>
          <w:rFonts w:hint="eastAsia" w:ascii="黑体" w:hAnsi="黑体" w:eastAsia="黑体" w:cs="黑体"/>
          <w:color w:val="auto"/>
          <w:sz w:val="32"/>
          <w:szCs w:val="40"/>
          <w:highlight w:val="none"/>
        </w:rPr>
        <w:fldChar w:fldCharType="separate"/>
      </w:r>
      <w:r>
        <w:rPr>
          <w:rFonts w:hint="eastAsia" w:ascii="黑体" w:hAnsi="黑体" w:eastAsia="黑体" w:cs="黑体"/>
          <w:color w:val="auto"/>
          <w:sz w:val="32"/>
          <w:szCs w:val="40"/>
          <w:highlight w:val="none"/>
        </w:rPr>
        <w:t>3</w:t>
      </w:r>
      <w:r>
        <w:rPr>
          <w:rFonts w:hint="eastAsia" w:ascii="黑体" w:hAnsi="黑体" w:eastAsia="黑体" w:cs="黑体"/>
          <w:color w:val="auto"/>
          <w:sz w:val="32"/>
          <w:szCs w:val="40"/>
          <w:highlight w:val="none"/>
          <w:lang w:val="en-US" w:eastAsia="zh-CN"/>
        </w:rPr>
        <w:t>2</w:t>
      </w:r>
      <w:r>
        <w:rPr>
          <w:rFonts w:hint="eastAsia" w:ascii="黑体" w:hAnsi="黑体" w:eastAsia="黑体" w:cs="黑体"/>
          <w:color w:val="auto"/>
          <w:sz w:val="32"/>
          <w:szCs w:val="40"/>
          <w:highlight w:val="none"/>
        </w:rPr>
        <w:fldChar w:fldCharType="end"/>
      </w:r>
      <w:r>
        <w:rPr>
          <w:rFonts w:hint="eastAsia" w:ascii="黑体" w:hAnsi="黑体" w:eastAsia="黑体" w:cs="黑体"/>
          <w:color w:val="auto"/>
          <w:sz w:val="32"/>
          <w:szCs w:val="160"/>
          <w:highlight w:val="none"/>
        </w:rPr>
        <w:fldChar w:fldCharType="end"/>
      </w:r>
    </w:p>
    <w:p w14:paraId="4AE23A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color w:val="auto"/>
          <w:szCs w:val="40"/>
          <w:highlight w:val="none"/>
        </w:rPr>
      </w:pPr>
      <w:r>
        <w:rPr>
          <w:rFonts w:hint="eastAsia" w:ascii="黑体" w:hAnsi="黑体" w:eastAsia="黑体" w:cs="黑体"/>
          <w:color w:val="auto"/>
          <w:szCs w:val="56"/>
          <w:highlight w:val="none"/>
        </w:rPr>
        <w:fldChar w:fldCharType="end"/>
      </w:r>
    </w:p>
    <w:p w14:paraId="1BCE673B">
      <w:pPr>
        <w:rPr>
          <w:rFonts w:hint="eastAsia" w:ascii="黑体" w:hAnsi="黑体" w:eastAsia="黑体" w:cs="黑体"/>
          <w:color w:val="auto"/>
          <w:szCs w:val="40"/>
          <w:highlight w:val="none"/>
        </w:rPr>
      </w:pPr>
      <w:r>
        <w:rPr>
          <w:rFonts w:hint="eastAsia" w:ascii="黑体" w:hAnsi="黑体" w:eastAsia="黑体" w:cs="黑体"/>
          <w:color w:val="auto"/>
          <w:szCs w:val="40"/>
          <w:highlight w:val="none"/>
        </w:rPr>
        <w:br w:type="page"/>
      </w:r>
    </w:p>
    <w:p w14:paraId="42F44BFA">
      <w:pPr>
        <w:pStyle w:val="91"/>
        <w:numPr>
          <w:ilvl w:val="0"/>
          <w:numId w:val="1"/>
        </w:numPr>
        <w:tabs>
          <w:tab w:val="left" w:pos="1600"/>
          <w:tab w:val="clear" w:pos="210"/>
        </w:tabs>
        <w:ind w:left="0" w:leftChars="0" w:firstLine="640" w:firstLineChars="200"/>
        <w:outlineLvl w:val="0"/>
        <w:rPr>
          <w:highlight w:val="none"/>
        </w:rPr>
      </w:pPr>
      <w:bookmarkStart w:id="2" w:name="第一章  竞争性磋商公告"/>
      <w:bookmarkEnd w:id="2"/>
      <w:bookmarkStart w:id="3" w:name="_Toc15796"/>
      <w:bookmarkStart w:id="4" w:name="_Toc326"/>
      <w:bookmarkStart w:id="5" w:name="_Toc27526"/>
      <w:r>
        <w:rPr>
          <w:highlight w:val="none"/>
        </w:rPr>
        <w:t>竞争性磋商公告</w:t>
      </w:r>
      <w:bookmarkEnd w:id="3"/>
    </w:p>
    <w:p w14:paraId="4B48DC55">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5"/>
        <w:rPr>
          <w:rFonts w:hint="eastAsia" w:ascii="黑体" w:hAnsi="黑体" w:eastAsia="黑体" w:cs="黑体"/>
          <w:sz w:val="24"/>
          <w:szCs w:val="24"/>
        </w:rPr>
      </w:pPr>
      <w:bookmarkStart w:id="6" w:name="_Toc6548"/>
      <w:r>
        <w:rPr>
          <w:rFonts w:hint="eastAsia" w:ascii="黑体" w:hAnsi="黑体" w:eastAsia="黑体" w:cs="黑体"/>
          <w:b/>
          <w:sz w:val="24"/>
          <w:szCs w:val="24"/>
        </w:rPr>
        <w:t xml:space="preserve"> 项目概况</w:t>
      </w:r>
    </w:p>
    <w:p w14:paraId="42A52A6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岚皋县中心城区导视标识系统规划设计采购项目的潜在供应商应在中恭鸿建项目管理有限公司（陕西省西安市未央区陕西省西安市经济技术开发区凤城十路智慧国际中心1幢11504 室）获取采购文件，并于 2026年08月</w:t>
      </w:r>
      <w:r>
        <w:rPr>
          <w:rFonts w:hint="eastAsia" w:ascii="黑体" w:hAnsi="黑体" w:eastAsia="黑体" w:cs="黑体"/>
          <w:sz w:val="24"/>
          <w:szCs w:val="24"/>
          <w:lang w:val="en-US" w:eastAsia="zh-CN"/>
        </w:rPr>
        <w:t>17</w:t>
      </w:r>
      <w:r>
        <w:rPr>
          <w:rFonts w:hint="eastAsia" w:ascii="黑体" w:hAnsi="黑体" w:eastAsia="黑体" w:cs="黑体"/>
          <w:sz w:val="24"/>
          <w:szCs w:val="24"/>
        </w:rPr>
        <w:t>日 1</w:t>
      </w:r>
      <w:r>
        <w:rPr>
          <w:rFonts w:hint="eastAsia" w:ascii="黑体" w:hAnsi="黑体" w:eastAsia="黑体" w:cs="黑体"/>
          <w:sz w:val="24"/>
          <w:szCs w:val="24"/>
          <w:lang w:val="en-US" w:eastAsia="zh-CN"/>
        </w:rPr>
        <w:t>4</w:t>
      </w:r>
      <w:bookmarkStart w:id="108" w:name="_GoBack"/>
      <w:bookmarkEnd w:id="108"/>
      <w:r>
        <w:rPr>
          <w:rFonts w:hint="eastAsia" w:ascii="黑体" w:hAnsi="黑体" w:eastAsia="黑体" w:cs="黑体"/>
          <w:sz w:val="24"/>
          <w:szCs w:val="24"/>
        </w:rPr>
        <w:t>时00分 （北京时间）前提交响应文件。</w:t>
      </w:r>
    </w:p>
    <w:p w14:paraId="5A5F9529">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一、项目基本情况</w:t>
      </w:r>
    </w:p>
    <w:p w14:paraId="26AF5F3A">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项目编号：ANZGHJ-2026033</w:t>
      </w:r>
    </w:p>
    <w:p w14:paraId="41ACDC1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项目名称：岚皋县中心城区导视标识系统规划设计</w:t>
      </w:r>
    </w:p>
    <w:p w14:paraId="79A3A547">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采购方式：竞争性磋商</w:t>
      </w:r>
    </w:p>
    <w:p w14:paraId="1886F424">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预算金额：270,000.00元</w:t>
      </w:r>
    </w:p>
    <w:p w14:paraId="48AC791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采购需求：</w:t>
      </w:r>
    </w:p>
    <w:p w14:paraId="69438536">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合同包1(岚皋县中心城区导视标识系统规划设计):</w:t>
      </w:r>
    </w:p>
    <w:p w14:paraId="173C232D">
      <w:pPr>
        <w:pStyle w:val="86"/>
        <w:keepNext w:val="0"/>
        <w:keepLines w:val="0"/>
        <w:pageBreakBefore w:val="0"/>
        <w:widowControl/>
        <w:kinsoku/>
        <w:wordWrap/>
        <w:overflowPunct/>
        <w:topLinePunct w:val="0"/>
        <w:autoSpaceDE/>
        <w:autoSpaceDN/>
        <w:bidi w:val="0"/>
        <w:adjustRightInd/>
        <w:snapToGrid/>
        <w:spacing w:line="168" w:lineRule="auto"/>
        <w:ind w:firstLine="630"/>
        <w:textAlignment w:val="auto"/>
        <w:rPr>
          <w:rFonts w:hint="eastAsia" w:ascii="黑体" w:hAnsi="黑体" w:eastAsia="黑体" w:cs="黑体"/>
          <w:sz w:val="24"/>
          <w:szCs w:val="24"/>
        </w:rPr>
      </w:pPr>
      <w:r>
        <w:rPr>
          <w:rFonts w:hint="eastAsia" w:ascii="黑体" w:hAnsi="黑体" w:eastAsia="黑体" w:cs="黑体"/>
          <w:sz w:val="24"/>
          <w:szCs w:val="24"/>
        </w:rPr>
        <w:t>合同包预算金额：270,000.00元</w:t>
      </w:r>
    </w:p>
    <w:p w14:paraId="735277D4">
      <w:pPr>
        <w:pStyle w:val="86"/>
        <w:keepNext w:val="0"/>
        <w:keepLines w:val="0"/>
        <w:pageBreakBefore w:val="0"/>
        <w:widowControl/>
        <w:kinsoku/>
        <w:wordWrap/>
        <w:overflowPunct/>
        <w:topLinePunct w:val="0"/>
        <w:autoSpaceDE/>
        <w:autoSpaceDN/>
        <w:bidi w:val="0"/>
        <w:adjustRightInd/>
        <w:snapToGrid/>
        <w:spacing w:line="168" w:lineRule="auto"/>
        <w:ind w:firstLine="630"/>
        <w:textAlignment w:val="auto"/>
        <w:rPr>
          <w:rFonts w:hint="eastAsia" w:ascii="黑体" w:hAnsi="黑体" w:eastAsia="黑体" w:cs="黑体"/>
          <w:sz w:val="24"/>
          <w:szCs w:val="24"/>
        </w:rPr>
      </w:pPr>
      <w:r>
        <w:rPr>
          <w:rFonts w:hint="eastAsia" w:ascii="黑体" w:hAnsi="黑体" w:eastAsia="黑体" w:cs="黑体"/>
          <w:sz w:val="24"/>
          <w:szCs w:val="24"/>
        </w:rPr>
        <w:t xml:space="preserve"> 合同包最高限价：270,000.00元</w:t>
      </w:r>
    </w:p>
    <w:tbl>
      <w:tblPr>
        <w:tblStyle w:val="3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0E8D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32B5E1A">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品目号</w:t>
            </w:r>
          </w:p>
        </w:tc>
        <w:tc>
          <w:tcPr>
            <w:tcW w:w="1384" w:type="dxa"/>
          </w:tcPr>
          <w:p w14:paraId="7C9461DB">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品目名称</w:t>
            </w:r>
          </w:p>
        </w:tc>
        <w:tc>
          <w:tcPr>
            <w:tcW w:w="1384" w:type="dxa"/>
          </w:tcPr>
          <w:p w14:paraId="40C97C07">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采购标的</w:t>
            </w:r>
          </w:p>
        </w:tc>
        <w:tc>
          <w:tcPr>
            <w:tcW w:w="1384" w:type="dxa"/>
          </w:tcPr>
          <w:p w14:paraId="62AFCDB2">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数量（单位）</w:t>
            </w:r>
          </w:p>
        </w:tc>
        <w:tc>
          <w:tcPr>
            <w:tcW w:w="1384" w:type="dxa"/>
          </w:tcPr>
          <w:p w14:paraId="5ADD8CB0">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技术规格、参数及要求</w:t>
            </w:r>
          </w:p>
        </w:tc>
        <w:tc>
          <w:tcPr>
            <w:tcW w:w="1384" w:type="dxa"/>
          </w:tcPr>
          <w:p w14:paraId="6F71D082">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品目预算(元)</w:t>
            </w:r>
          </w:p>
        </w:tc>
      </w:tr>
      <w:tr w14:paraId="51B0C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909ED7">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1-1</w:t>
            </w:r>
          </w:p>
        </w:tc>
        <w:tc>
          <w:tcPr>
            <w:tcW w:w="1384" w:type="dxa"/>
          </w:tcPr>
          <w:p w14:paraId="586C799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区域规划和设计服务</w:t>
            </w:r>
          </w:p>
        </w:tc>
        <w:tc>
          <w:tcPr>
            <w:tcW w:w="1384" w:type="dxa"/>
          </w:tcPr>
          <w:p w14:paraId="16198304">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岚皋县中心城区导视标识系统规划设计</w:t>
            </w:r>
          </w:p>
        </w:tc>
        <w:tc>
          <w:tcPr>
            <w:tcW w:w="1384" w:type="dxa"/>
          </w:tcPr>
          <w:p w14:paraId="78E86F4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1(项)</w:t>
            </w:r>
          </w:p>
        </w:tc>
        <w:tc>
          <w:tcPr>
            <w:tcW w:w="1384" w:type="dxa"/>
          </w:tcPr>
          <w:p w14:paraId="3DE9B4B2">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详见采购文件</w:t>
            </w:r>
          </w:p>
        </w:tc>
        <w:tc>
          <w:tcPr>
            <w:tcW w:w="1384" w:type="dxa"/>
          </w:tcPr>
          <w:p w14:paraId="55375BBD">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270,000.00</w:t>
            </w:r>
          </w:p>
        </w:tc>
      </w:tr>
    </w:tbl>
    <w:p w14:paraId="6ECCA29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 xml:space="preserve"> 本合同包不接受联合体投标</w:t>
      </w:r>
    </w:p>
    <w:p w14:paraId="243D5BE0">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 xml:space="preserve"> 合同履行期限：自合同签订之日起90天内完成</w:t>
      </w:r>
    </w:p>
    <w:p w14:paraId="205F806E">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二、申请人的资格要求：</w:t>
      </w:r>
    </w:p>
    <w:p w14:paraId="6CE1BE94">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1.满足《中华人民共和国政府采购法》第二十二条规定;</w:t>
      </w:r>
    </w:p>
    <w:p w14:paraId="171A1EE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2.落实政府采购政策需满足的资格要求：</w:t>
      </w:r>
    </w:p>
    <w:p w14:paraId="7D6AA693">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合同包1(岚皋县中心城区导视标识系统规划设计)落实政府采购政策需满足的资格要求如下:</w:t>
      </w:r>
    </w:p>
    <w:p w14:paraId="44D113C4">
      <w:pPr>
        <w:pStyle w:val="86"/>
        <w:keepNext w:val="0"/>
        <w:keepLines w:val="0"/>
        <w:pageBreakBefore w:val="0"/>
        <w:widowControl/>
        <w:kinsoku/>
        <w:wordWrap/>
        <w:overflowPunct/>
        <w:topLinePunct w:val="0"/>
        <w:autoSpaceDE/>
        <w:autoSpaceDN/>
        <w:bidi w:val="0"/>
        <w:adjustRightInd/>
        <w:snapToGrid/>
        <w:spacing w:line="168" w:lineRule="auto"/>
        <w:ind w:left="480"/>
        <w:textAlignment w:val="auto"/>
        <w:rPr>
          <w:rFonts w:hint="eastAsia" w:ascii="黑体" w:hAnsi="黑体" w:eastAsia="黑体" w:cs="黑体"/>
          <w:sz w:val="24"/>
          <w:szCs w:val="24"/>
        </w:rPr>
      </w:pPr>
      <w:r>
        <w:rPr>
          <w:rFonts w:hint="eastAsia" w:ascii="黑体" w:hAnsi="黑体" w:eastAsia="黑体" w:cs="黑体"/>
          <w:sz w:val="24"/>
          <w:szCs w:val="24"/>
        </w:rPr>
        <w:t>本项目专门面向中小企业。</w:t>
      </w:r>
    </w:p>
    <w:p w14:paraId="19E0F48A">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3.本项目的特定资格要求：</w:t>
      </w:r>
    </w:p>
    <w:p w14:paraId="7ECDCBEB">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合同包1(岚皋县中心城区导视标识系统规划设计)特定资格要求如下:</w:t>
      </w:r>
    </w:p>
    <w:p w14:paraId="7140C04D">
      <w:pPr>
        <w:pStyle w:val="86"/>
        <w:keepNext w:val="0"/>
        <w:keepLines w:val="0"/>
        <w:pageBreakBefore w:val="0"/>
        <w:widowControl/>
        <w:kinsoku/>
        <w:wordWrap/>
        <w:overflowPunct/>
        <w:topLinePunct w:val="0"/>
        <w:autoSpaceDE/>
        <w:autoSpaceDN/>
        <w:bidi w:val="0"/>
        <w:adjustRightInd/>
        <w:snapToGrid/>
        <w:spacing w:line="168" w:lineRule="auto"/>
        <w:ind w:left="480"/>
        <w:textAlignment w:val="auto"/>
        <w:rPr>
          <w:rFonts w:hint="eastAsia" w:ascii="黑体" w:hAnsi="黑体" w:eastAsia="黑体" w:cs="黑体"/>
          <w:sz w:val="24"/>
          <w:szCs w:val="24"/>
        </w:rPr>
      </w:pPr>
      <w:r>
        <w:rPr>
          <w:rFonts w:hint="eastAsia" w:ascii="黑体" w:hAnsi="黑体" w:eastAsia="黑体" w:cs="黑体"/>
          <w:sz w:val="24"/>
          <w:szCs w:val="24"/>
        </w:rPr>
        <w:t>1.合法注册的法人应提供营业执照 （或事业法人证） 、组织机构代码证、税务登记证或统一社会信用代码的营业执照或其他组织应提供合法证明文件或自然人提供身份证件；</w:t>
      </w:r>
      <w:r>
        <w:rPr>
          <w:rFonts w:hint="eastAsia" w:ascii="黑体" w:hAnsi="黑体" w:eastAsia="黑体" w:cs="黑体"/>
          <w:sz w:val="24"/>
          <w:szCs w:val="24"/>
        </w:rPr>
        <w:br w:type="textWrapping"/>
      </w:r>
      <w:r>
        <w:rPr>
          <w:rFonts w:hint="eastAsia" w:ascii="黑体" w:hAnsi="黑体" w:eastAsia="黑体" w:cs="黑体"/>
          <w:sz w:val="24"/>
          <w:szCs w:val="24"/>
        </w:rPr>
        <w:t>2.良好的商业信誉和健全的财务会计制度：提供具有财务审计资质单位出具的2024年度或2025年度财务报告（包括“四表一注”，即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黑体" w:hAnsi="黑体" w:eastAsia="黑体" w:cs="黑体"/>
          <w:sz w:val="24"/>
          <w:szCs w:val="24"/>
        </w:rPr>
        <w:br w:type="textWrapping"/>
      </w:r>
      <w:r>
        <w:rPr>
          <w:rFonts w:hint="eastAsia" w:ascii="黑体" w:hAnsi="黑体" w:eastAsia="黑体" w:cs="黑体"/>
          <w:sz w:val="24"/>
          <w:szCs w:val="24"/>
        </w:rPr>
        <w:t>3.有依法缴纳税收和社会保障资金的良好记录：提供2026年2月1日至今任意时段至少一个月的缴纳证明，依法免税的单位应提供相关证明材料；</w:t>
      </w:r>
      <w:r>
        <w:rPr>
          <w:rFonts w:hint="eastAsia" w:ascii="黑体" w:hAnsi="黑体" w:eastAsia="黑体" w:cs="黑体"/>
          <w:sz w:val="24"/>
          <w:szCs w:val="24"/>
        </w:rPr>
        <w:br w:type="textWrapping"/>
      </w:r>
      <w:r>
        <w:rPr>
          <w:rFonts w:hint="eastAsia" w:ascii="黑体" w:hAnsi="黑体" w:eastAsia="黑体" w:cs="黑体"/>
          <w:sz w:val="24"/>
          <w:szCs w:val="24"/>
        </w:rPr>
        <w:t>4.供应商须具备行政主管部门颁发的城乡规划（国土空间规划）编制资质证书乙级（含乙级）及以上资质；</w:t>
      </w:r>
      <w:r>
        <w:rPr>
          <w:rFonts w:hint="eastAsia" w:ascii="黑体" w:hAnsi="黑体" w:eastAsia="黑体" w:cs="黑体"/>
          <w:sz w:val="24"/>
          <w:szCs w:val="24"/>
        </w:rPr>
        <w:br w:type="textWrapping"/>
      </w:r>
      <w:r>
        <w:rPr>
          <w:rFonts w:hint="eastAsia" w:ascii="黑体" w:hAnsi="黑体" w:eastAsia="黑体" w:cs="黑体"/>
          <w:sz w:val="24"/>
          <w:szCs w:val="24"/>
        </w:rPr>
        <w:t>5.书面声明：（1）参加本次政府采购活动前三年内在经营活动中没有重大违纪，以及未被列入失信被执行人、重大税收违法案件当事人名单、政府采购严重违法失信行为记录名单的书面声明；（2）提供具有履行本合同所必需的设备和专业技术能力的声明；</w:t>
      </w:r>
      <w:r>
        <w:rPr>
          <w:rFonts w:hint="eastAsia" w:ascii="黑体" w:hAnsi="黑体" w:eastAsia="黑体" w:cs="黑体"/>
          <w:sz w:val="24"/>
          <w:szCs w:val="24"/>
        </w:rPr>
        <w:br w:type="textWrapping"/>
      </w:r>
      <w:r>
        <w:rPr>
          <w:rFonts w:hint="eastAsia" w:ascii="黑体" w:hAnsi="黑体" w:eastAsia="黑体" w:cs="黑体"/>
          <w:sz w:val="24"/>
          <w:szCs w:val="24"/>
        </w:rPr>
        <w:t>6.法定代表人直接参加投标的，须出具法定代表人身份证；法定代表人授权代表参加投标的 ，须出具法定代表人授权委托书、法定代表人身份证复印件以及被授权代表身份证；</w:t>
      </w:r>
      <w:r>
        <w:rPr>
          <w:rFonts w:hint="eastAsia" w:ascii="黑体" w:hAnsi="黑体" w:eastAsia="黑体" w:cs="黑体"/>
          <w:sz w:val="24"/>
          <w:szCs w:val="24"/>
        </w:rPr>
        <w:br w:type="textWrapping"/>
      </w:r>
      <w:r>
        <w:rPr>
          <w:rFonts w:hint="eastAsia" w:ascii="黑体" w:hAnsi="黑体" w:eastAsia="黑体" w:cs="黑体"/>
          <w:sz w:val="24"/>
          <w:szCs w:val="24"/>
        </w:rPr>
        <w:t>7.供应商企业关系关联及联合体说明：本项目不接受联合体投标，单位负责人为同一人或者存在直接控股、管理关系的不同供应商，不得参加同一合同项下的政府采购活动，并提供承诺书；</w:t>
      </w:r>
      <w:r>
        <w:rPr>
          <w:rFonts w:hint="eastAsia" w:ascii="黑体" w:hAnsi="黑体" w:eastAsia="黑体" w:cs="黑体"/>
          <w:sz w:val="24"/>
          <w:szCs w:val="24"/>
        </w:rPr>
        <w:br w:type="textWrapping"/>
      </w:r>
      <w:r>
        <w:rPr>
          <w:rFonts w:hint="eastAsia" w:ascii="黑体" w:hAnsi="黑体" w:eastAsia="黑体" w:cs="黑体"/>
          <w:sz w:val="24"/>
          <w:szCs w:val="24"/>
        </w:rPr>
        <w:t>8.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p>
    <w:p w14:paraId="0DF3FE15">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三、获取采购文件</w:t>
      </w:r>
    </w:p>
    <w:p w14:paraId="056CE636">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时间： 2026年08月0</w:t>
      </w:r>
      <w:r>
        <w:rPr>
          <w:rFonts w:hint="eastAsia" w:ascii="黑体" w:hAnsi="黑体" w:eastAsia="黑体" w:cs="黑体"/>
          <w:sz w:val="24"/>
          <w:szCs w:val="24"/>
          <w:lang w:val="en-US" w:eastAsia="zh-CN"/>
        </w:rPr>
        <w:t>5</w:t>
      </w:r>
      <w:r>
        <w:rPr>
          <w:rFonts w:hint="eastAsia" w:ascii="黑体" w:hAnsi="黑体" w:eastAsia="黑体" w:cs="黑体"/>
          <w:sz w:val="24"/>
          <w:szCs w:val="24"/>
        </w:rPr>
        <w:t>日 至 2026年08月</w:t>
      </w:r>
      <w:r>
        <w:rPr>
          <w:rFonts w:hint="eastAsia" w:ascii="黑体" w:hAnsi="黑体" w:eastAsia="黑体" w:cs="黑体"/>
          <w:sz w:val="24"/>
          <w:szCs w:val="24"/>
          <w:lang w:val="en-US" w:eastAsia="zh-CN"/>
        </w:rPr>
        <w:t>11</w:t>
      </w:r>
      <w:r>
        <w:rPr>
          <w:rFonts w:hint="eastAsia" w:ascii="黑体" w:hAnsi="黑体" w:eastAsia="黑体" w:cs="黑体"/>
          <w:sz w:val="24"/>
          <w:szCs w:val="24"/>
        </w:rPr>
        <w:t>日 ，每天上午 08:00:00 至 12:00:00 ，下午 14:00:00 至 18:00:00 （北京时间）</w:t>
      </w:r>
    </w:p>
    <w:p w14:paraId="4431747D">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途径：中恭鸿建项目管理有限公司（陕西省西安市未央区陕西省西安市经济技术开发区凤城十路智慧国际中心1幢11504 室）</w:t>
      </w:r>
    </w:p>
    <w:p w14:paraId="2247D040">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方式：现场获取</w:t>
      </w:r>
    </w:p>
    <w:p w14:paraId="65264ED5">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售价： 0元</w:t>
      </w:r>
    </w:p>
    <w:p w14:paraId="39829D11">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四、响应文件提交</w:t>
      </w:r>
    </w:p>
    <w:p w14:paraId="47E50500">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截止时间： 2026年08月</w:t>
      </w:r>
      <w:r>
        <w:rPr>
          <w:rFonts w:hint="eastAsia" w:ascii="黑体" w:hAnsi="黑体" w:eastAsia="黑体" w:cs="黑体"/>
          <w:sz w:val="24"/>
          <w:szCs w:val="24"/>
          <w:lang w:val="en-US" w:eastAsia="zh-CN"/>
        </w:rPr>
        <w:t>17</w:t>
      </w:r>
      <w:r>
        <w:rPr>
          <w:rFonts w:hint="eastAsia" w:ascii="黑体" w:hAnsi="黑体" w:eastAsia="黑体" w:cs="黑体"/>
          <w:sz w:val="24"/>
          <w:szCs w:val="24"/>
        </w:rPr>
        <w:t>日 1</w:t>
      </w:r>
      <w:r>
        <w:rPr>
          <w:rFonts w:hint="eastAsia" w:ascii="黑体" w:hAnsi="黑体" w:eastAsia="黑体" w:cs="黑体"/>
          <w:sz w:val="24"/>
          <w:szCs w:val="24"/>
          <w:lang w:val="en-US" w:eastAsia="zh-CN"/>
        </w:rPr>
        <w:t>4</w:t>
      </w:r>
      <w:r>
        <w:rPr>
          <w:rFonts w:hint="eastAsia" w:ascii="黑体" w:hAnsi="黑体" w:eastAsia="黑体" w:cs="黑体"/>
          <w:sz w:val="24"/>
          <w:szCs w:val="24"/>
        </w:rPr>
        <w:t>时00分00秒 （北京时间）</w:t>
      </w:r>
    </w:p>
    <w:p w14:paraId="6B731EFA">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地点：国贸酒店4楼</w:t>
      </w:r>
    </w:p>
    <w:p w14:paraId="298AE719">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五、开启</w:t>
      </w:r>
    </w:p>
    <w:p w14:paraId="42B7C28B">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时间： 2026年08月1</w:t>
      </w:r>
      <w:r>
        <w:rPr>
          <w:rFonts w:hint="eastAsia" w:ascii="黑体" w:hAnsi="黑体" w:eastAsia="黑体" w:cs="黑体"/>
          <w:sz w:val="24"/>
          <w:szCs w:val="24"/>
          <w:lang w:val="en-US" w:eastAsia="zh-CN"/>
        </w:rPr>
        <w:t>7</w:t>
      </w:r>
      <w:r>
        <w:rPr>
          <w:rFonts w:hint="eastAsia" w:ascii="黑体" w:hAnsi="黑体" w:eastAsia="黑体" w:cs="黑体"/>
          <w:sz w:val="24"/>
          <w:szCs w:val="24"/>
        </w:rPr>
        <w:t>日 1</w:t>
      </w:r>
      <w:r>
        <w:rPr>
          <w:rFonts w:hint="eastAsia" w:ascii="黑体" w:hAnsi="黑体" w:eastAsia="黑体" w:cs="黑体"/>
          <w:sz w:val="24"/>
          <w:szCs w:val="24"/>
          <w:lang w:val="en-US" w:eastAsia="zh-CN"/>
        </w:rPr>
        <w:t>4</w:t>
      </w:r>
      <w:r>
        <w:rPr>
          <w:rFonts w:hint="eastAsia" w:ascii="黑体" w:hAnsi="黑体" w:eastAsia="黑体" w:cs="黑体"/>
          <w:sz w:val="24"/>
          <w:szCs w:val="24"/>
        </w:rPr>
        <w:t>时00分00秒 （北京时间）</w:t>
      </w:r>
    </w:p>
    <w:p w14:paraId="6C20134B">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地点：国贸酒店4楼</w:t>
      </w:r>
    </w:p>
    <w:p w14:paraId="08D22D1C">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六、公告期限</w:t>
      </w:r>
    </w:p>
    <w:p w14:paraId="597ECB84">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自本公告发布之日起3个工作日。</w:t>
      </w:r>
    </w:p>
    <w:p w14:paraId="4E45B714">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七、其他补充事宜</w:t>
      </w:r>
    </w:p>
    <w:p w14:paraId="5EB50886">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b/>
          <w:sz w:val="24"/>
          <w:szCs w:val="24"/>
        </w:rPr>
        <w:t>注：请在文件获取时间内携带单位介绍信、经办人身份证原件及复印件加盖鲜章，至代理机构处获取采购文件（节假日除外）。</w:t>
      </w:r>
    </w:p>
    <w:p w14:paraId="48E29788">
      <w:pPr>
        <w:pStyle w:val="86"/>
        <w:keepNext w:val="0"/>
        <w:keepLines w:val="0"/>
        <w:pageBreakBefore w:val="0"/>
        <w:widowControl/>
        <w:kinsoku/>
        <w:wordWrap/>
        <w:overflowPunct/>
        <w:topLinePunct w:val="0"/>
        <w:autoSpaceDE/>
        <w:autoSpaceDN/>
        <w:bidi w:val="0"/>
        <w:adjustRightInd/>
        <w:snapToGrid/>
        <w:spacing w:after="120" w:line="168" w:lineRule="auto"/>
        <w:ind w:firstLine="480"/>
        <w:textAlignment w:val="auto"/>
        <w:rPr>
          <w:rFonts w:hint="eastAsia" w:ascii="黑体" w:hAnsi="黑体" w:eastAsia="黑体" w:cs="黑体"/>
          <w:sz w:val="24"/>
          <w:szCs w:val="24"/>
        </w:rPr>
      </w:pPr>
      <w:r>
        <w:rPr>
          <w:rFonts w:hint="eastAsia" w:ascii="黑体" w:hAnsi="黑体" w:eastAsia="黑体" w:cs="黑体"/>
          <w:sz w:val="24"/>
          <w:szCs w:val="24"/>
        </w:rPr>
        <w:t>依据《中华人民共和国政府采购法》和《中华人民共和国政府采购法实施条例》的有关规定，落实政府采购政策。</w:t>
      </w:r>
    </w:p>
    <w:p w14:paraId="3F677CCA">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《政府采购促进中小企业发展管理办法》的通知--财库〔2020〕46号；</w:t>
      </w:r>
    </w:p>
    <w:p w14:paraId="2FFF8AF3">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《财政部司法部关于政府采购支持监狱企业发展有关问题的通知》财库〔2014〕68号；</w:t>
      </w:r>
    </w:p>
    <w:p w14:paraId="59F8AA06">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《财政部发展改革委生态环境部市场监管总局关于调整优化节能产品环境标志产品政府采购执行机制的通知》--财库〔2019〕9号；</w:t>
      </w:r>
    </w:p>
    <w:p w14:paraId="3D2EB2C7">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《关于促进残疾人就业政府采购政策的通知》--财库〔2017〕141号；</w:t>
      </w:r>
    </w:p>
    <w:p w14:paraId="5D95A97B">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陕西省财政厅关于印发《陕西省中小企业政府采购信用融资办法》--陕财办采〔2018〕23号；</w:t>
      </w:r>
    </w:p>
    <w:p w14:paraId="62CAD0E4">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《国务院办公厅关于建立政府强制采购节能产品制度的通知》--国办发〔2007〕51号；</w:t>
      </w:r>
    </w:p>
    <w:p w14:paraId="2A1AF2BB">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《财政部国务院扶贫办关于运用政府采购政策支持脱贫攻坚的通知》--（财库〔2019〕27号）；</w:t>
      </w:r>
    </w:p>
    <w:p w14:paraId="130CC2DB">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《财政部农业农村部国家乡村振兴局关于运用政府采购政策支持乡村产业振兴的通知》（财库〔2021〕19号）；</w:t>
      </w:r>
    </w:p>
    <w:p w14:paraId="77B8102A">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陕西省财政厅关于进一步加强政府绿色采购有关问题的通知--陕财办采〔2021〕29号；</w:t>
      </w:r>
    </w:p>
    <w:p w14:paraId="28268CC7">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《陕西省财政厅关于加快推进我省中小企业政府采购信用融资工作的通知》（陕财办采〔2020〕15号）；</w:t>
      </w:r>
    </w:p>
    <w:p w14:paraId="2FEE416E">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《关于进一步加大政府采购支持中小企业力度的通知》（财库〔2022〕19号）；</w:t>
      </w:r>
    </w:p>
    <w:p w14:paraId="1B27825C">
      <w:pPr>
        <w:pStyle w:val="86"/>
        <w:keepNext w:val="0"/>
        <w:keepLines w:val="0"/>
        <w:pageBreakBefore w:val="0"/>
        <w:widowControl/>
        <w:numPr>
          <w:ilvl w:val="0"/>
          <w:numId w:val="2"/>
        </w:numPr>
        <w:kinsoku/>
        <w:wordWrap/>
        <w:overflowPunct/>
        <w:topLinePunct w:val="0"/>
        <w:autoSpaceDE/>
        <w:autoSpaceDN/>
        <w:bidi w:val="0"/>
        <w:adjustRightInd/>
        <w:snapToGrid/>
        <w:spacing w:after="120" w:line="168" w:lineRule="auto"/>
        <w:textAlignment w:val="auto"/>
        <w:rPr>
          <w:rFonts w:hint="eastAsia" w:ascii="黑体" w:hAnsi="黑体" w:eastAsia="黑体" w:cs="黑体"/>
          <w:sz w:val="24"/>
          <w:szCs w:val="24"/>
        </w:rPr>
      </w:pPr>
      <w:r>
        <w:rPr>
          <w:rFonts w:hint="eastAsia" w:ascii="黑体" w:hAnsi="黑体" w:eastAsia="黑体" w:cs="黑体"/>
          <w:sz w:val="24"/>
          <w:szCs w:val="24"/>
        </w:rPr>
        <w:t>如有最新颁布的政府采购政策，按最新的文件执行。</w:t>
      </w:r>
    </w:p>
    <w:p w14:paraId="765D5449">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3"/>
        <w:rPr>
          <w:rFonts w:hint="eastAsia" w:ascii="黑体" w:hAnsi="黑体" w:eastAsia="黑体" w:cs="黑体"/>
          <w:sz w:val="24"/>
          <w:szCs w:val="24"/>
        </w:rPr>
      </w:pPr>
      <w:r>
        <w:rPr>
          <w:rFonts w:hint="eastAsia" w:ascii="黑体" w:hAnsi="黑体" w:eastAsia="黑体" w:cs="黑体"/>
          <w:b/>
          <w:sz w:val="24"/>
          <w:szCs w:val="24"/>
        </w:rPr>
        <w:t>八、对本次招标提出询问，请按以下方式联系。</w:t>
      </w:r>
    </w:p>
    <w:p w14:paraId="07D2612C">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5"/>
        <w:rPr>
          <w:rFonts w:hint="eastAsia" w:ascii="黑体" w:hAnsi="黑体" w:eastAsia="黑体" w:cs="黑体"/>
          <w:sz w:val="24"/>
          <w:szCs w:val="24"/>
        </w:rPr>
      </w:pPr>
      <w:r>
        <w:rPr>
          <w:rFonts w:hint="eastAsia" w:ascii="黑体" w:hAnsi="黑体" w:eastAsia="黑体" w:cs="黑体"/>
          <w:b/>
          <w:sz w:val="24"/>
          <w:szCs w:val="24"/>
        </w:rPr>
        <w:t>1.采购人信息</w:t>
      </w:r>
    </w:p>
    <w:p w14:paraId="69CF3822">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名称：岚皋县住房和城乡建设局</w:t>
      </w:r>
    </w:p>
    <w:p w14:paraId="61BAD811">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地址：岚皋县河滨大道17号</w:t>
      </w:r>
    </w:p>
    <w:p w14:paraId="785F3B8B">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联系方式：15591562663</w:t>
      </w:r>
    </w:p>
    <w:p w14:paraId="5A8FD70E">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5"/>
        <w:rPr>
          <w:rFonts w:hint="eastAsia" w:ascii="黑体" w:hAnsi="黑体" w:eastAsia="黑体" w:cs="黑体"/>
          <w:sz w:val="24"/>
          <w:szCs w:val="24"/>
        </w:rPr>
      </w:pPr>
      <w:r>
        <w:rPr>
          <w:rFonts w:hint="eastAsia" w:ascii="黑体" w:hAnsi="黑体" w:eastAsia="黑体" w:cs="黑体"/>
          <w:b/>
          <w:sz w:val="24"/>
          <w:szCs w:val="24"/>
        </w:rPr>
        <w:t>2.采购代理机构信息</w:t>
      </w:r>
    </w:p>
    <w:p w14:paraId="1D6D583A">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名称：中恭鸿建项目管理有限公司</w:t>
      </w:r>
    </w:p>
    <w:p w14:paraId="17F06B7C">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地址：陕西省西安市经济技术开发区凤城十路智慧国际中心1幢11504 室</w:t>
      </w:r>
    </w:p>
    <w:p w14:paraId="713BCE79">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联系方式：13891555542</w:t>
      </w:r>
    </w:p>
    <w:p w14:paraId="1B764417">
      <w:pPr>
        <w:pStyle w:val="86"/>
        <w:keepNext w:val="0"/>
        <w:keepLines w:val="0"/>
        <w:pageBreakBefore w:val="0"/>
        <w:widowControl/>
        <w:kinsoku/>
        <w:wordWrap/>
        <w:overflowPunct/>
        <w:topLinePunct w:val="0"/>
        <w:autoSpaceDE/>
        <w:autoSpaceDN/>
        <w:bidi w:val="0"/>
        <w:adjustRightInd/>
        <w:snapToGrid/>
        <w:spacing w:line="168" w:lineRule="auto"/>
        <w:textAlignment w:val="auto"/>
        <w:outlineLvl w:val="5"/>
        <w:rPr>
          <w:rFonts w:hint="eastAsia" w:ascii="黑体" w:hAnsi="黑体" w:eastAsia="黑体" w:cs="黑体"/>
          <w:sz w:val="24"/>
          <w:szCs w:val="24"/>
        </w:rPr>
      </w:pPr>
      <w:r>
        <w:rPr>
          <w:rFonts w:hint="eastAsia" w:ascii="黑体" w:hAnsi="黑体" w:eastAsia="黑体" w:cs="黑体"/>
          <w:b/>
          <w:sz w:val="24"/>
          <w:szCs w:val="24"/>
        </w:rPr>
        <w:t>3.项目联系方式</w:t>
      </w:r>
    </w:p>
    <w:p w14:paraId="3DED0263">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项目联系人：张先生</w:t>
      </w:r>
    </w:p>
    <w:p w14:paraId="3D1B99F6">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sz w:val="24"/>
          <w:szCs w:val="24"/>
        </w:rPr>
        <w:t>电话：13891555542</w:t>
      </w:r>
    </w:p>
    <w:p w14:paraId="53AE4545">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r>
        <w:rPr>
          <w:rFonts w:hint="eastAsia" w:ascii="黑体" w:hAnsi="黑体" w:eastAsia="黑体" w:cs="黑体"/>
          <w:sz w:val="24"/>
          <w:szCs w:val="24"/>
        </w:rPr>
        <w:t>中恭鸿建项目管理有限公司</w:t>
      </w:r>
    </w:p>
    <w:p w14:paraId="1ECB4776">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2026年8月3日</w:t>
      </w:r>
    </w:p>
    <w:p w14:paraId="4F09E7A2">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3D5F1AC5">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3D17B2B1">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21377120">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70A97AAE">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12C61F5">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93F5E99">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70F2CFB2">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E3E5FB0">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536E8ED2">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452E7318">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0190A86">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E95443F">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3834F15B">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394AAEC">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3D148BD">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7E5990B9">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7A7380FC">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37D0131">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DCA968F">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24A1C0E0">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B8B0B6D">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F908A35">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0B17387">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E27F4FE">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4BB1579E">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46D705CC">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895FF03">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F5CFC6F">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3033F88">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152A69A">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9BA4609">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97E9716">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645CF45E">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1B2F3D2B">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2D85C456">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0CC6B547">
      <w:pPr>
        <w:pStyle w:val="86"/>
        <w:keepNext w:val="0"/>
        <w:keepLines w:val="0"/>
        <w:pageBreakBefore w:val="0"/>
        <w:widowControl/>
        <w:kinsoku/>
        <w:wordWrap/>
        <w:overflowPunct/>
        <w:topLinePunct w:val="0"/>
        <w:autoSpaceDE/>
        <w:autoSpaceDN/>
        <w:bidi w:val="0"/>
        <w:adjustRightInd/>
        <w:snapToGrid/>
        <w:spacing w:line="168" w:lineRule="auto"/>
        <w:jc w:val="right"/>
        <w:textAlignment w:val="auto"/>
        <w:rPr>
          <w:rFonts w:hint="eastAsia" w:ascii="黑体" w:hAnsi="黑体" w:eastAsia="黑体" w:cs="黑体"/>
          <w:sz w:val="24"/>
          <w:szCs w:val="24"/>
        </w:rPr>
      </w:pPr>
    </w:p>
    <w:p w14:paraId="4B01D1B3">
      <w:pPr>
        <w:pStyle w:val="91"/>
        <w:numPr>
          <w:ilvl w:val="0"/>
          <w:numId w:val="1"/>
        </w:numPr>
        <w:tabs>
          <w:tab w:val="left" w:pos="1600"/>
          <w:tab w:val="clear" w:pos="210"/>
        </w:tabs>
        <w:ind w:left="0" w:leftChars="0" w:firstLine="640" w:firstLineChars="200"/>
        <w:outlineLvl w:val="0"/>
        <w:rPr>
          <w:highlight w:val="none"/>
        </w:rPr>
      </w:pPr>
      <w:r>
        <w:rPr>
          <w:highlight w:val="none"/>
        </w:rPr>
        <w:t>供应商须知</w:t>
      </w:r>
      <w:bookmarkEnd w:id="4"/>
      <w:bookmarkEnd w:id="5"/>
      <w:bookmarkEnd w:id="6"/>
    </w:p>
    <w:p w14:paraId="392C4AE4">
      <w:pPr>
        <w:pStyle w:val="93"/>
        <w:ind w:left="0" w:leftChars="0" w:firstLine="0" w:firstLineChars="0"/>
        <w:outlineLvl w:val="9"/>
        <w:rPr>
          <w:highlight w:val="none"/>
        </w:rPr>
      </w:pPr>
      <w:bookmarkStart w:id="7" w:name="_Toc30624"/>
      <w:bookmarkStart w:id="8" w:name="_Toc30402"/>
      <w:bookmarkStart w:id="9" w:name="_Toc5238"/>
      <w:bookmarkStart w:id="10" w:name="_Toc14948"/>
      <w:bookmarkStart w:id="11" w:name="_Toc3248"/>
      <w:bookmarkStart w:id="12" w:name="_Toc23762"/>
      <w:bookmarkStart w:id="13" w:name="_Toc25849"/>
      <w:bookmarkStart w:id="14" w:name="_Toc7032"/>
      <w:r>
        <w:rPr>
          <w:highlight w:val="none"/>
        </w:rPr>
        <w:t>供应商须知前附表</w:t>
      </w:r>
      <w:bookmarkEnd w:id="7"/>
      <w:bookmarkEnd w:id="8"/>
      <w:bookmarkEnd w:id="9"/>
      <w:bookmarkEnd w:id="10"/>
      <w:bookmarkEnd w:id="11"/>
      <w:bookmarkEnd w:id="12"/>
      <w:bookmarkEnd w:id="13"/>
      <w:bookmarkEnd w:id="14"/>
    </w:p>
    <w:tbl>
      <w:tblPr>
        <w:tblStyle w:val="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644"/>
        <w:gridCol w:w="6537"/>
      </w:tblGrid>
      <w:tr w14:paraId="3757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80" w:type="pct"/>
            <w:vAlign w:val="center"/>
          </w:tcPr>
          <w:p w14:paraId="0B9407EF">
            <w:pPr>
              <w:spacing w:line="360" w:lineRule="auto"/>
              <w:jc w:val="center"/>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序号</w:t>
            </w:r>
          </w:p>
        </w:tc>
        <w:tc>
          <w:tcPr>
            <w:tcW w:w="928" w:type="pct"/>
            <w:vAlign w:val="center"/>
          </w:tcPr>
          <w:p w14:paraId="09D364CD">
            <w:pPr>
              <w:spacing w:line="360" w:lineRule="auto"/>
              <w:jc w:val="center"/>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条款名称</w:t>
            </w:r>
          </w:p>
        </w:tc>
        <w:tc>
          <w:tcPr>
            <w:tcW w:w="3690" w:type="pct"/>
            <w:vAlign w:val="center"/>
          </w:tcPr>
          <w:p w14:paraId="5B7FD5FB">
            <w:pPr>
              <w:spacing w:line="360" w:lineRule="auto"/>
              <w:jc w:val="center"/>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说明和要求</w:t>
            </w:r>
          </w:p>
        </w:tc>
      </w:tr>
      <w:tr w14:paraId="59BD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380" w:type="pct"/>
            <w:vAlign w:val="center"/>
          </w:tcPr>
          <w:p w14:paraId="330D4D95">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1</w:t>
            </w:r>
          </w:p>
        </w:tc>
        <w:tc>
          <w:tcPr>
            <w:tcW w:w="928" w:type="pct"/>
            <w:vAlign w:val="center"/>
          </w:tcPr>
          <w:p w14:paraId="5DF172EE">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采购人</w:t>
            </w:r>
          </w:p>
        </w:tc>
        <w:tc>
          <w:tcPr>
            <w:tcW w:w="3690" w:type="pct"/>
            <w:vAlign w:val="top"/>
          </w:tcPr>
          <w:p w14:paraId="0C6C82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60" w:lineRule="auto"/>
              <w:ind w:right="0"/>
              <w:jc w:val="left"/>
              <w:textAlignment w:val="baseline"/>
              <w:outlineLvl w:val="9"/>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val="0"/>
                <w:bCs w:val="0"/>
                <w:color w:val="auto"/>
                <w:kern w:val="2"/>
                <w:sz w:val="24"/>
                <w:szCs w:val="24"/>
                <w:highlight w:val="none"/>
                <w:lang w:val="en-US" w:eastAsia="zh-CN" w:bidi="ar-SA"/>
              </w:rPr>
              <w:t>名称：岚皋县住房和建设局</w:t>
            </w:r>
          </w:p>
          <w:p w14:paraId="02F60F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60" w:lineRule="auto"/>
              <w:ind w:right="0"/>
              <w:jc w:val="left"/>
              <w:textAlignment w:val="baseline"/>
              <w:outlineLvl w:val="9"/>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val="0"/>
                <w:bCs w:val="0"/>
                <w:color w:val="auto"/>
                <w:kern w:val="2"/>
                <w:sz w:val="24"/>
                <w:szCs w:val="24"/>
                <w:highlight w:val="none"/>
                <w:lang w:val="en-US" w:eastAsia="zh-CN" w:bidi="ar-SA"/>
              </w:rPr>
              <w:t>地址：岚皋县城关镇河滨大道17号</w:t>
            </w:r>
          </w:p>
          <w:p w14:paraId="51200B6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60" w:lineRule="auto"/>
              <w:ind w:right="0"/>
              <w:jc w:val="left"/>
              <w:textAlignment w:val="baseline"/>
              <w:outlineLvl w:val="9"/>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val="0"/>
                <w:bCs w:val="0"/>
                <w:color w:val="auto"/>
                <w:kern w:val="2"/>
                <w:sz w:val="24"/>
                <w:szCs w:val="24"/>
                <w:highlight w:val="none"/>
                <w:lang w:val="en-US" w:eastAsia="zh-CN" w:bidi="ar-SA"/>
              </w:rPr>
              <w:t>联系方式： 15591562663</w:t>
            </w:r>
          </w:p>
        </w:tc>
      </w:tr>
      <w:tr w14:paraId="315C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380" w:type="pct"/>
            <w:vAlign w:val="center"/>
          </w:tcPr>
          <w:p w14:paraId="7DDACFD7">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2</w:t>
            </w:r>
          </w:p>
        </w:tc>
        <w:tc>
          <w:tcPr>
            <w:tcW w:w="928" w:type="pct"/>
            <w:vAlign w:val="center"/>
          </w:tcPr>
          <w:p w14:paraId="7E9E84A0">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采购代理机构</w:t>
            </w:r>
          </w:p>
        </w:tc>
        <w:tc>
          <w:tcPr>
            <w:tcW w:w="3690" w:type="pct"/>
            <w:vAlign w:val="center"/>
          </w:tcPr>
          <w:p w14:paraId="39757401">
            <w:pPr>
              <w:spacing w:line="360" w:lineRule="auto"/>
              <w:jc w:val="both"/>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rPr>
              <w:t>名称：</w:t>
            </w:r>
            <w:r>
              <w:rPr>
                <w:rFonts w:hint="eastAsia" w:ascii="黑体" w:hAnsi="黑体" w:eastAsia="黑体" w:cs="黑体"/>
                <w:color w:val="auto"/>
                <w:sz w:val="24"/>
                <w:szCs w:val="24"/>
                <w:highlight w:val="none"/>
                <w:lang w:eastAsia="zh-CN"/>
              </w:rPr>
              <w:t xml:space="preserve"> 中恭鸿建项目管理有限公司</w:t>
            </w:r>
          </w:p>
          <w:p w14:paraId="5465C0B3">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地址：  </w:t>
            </w:r>
            <w:r>
              <w:rPr>
                <w:rFonts w:hint="eastAsia" w:ascii="黑体" w:hAnsi="黑体" w:eastAsia="黑体" w:cs="黑体"/>
                <w:sz w:val="24"/>
                <w:szCs w:val="24"/>
              </w:rPr>
              <w:t>陕西省西安市经济技术开发区凤城十路智慧国际中心1幢11504 室</w:t>
            </w:r>
          </w:p>
          <w:p w14:paraId="0DD6CF12">
            <w:pPr>
              <w:pStyle w:val="86"/>
              <w:keepNext w:val="0"/>
              <w:keepLines w:val="0"/>
              <w:pageBreakBefore w:val="0"/>
              <w:widowControl/>
              <w:kinsoku/>
              <w:wordWrap/>
              <w:overflowPunct/>
              <w:topLinePunct w:val="0"/>
              <w:autoSpaceDE/>
              <w:autoSpaceDN/>
              <w:bidi w:val="0"/>
              <w:adjustRightInd/>
              <w:snapToGrid/>
              <w:spacing w:line="168" w:lineRule="auto"/>
              <w:textAlignment w:val="auto"/>
              <w:rPr>
                <w:rFonts w:hint="eastAsia" w:ascii="黑体" w:hAnsi="黑体" w:eastAsia="黑体" w:cs="黑体"/>
                <w:sz w:val="24"/>
                <w:szCs w:val="24"/>
              </w:rPr>
            </w:pPr>
            <w:r>
              <w:rPr>
                <w:rFonts w:hint="eastAsia" w:ascii="黑体" w:hAnsi="黑体" w:eastAsia="黑体" w:cs="黑体"/>
                <w:color w:val="auto"/>
                <w:sz w:val="24"/>
                <w:szCs w:val="24"/>
                <w:highlight w:val="none"/>
              </w:rPr>
              <w:t>联系人：</w:t>
            </w:r>
            <w:r>
              <w:rPr>
                <w:rFonts w:hint="eastAsia" w:ascii="黑体" w:hAnsi="黑体" w:eastAsia="黑体" w:cs="黑体"/>
                <w:sz w:val="24"/>
                <w:szCs w:val="24"/>
              </w:rPr>
              <w:t>张先生</w:t>
            </w:r>
          </w:p>
          <w:p w14:paraId="2AEBEC51">
            <w:pPr>
              <w:spacing w:line="360" w:lineRule="auto"/>
              <w:jc w:val="both"/>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联系电话</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val="en-US" w:eastAsia="zh-CN"/>
              </w:rPr>
              <w:t>13891555542</w:t>
            </w:r>
          </w:p>
        </w:tc>
      </w:tr>
      <w:tr w14:paraId="77B8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380" w:type="pct"/>
            <w:vAlign w:val="center"/>
          </w:tcPr>
          <w:p w14:paraId="7F46BF14">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3</w:t>
            </w:r>
          </w:p>
        </w:tc>
        <w:tc>
          <w:tcPr>
            <w:tcW w:w="928" w:type="pct"/>
            <w:vAlign w:val="center"/>
          </w:tcPr>
          <w:p w14:paraId="3A01838D">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监督管理机构</w:t>
            </w:r>
          </w:p>
        </w:tc>
        <w:tc>
          <w:tcPr>
            <w:tcW w:w="3690" w:type="pct"/>
            <w:vAlign w:val="center"/>
          </w:tcPr>
          <w:p w14:paraId="7936552B">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岚皋县财政局</w:t>
            </w:r>
          </w:p>
        </w:tc>
      </w:tr>
      <w:tr w14:paraId="583CE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380" w:type="pct"/>
            <w:vAlign w:val="center"/>
          </w:tcPr>
          <w:p w14:paraId="20CC94B7">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4</w:t>
            </w:r>
          </w:p>
        </w:tc>
        <w:tc>
          <w:tcPr>
            <w:tcW w:w="928" w:type="pct"/>
            <w:vAlign w:val="center"/>
          </w:tcPr>
          <w:p w14:paraId="1C44645A">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项目名称</w:t>
            </w:r>
          </w:p>
        </w:tc>
        <w:tc>
          <w:tcPr>
            <w:tcW w:w="3690" w:type="pct"/>
            <w:vAlign w:val="center"/>
          </w:tcPr>
          <w:p w14:paraId="356F9D08">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sz w:val="24"/>
                <w:szCs w:val="24"/>
                <w:highlight w:val="none"/>
                <w:lang w:val="en-US" w:eastAsia="zh-CN"/>
              </w:rPr>
              <w:t xml:space="preserve">岚皋县中心城区导视标识系统规划设计 </w:t>
            </w:r>
          </w:p>
        </w:tc>
      </w:tr>
      <w:tr w14:paraId="780A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380" w:type="pct"/>
            <w:vAlign w:val="center"/>
          </w:tcPr>
          <w:p w14:paraId="1E6DF42B">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5</w:t>
            </w:r>
          </w:p>
        </w:tc>
        <w:tc>
          <w:tcPr>
            <w:tcW w:w="928" w:type="pct"/>
            <w:vAlign w:val="center"/>
          </w:tcPr>
          <w:p w14:paraId="6E7EDCCE">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项目编号</w:t>
            </w:r>
          </w:p>
        </w:tc>
        <w:tc>
          <w:tcPr>
            <w:tcW w:w="3690" w:type="pct"/>
            <w:vAlign w:val="center"/>
          </w:tcPr>
          <w:p w14:paraId="55C35818">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 </w:t>
            </w:r>
            <w:r>
              <w:rPr>
                <w:rFonts w:hint="eastAsia" w:ascii="黑体" w:hAnsi="黑体" w:eastAsia="黑体" w:cs="黑体"/>
                <w:sz w:val="24"/>
                <w:szCs w:val="24"/>
                <w:highlight w:val="none"/>
              </w:rPr>
              <w:t>ANZGHJ-2026033</w:t>
            </w:r>
          </w:p>
        </w:tc>
      </w:tr>
      <w:tr w14:paraId="4082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380" w:type="pct"/>
            <w:vAlign w:val="center"/>
          </w:tcPr>
          <w:p w14:paraId="043D24AB">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6</w:t>
            </w:r>
          </w:p>
        </w:tc>
        <w:tc>
          <w:tcPr>
            <w:tcW w:w="928" w:type="pct"/>
            <w:vAlign w:val="center"/>
          </w:tcPr>
          <w:p w14:paraId="33268BDA">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资金性质</w:t>
            </w:r>
          </w:p>
        </w:tc>
        <w:tc>
          <w:tcPr>
            <w:tcW w:w="3690" w:type="pct"/>
            <w:vAlign w:val="center"/>
          </w:tcPr>
          <w:p w14:paraId="38969E73">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财政资金</w:t>
            </w:r>
          </w:p>
        </w:tc>
      </w:tr>
      <w:tr w14:paraId="433C5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380" w:type="pct"/>
            <w:vAlign w:val="center"/>
          </w:tcPr>
          <w:p w14:paraId="09537F4C">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7</w:t>
            </w:r>
          </w:p>
        </w:tc>
        <w:tc>
          <w:tcPr>
            <w:tcW w:w="928" w:type="pct"/>
            <w:vAlign w:val="center"/>
          </w:tcPr>
          <w:p w14:paraId="48434597">
            <w:pPr>
              <w:spacing w:line="360" w:lineRule="auto"/>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项目预算</w:t>
            </w:r>
          </w:p>
        </w:tc>
        <w:tc>
          <w:tcPr>
            <w:tcW w:w="3690" w:type="pct"/>
            <w:vAlign w:val="center"/>
          </w:tcPr>
          <w:p w14:paraId="71351AF9">
            <w:pPr>
              <w:spacing w:line="360" w:lineRule="auto"/>
              <w:jc w:val="both"/>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本项目采购预算为：人民币贰拾柒万元整（¥270000.00元）</w:t>
            </w:r>
          </w:p>
        </w:tc>
      </w:tr>
      <w:tr w14:paraId="079B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380" w:type="pct"/>
            <w:vAlign w:val="center"/>
          </w:tcPr>
          <w:p w14:paraId="056DD17C">
            <w:pPr>
              <w:spacing w:line="360" w:lineRule="auto"/>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8</w:t>
            </w:r>
          </w:p>
        </w:tc>
        <w:tc>
          <w:tcPr>
            <w:tcW w:w="928" w:type="pct"/>
            <w:vAlign w:val="center"/>
          </w:tcPr>
          <w:p w14:paraId="6B8F24D7">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项目用途</w:t>
            </w:r>
          </w:p>
        </w:tc>
        <w:tc>
          <w:tcPr>
            <w:tcW w:w="3690" w:type="pct"/>
            <w:vAlign w:val="center"/>
          </w:tcPr>
          <w:p w14:paraId="2EF4A14B">
            <w:pPr>
              <w:spacing w:line="360" w:lineRule="auto"/>
              <w:jc w:val="both"/>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val="en-US" w:eastAsia="zh-CN"/>
              </w:rPr>
              <w:t>岚皋县中心城区导视标识系统规划设计</w:t>
            </w:r>
          </w:p>
        </w:tc>
      </w:tr>
      <w:tr w14:paraId="613A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380" w:type="pct"/>
            <w:shd w:val="clear" w:color="auto" w:fill="auto"/>
            <w:vAlign w:val="center"/>
          </w:tcPr>
          <w:p w14:paraId="3A500D92">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9</w:t>
            </w:r>
          </w:p>
        </w:tc>
        <w:tc>
          <w:tcPr>
            <w:tcW w:w="928" w:type="pct"/>
            <w:vAlign w:val="center"/>
          </w:tcPr>
          <w:p w14:paraId="35B5BF55">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采购内容和</w:t>
            </w:r>
          </w:p>
          <w:p w14:paraId="25475392">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要求</w:t>
            </w:r>
          </w:p>
        </w:tc>
        <w:tc>
          <w:tcPr>
            <w:tcW w:w="3690" w:type="pct"/>
            <w:vAlign w:val="center"/>
          </w:tcPr>
          <w:p w14:paraId="6B0A034F">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详见第五章</w:t>
            </w:r>
          </w:p>
        </w:tc>
      </w:tr>
      <w:tr w14:paraId="4C88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380" w:type="pct"/>
            <w:shd w:val="clear" w:color="auto" w:fill="auto"/>
            <w:vAlign w:val="center"/>
          </w:tcPr>
          <w:p w14:paraId="424F27A1">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10</w:t>
            </w:r>
          </w:p>
        </w:tc>
        <w:tc>
          <w:tcPr>
            <w:tcW w:w="928" w:type="pct"/>
            <w:vAlign w:val="center"/>
          </w:tcPr>
          <w:p w14:paraId="53C9EED6">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供应商</w:t>
            </w:r>
          </w:p>
        </w:tc>
        <w:tc>
          <w:tcPr>
            <w:tcW w:w="3690" w:type="pct"/>
            <w:vAlign w:val="center"/>
          </w:tcPr>
          <w:p w14:paraId="70655CBA">
            <w:pPr>
              <w:spacing w:line="360" w:lineRule="auto"/>
              <w:jc w:val="both"/>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响应</w:t>
            </w:r>
            <w:r>
              <w:rPr>
                <w:rFonts w:hint="eastAsia" w:ascii="黑体" w:hAnsi="黑体" w:eastAsia="黑体" w:cs="黑体"/>
                <w:color w:val="auto"/>
                <w:sz w:val="24"/>
                <w:szCs w:val="24"/>
                <w:highlight w:val="none"/>
                <w:lang w:val="en-US" w:eastAsia="zh-CN"/>
              </w:rPr>
              <w:fldChar w:fldCharType="begin"/>
            </w:r>
            <w:r>
              <w:rPr>
                <w:rFonts w:hint="eastAsia" w:ascii="黑体" w:hAnsi="黑体" w:eastAsia="黑体" w:cs="黑体"/>
                <w:color w:val="auto"/>
                <w:sz w:val="24"/>
                <w:szCs w:val="24"/>
                <w:highlight w:val="none"/>
                <w:lang w:val="en-US" w:eastAsia="zh-CN"/>
              </w:rPr>
              <w:instrText xml:space="preserve"> HYPERLINK "http://baike.baidu.com/view/8707.htm" \t "_blank" </w:instrText>
            </w:r>
            <w:r>
              <w:rPr>
                <w:rFonts w:hint="eastAsia" w:ascii="黑体" w:hAnsi="黑体" w:eastAsia="黑体" w:cs="黑体"/>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招标</w:t>
            </w:r>
            <w:r>
              <w:rPr>
                <w:rFonts w:hint="eastAsia" w:ascii="黑体" w:hAnsi="黑体" w:eastAsia="黑体" w:cs="黑体"/>
                <w:color w:val="auto"/>
                <w:sz w:val="24"/>
                <w:szCs w:val="24"/>
                <w:highlight w:val="none"/>
                <w:lang w:val="en-US" w:eastAsia="zh-CN"/>
              </w:rPr>
              <w:fldChar w:fldCharType="end"/>
            </w:r>
            <w:r>
              <w:rPr>
                <w:rFonts w:hint="eastAsia" w:ascii="黑体" w:hAnsi="黑体" w:eastAsia="黑体" w:cs="黑体"/>
                <w:color w:val="auto"/>
                <w:sz w:val="24"/>
                <w:szCs w:val="24"/>
                <w:highlight w:val="none"/>
                <w:lang w:val="en-US" w:eastAsia="zh-CN"/>
              </w:rPr>
              <w:t>并且符合磋商文件规定资格条件和参加投标竞争的法人或其他组织。</w:t>
            </w:r>
          </w:p>
        </w:tc>
      </w:tr>
      <w:tr w14:paraId="1D20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0" w:type="pct"/>
            <w:shd w:val="clear" w:color="auto" w:fill="auto"/>
            <w:vAlign w:val="center"/>
          </w:tcPr>
          <w:p w14:paraId="21270D22">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11</w:t>
            </w:r>
          </w:p>
        </w:tc>
        <w:tc>
          <w:tcPr>
            <w:tcW w:w="928" w:type="pct"/>
            <w:vAlign w:val="center"/>
          </w:tcPr>
          <w:p w14:paraId="6B02C7FE">
            <w:pPr>
              <w:spacing w:line="360" w:lineRule="auto"/>
              <w:jc w:val="center"/>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供应商资格</w:t>
            </w:r>
          </w:p>
          <w:p w14:paraId="510C7C14">
            <w:pPr>
              <w:spacing w:line="360" w:lineRule="auto"/>
              <w:jc w:val="center"/>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要求</w:t>
            </w:r>
          </w:p>
        </w:tc>
        <w:tc>
          <w:tcPr>
            <w:tcW w:w="3690" w:type="pct"/>
            <w:vAlign w:val="center"/>
          </w:tcPr>
          <w:p w14:paraId="1F24550F">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color w:val="auto"/>
                <w:sz w:val="24"/>
                <w:szCs w:val="24"/>
                <w:highlight w:val="none"/>
                <w:lang w:val="en-US" w:eastAsia="zh-CN"/>
              </w:rPr>
              <w:t>详见详见竞争性磋商公告</w:t>
            </w:r>
          </w:p>
        </w:tc>
      </w:tr>
      <w:tr w14:paraId="34CA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380" w:type="pct"/>
            <w:shd w:val="clear" w:color="auto" w:fill="auto"/>
            <w:vAlign w:val="center"/>
          </w:tcPr>
          <w:p w14:paraId="40CABE7D">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12</w:t>
            </w:r>
          </w:p>
        </w:tc>
        <w:tc>
          <w:tcPr>
            <w:tcW w:w="928" w:type="pct"/>
            <w:vAlign w:val="center"/>
          </w:tcPr>
          <w:p w14:paraId="684CC5C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服务期</w:t>
            </w:r>
          </w:p>
          <w:p w14:paraId="1BC2C9E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服务地点</w:t>
            </w:r>
          </w:p>
        </w:tc>
        <w:tc>
          <w:tcPr>
            <w:tcW w:w="3690" w:type="pct"/>
            <w:vAlign w:val="top"/>
          </w:tcPr>
          <w:p w14:paraId="7A001F76">
            <w:pPr>
              <w:keepNext w:val="0"/>
              <w:keepLines w:val="0"/>
              <w:pageBreakBefore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val="en-US" w:eastAsia="zh-CN"/>
              </w:rPr>
              <w:t>服务期</w:t>
            </w:r>
            <w:r>
              <w:rPr>
                <w:rFonts w:hint="eastAsia" w:ascii="黑体" w:hAnsi="黑体" w:eastAsia="黑体" w:cs="黑体"/>
                <w:b w:val="0"/>
                <w:bCs w:val="0"/>
                <w:color w:val="auto"/>
                <w:sz w:val="24"/>
                <w:szCs w:val="24"/>
                <w:highlight w:val="none"/>
              </w:rPr>
              <w:t>：</w:t>
            </w:r>
            <w:r>
              <w:rPr>
                <w:rFonts w:hint="eastAsia" w:ascii="黑体" w:hAnsi="黑体" w:eastAsia="黑体" w:cs="黑体"/>
                <w:sz w:val="24"/>
                <w:szCs w:val="24"/>
                <w:highlight w:val="none"/>
                <w:lang w:eastAsia="zh-CN"/>
              </w:rPr>
              <w:t>自合同签订之日起</w:t>
            </w:r>
            <w:r>
              <w:rPr>
                <w:rFonts w:hint="eastAsia" w:ascii="黑体" w:hAnsi="黑体" w:eastAsia="黑体" w:cs="黑体"/>
                <w:sz w:val="24"/>
                <w:szCs w:val="24"/>
                <w:highlight w:val="none"/>
                <w:lang w:val="en-US" w:eastAsia="zh-CN"/>
              </w:rPr>
              <w:t>90</w:t>
            </w:r>
            <w:r>
              <w:rPr>
                <w:rFonts w:hint="eastAsia" w:ascii="黑体" w:hAnsi="黑体" w:eastAsia="黑体" w:cs="黑体"/>
                <w:sz w:val="24"/>
                <w:szCs w:val="24"/>
                <w:highlight w:val="none"/>
                <w:lang w:eastAsia="zh-CN"/>
              </w:rPr>
              <w:t>天。</w:t>
            </w:r>
            <w:r>
              <w:rPr>
                <w:rFonts w:hint="eastAsia" w:ascii="黑体" w:hAnsi="黑体" w:eastAsia="黑体" w:cs="黑体"/>
                <w:b w:val="0"/>
                <w:bCs w:val="0"/>
                <w:color w:val="auto"/>
                <w:sz w:val="24"/>
                <w:szCs w:val="24"/>
                <w:highlight w:val="none"/>
              </w:rPr>
              <w:t xml:space="preserve"> </w:t>
            </w:r>
          </w:p>
          <w:p w14:paraId="31DCD0B0">
            <w:pPr>
              <w:keepNext w:val="0"/>
              <w:keepLines w:val="0"/>
              <w:pageBreakBefore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服务</w:t>
            </w:r>
            <w:r>
              <w:rPr>
                <w:rFonts w:hint="eastAsia" w:ascii="黑体" w:hAnsi="黑体" w:eastAsia="黑体" w:cs="黑体"/>
                <w:b w:val="0"/>
                <w:bCs w:val="0"/>
                <w:color w:val="auto"/>
                <w:sz w:val="24"/>
                <w:szCs w:val="24"/>
                <w:highlight w:val="none"/>
              </w:rPr>
              <w:t>地点：</w:t>
            </w:r>
            <w:r>
              <w:rPr>
                <w:rFonts w:hint="eastAsia" w:ascii="黑体" w:hAnsi="黑体" w:eastAsia="黑体" w:cs="黑体"/>
                <w:b w:val="0"/>
                <w:bCs w:val="0"/>
                <w:color w:val="auto"/>
                <w:sz w:val="24"/>
                <w:szCs w:val="24"/>
                <w:highlight w:val="none"/>
                <w:lang w:val="en-US" w:eastAsia="zh-CN"/>
              </w:rPr>
              <w:t>岚皋县（采购人指定地点）</w:t>
            </w:r>
            <w:r>
              <w:rPr>
                <w:rFonts w:hint="eastAsia" w:ascii="黑体" w:hAnsi="黑体" w:eastAsia="黑体" w:cs="黑体"/>
                <w:b w:val="0"/>
                <w:bCs w:val="0"/>
                <w:color w:val="auto"/>
                <w:sz w:val="24"/>
                <w:szCs w:val="24"/>
                <w:highlight w:val="none"/>
                <w:lang w:eastAsia="zh-CN"/>
              </w:rPr>
              <w:t>。</w:t>
            </w:r>
          </w:p>
        </w:tc>
      </w:tr>
      <w:tr w14:paraId="4721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380" w:type="pct"/>
            <w:shd w:val="clear" w:color="auto" w:fill="auto"/>
            <w:vAlign w:val="center"/>
          </w:tcPr>
          <w:p w14:paraId="5116526D">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13</w:t>
            </w:r>
          </w:p>
        </w:tc>
        <w:tc>
          <w:tcPr>
            <w:tcW w:w="928" w:type="pct"/>
            <w:vAlign w:val="center"/>
          </w:tcPr>
          <w:p w14:paraId="5480EBDB">
            <w:pPr>
              <w:spacing w:line="360" w:lineRule="auto"/>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磋商文件</w:t>
            </w:r>
            <w:r>
              <w:rPr>
                <w:rFonts w:hint="eastAsia" w:ascii="黑体" w:hAnsi="黑体" w:eastAsia="黑体" w:cs="黑体"/>
                <w:color w:val="auto"/>
                <w:sz w:val="24"/>
                <w:szCs w:val="24"/>
                <w:highlight w:val="none"/>
                <w:lang w:val="en-US" w:eastAsia="zh-CN"/>
              </w:rPr>
              <w:t>获取</w:t>
            </w:r>
          </w:p>
        </w:tc>
        <w:tc>
          <w:tcPr>
            <w:tcW w:w="3690" w:type="pct"/>
            <w:vAlign w:val="center"/>
          </w:tcPr>
          <w:p w14:paraId="7044C99E">
            <w:pPr>
              <w:pStyle w:val="55"/>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详见详见竞争性磋商公告</w:t>
            </w:r>
          </w:p>
        </w:tc>
      </w:tr>
      <w:tr w14:paraId="27D5D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380" w:type="pct"/>
            <w:shd w:val="clear" w:color="auto" w:fill="auto"/>
            <w:vAlign w:val="center"/>
          </w:tcPr>
          <w:p w14:paraId="47329C6E">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14</w:t>
            </w:r>
          </w:p>
        </w:tc>
        <w:tc>
          <w:tcPr>
            <w:tcW w:w="928" w:type="pct"/>
            <w:vAlign w:val="center"/>
          </w:tcPr>
          <w:p w14:paraId="35AAE228">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联合体投标</w:t>
            </w:r>
          </w:p>
        </w:tc>
        <w:tc>
          <w:tcPr>
            <w:tcW w:w="3690" w:type="pct"/>
            <w:vAlign w:val="center"/>
          </w:tcPr>
          <w:p w14:paraId="15DB7280">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不接受</w:t>
            </w:r>
          </w:p>
        </w:tc>
      </w:tr>
      <w:tr w14:paraId="23F0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380" w:type="pct"/>
            <w:shd w:val="clear" w:color="auto" w:fill="auto"/>
            <w:vAlign w:val="center"/>
          </w:tcPr>
          <w:p w14:paraId="3BBAD467">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15</w:t>
            </w:r>
          </w:p>
        </w:tc>
        <w:tc>
          <w:tcPr>
            <w:tcW w:w="928" w:type="pct"/>
            <w:vAlign w:val="center"/>
          </w:tcPr>
          <w:p w14:paraId="15D148B3">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现场勘查、标前答疑会</w:t>
            </w:r>
          </w:p>
        </w:tc>
        <w:tc>
          <w:tcPr>
            <w:tcW w:w="3690" w:type="pct"/>
            <w:vAlign w:val="center"/>
          </w:tcPr>
          <w:p w14:paraId="79345C1D">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不组织</w:t>
            </w:r>
          </w:p>
        </w:tc>
      </w:tr>
      <w:tr w14:paraId="2BE7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380" w:type="pct"/>
            <w:shd w:val="clear" w:color="auto" w:fill="auto"/>
            <w:vAlign w:val="center"/>
          </w:tcPr>
          <w:p w14:paraId="56598D70">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16</w:t>
            </w:r>
          </w:p>
        </w:tc>
        <w:tc>
          <w:tcPr>
            <w:tcW w:w="928" w:type="pct"/>
            <w:vAlign w:val="center"/>
          </w:tcPr>
          <w:p w14:paraId="0169607F">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供应商对竞争性磋商文件提出质疑的时间</w:t>
            </w:r>
          </w:p>
        </w:tc>
        <w:tc>
          <w:tcPr>
            <w:tcW w:w="3690" w:type="pct"/>
            <w:vAlign w:val="center"/>
          </w:tcPr>
          <w:p w14:paraId="765DBBE7">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供应商认为竞争性磋商文件使自己的权益受到损害的，在收到竞争性磋商文件之日起</w:t>
            </w:r>
            <w:r>
              <w:rPr>
                <w:rFonts w:hint="eastAsia" w:ascii="黑体" w:hAnsi="黑体" w:eastAsia="黑体" w:cs="黑体"/>
                <w:color w:val="auto"/>
                <w:sz w:val="24"/>
                <w:szCs w:val="24"/>
                <w:highlight w:val="none"/>
                <w:lang w:val="en-US" w:eastAsia="zh-CN"/>
              </w:rPr>
              <w:t>7个工作日</w:t>
            </w:r>
            <w:r>
              <w:rPr>
                <w:rFonts w:hint="eastAsia" w:ascii="黑体" w:hAnsi="黑体" w:eastAsia="黑体" w:cs="黑体"/>
                <w:color w:val="auto"/>
                <w:sz w:val="24"/>
                <w:szCs w:val="24"/>
                <w:highlight w:val="none"/>
              </w:rPr>
              <w:t>内，以书面形式向采购代理机构提出质疑，逾期提出的无效，因此带来的一切不利后果由供应商自负。</w:t>
            </w:r>
          </w:p>
        </w:tc>
      </w:tr>
      <w:tr w14:paraId="0D777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80" w:type="pct"/>
            <w:shd w:val="clear" w:color="auto" w:fill="auto"/>
            <w:vAlign w:val="center"/>
          </w:tcPr>
          <w:p w14:paraId="6633FF82">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17</w:t>
            </w:r>
          </w:p>
        </w:tc>
        <w:tc>
          <w:tcPr>
            <w:tcW w:w="928" w:type="pct"/>
            <w:vAlign w:val="center"/>
          </w:tcPr>
          <w:p w14:paraId="40BE143E">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构成竞争性磋商文件的其他文件</w:t>
            </w:r>
          </w:p>
        </w:tc>
        <w:tc>
          <w:tcPr>
            <w:tcW w:w="3690" w:type="pct"/>
            <w:vAlign w:val="center"/>
          </w:tcPr>
          <w:p w14:paraId="7380A8CE">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竞争性磋商文件的澄清、修改书及有关补充通知为竞争性磋商文件的有效组成部分。</w:t>
            </w:r>
          </w:p>
        </w:tc>
      </w:tr>
      <w:tr w14:paraId="0182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380" w:type="pct"/>
            <w:shd w:val="clear" w:color="auto" w:fill="auto"/>
            <w:vAlign w:val="center"/>
          </w:tcPr>
          <w:p w14:paraId="0D9567D9">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18</w:t>
            </w:r>
          </w:p>
        </w:tc>
        <w:tc>
          <w:tcPr>
            <w:tcW w:w="928" w:type="pct"/>
            <w:shd w:val="clear" w:color="auto" w:fill="auto"/>
            <w:vAlign w:val="center"/>
          </w:tcPr>
          <w:p w14:paraId="5232FD87">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盖章签字</w:t>
            </w:r>
          </w:p>
        </w:tc>
        <w:tc>
          <w:tcPr>
            <w:tcW w:w="3690" w:type="pct"/>
            <w:shd w:val="clear" w:color="auto" w:fill="auto"/>
            <w:vAlign w:val="center"/>
          </w:tcPr>
          <w:p w14:paraId="02F9924E">
            <w:pPr>
              <w:tabs>
                <w:tab w:val="left" w:pos="7013"/>
              </w:tabs>
              <w:spacing w:line="360" w:lineRule="auto"/>
              <w:rPr>
                <w:rFonts w:hint="eastAsia" w:ascii="黑体" w:hAnsi="黑体" w:eastAsia="黑体" w:cs="黑体"/>
                <w:b/>
                <w:color w:val="auto"/>
                <w:kern w:val="2"/>
                <w:sz w:val="24"/>
                <w:szCs w:val="24"/>
                <w:highlight w:val="none"/>
                <w:lang w:val="en-US" w:eastAsia="zh-CN" w:bidi="ar-SA"/>
              </w:rPr>
            </w:pPr>
            <w:r>
              <w:rPr>
                <w:rFonts w:hint="eastAsia" w:ascii="黑体" w:hAnsi="黑体" w:eastAsia="黑体" w:cs="黑体"/>
                <w:color w:val="auto"/>
                <w:sz w:val="24"/>
                <w:szCs w:val="24"/>
                <w:highlight w:val="none"/>
              </w:rPr>
              <w:t>供应商必须按照</w:t>
            </w:r>
            <w:r>
              <w:rPr>
                <w:rFonts w:hint="eastAsia" w:ascii="黑体" w:hAnsi="黑体" w:eastAsia="黑体" w:cs="黑体"/>
                <w:color w:val="auto"/>
                <w:sz w:val="24"/>
                <w:szCs w:val="24"/>
                <w:highlight w:val="none"/>
                <w:lang w:val="en-US" w:eastAsia="zh-CN"/>
              </w:rPr>
              <w:t>竞争性磋商</w:t>
            </w:r>
            <w:r>
              <w:rPr>
                <w:rFonts w:hint="eastAsia" w:ascii="黑体" w:hAnsi="黑体" w:eastAsia="黑体" w:cs="黑体"/>
                <w:color w:val="auto"/>
                <w:sz w:val="24"/>
                <w:szCs w:val="24"/>
                <w:highlight w:val="none"/>
              </w:rPr>
              <w:t>文件的规定和要求由法定代表人或被授权人签字（或盖章），并</w:t>
            </w:r>
            <w:r>
              <w:rPr>
                <w:rFonts w:hint="eastAsia" w:ascii="黑体" w:hAnsi="黑体" w:eastAsia="黑体" w:cs="黑体"/>
                <w:color w:val="auto"/>
                <w:sz w:val="24"/>
                <w:szCs w:val="24"/>
                <w:highlight w:val="none"/>
                <w:lang w:val="en-US" w:eastAsia="zh-CN"/>
              </w:rPr>
              <w:t>逐页</w:t>
            </w:r>
            <w:r>
              <w:rPr>
                <w:rFonts w:hint="eastAsia" w:ascii="黑体" w:hAnsi="黑体" w:eastAsia="黑体" w:cs="黑体"/>
                <w:color w:val="auto"/>
                <w:sz w:val="24"/>
                <w:szCs w:val="24"/>
                <w:highlight w:val="none"/>
              </w:rPr>
              <w:t>加盖供应商公章。</w:t>
            </w:r>
          </w:p>
        </w:tc>
      </w:tr>
      <w:tr w14:paraId="7F8D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380" w:type="pct"/>
            <w:shd w:val="clear" w:color="auto" w:fill="auto"/>
            <w:vAlign w:val="center"/>
          </w:tcPr>
          <w:p w14:paraId="0C26F0A9">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19</w:t>
            </w:r>
          </w:p>
        </w:tc>
        <w:tc>
          <w:tcPr>
            <w:tcW w:w="928" w:type="pct"/>
            <w:shd w:val="clear" w:color="auto" w:fill="auto"/>
            <w:vAlign w:val="center"/>
          </w:tcPr>
          <w:p w14:paraId="45A7AC07">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eastAsia="zh-CN"/>
              </w:rPr>
              <w:t>响应文件</w:t>
            </w:r>
            <w:r>
              <w:rPr>
                <w:rFonts w:hint="eastAsia" w:ascii="黑体" w:hAnsi="黑体" w:eastAsia="黑体" w:cs="黑体"/>
                <w:color w:val="auto"/>
                <w:sz w:val="24"/>
                <w:szCs w:val="24"/>
                <w:highlight w:val="none"/>
              </w:rPr>
              <w:t>数量、装订</w:t>
            </w:r>
          </w:p>
        </w:tc>
        <w:tc>
          <w:tcPr>
            <w:tcW w:w="3690" w:type="pct"/>
            <w:shd w:val="clear" w:color="auto" w:fill="auto"/>
            <w:vAlign w:val="center"/>
          </w:tcPr>
          <w:p w14:paraId="655A0855">
            <w:pPr>
              <w:pStyle w:val="11"/>
              <w:spacing w:line="360" w:lineRule="auto"/>
              <w:ind w:firstLine="0" w:firstLineChars="0"/>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b/>
                <w:color w:val="auto"/>
                <w:sz w:val="24"/>
                <w:szCs w:val="24"/>
                <w:highlight w:val="none"/>
              </w:rPr>
              <w:t>响应文件一正</w:t>
            </w:r>
            <w:r>
              <w:rPr>
                <w:rFonts w:hint="eastAsia" w:ascii="黑体" w:hAnsi="黑体" w:eastAsia="黑体" w:cs="黑体"/>
                <w:b/>
                <w:color w:val="auto"/>
                <w:sz w:val="24"/>
                <w:szCs w:val="24"/>
                <w:highlight w:val="none"/>
                <w:lang w:val="en-US" w:eastAsia="zh-CN"/>
              </w:rPr>
              <w:t>二</w:t>
            </w:r>
            <w:r>
              <w:rPr>
                <w:rFonts w:hint="eastAsia" w:ascii="黑体" w:hAnsi="黑体" w:eastAsia="黑体" w:cs="黑体"/>
                <w:b/>
                <w:color w:val="auto"/>
                <w:sz w:val="24"/>
                <w:szCs w:val="24"/>
                <w:highlight w:val="none"/>
              </w:rPr>
              <w:t>副，</w:t>
            </w:r>
            <w:r>
              <w:rPr>
                <w:rFonts w:hint="eastAsia" w:ascii="黑体" w:hAnsi="黑体" w:eastAsia="黑体" w:cs="黑体"/>
                <w:b/>
                <w:color w:val="auto"/>
                <w:sz w:val="24"/>
                <w:szCs w:val="24"/>
                <w:highlight w:val="none"/>
                <w:lang w:val="en-US" w:eastAsia="zh-CN"/>
              </w:rPr>
              <w:t>电子版U盘一份，</w:t>
            </w:r>
            <w:r>
              <w:rPr>
                <w:rFonts w:hint="eastAsia" w:ascii="黑体" w:hAnsi="黑体" w:eastAsia="黑体" w:cs="黑体"/>
                <w:b/>
                <w:color w:val="auto"/>
                <w:sz w:val="24"/>
                <w:szCs w:val="24"/>
                <w:highlight w:val="none"/>
                <w:lang w:eastAsia="zh-CN"/>
              </w:rPr>
              <w:t>供应商</w:t>
            </w:r>
            <w:r>
              <w:rPr>
                <w:rFonts w:hint="eastAsia" w:ascii="黑体" w:hAnsi="黑体" w:eastAsia="黑体" w:cs="黑体"/>
                <w:b/>
                <w:color w:val="auto"/>
                <w:sz w:val="24"/>
                <w:szCs w:val="24"/>
                <w:highlight w:val="none"/>
              </w:rPr>
              <w:t>应将响应文件正本单独密封在一个标袋中，所有副本单独密封在标袋中</w:t>
            </w:r>
            <w:r>
              <w:rPr>
                <w:rFonts w:hint="eastAsia" w:ascii="黑体" w:hAnsi="黑体" w:eastAsia="黑体" w:cs="黑体"/>
                <w:b/>
                <w:color w:val="auto"/>
                <w:sz w:val="24"/>
                <w:szCs w:val="24"/>
                <w:highlight w:val="none"/>
                <w:lang w:val="en-US" w:eastAsia="zh-CN"/>
              </w:rPr>
              <w:t>或密封在一个标袋中</w:t>
            </w:r>
            <w:r>
              <w:rPr>
                <w:rFonts w:hint="eastAsia" w:ascii="黑体" w:hAnsi="黑体" w:eastAsia="黑体" w:cs="黑体"/>
                <w:b/>
                <w:color w:val="auto"/>
                <w:sz w:val="24"/>
                <w:szCs w:val="24"/>
                <w:highlight w:val="none"/>
              </w:rPr>
              <w:t>，电子版放置“正本”标袋内（封袋不得有破损），在封袋上标明“正本”、“副本”字样，封袋正面要粘贴标识并加盖</w:t>
            </w:r>
            <w:r>
              <w:rPr>
                <w:rFonts w:hint="eastAsia" w:ascii="黑体" w:hAnsi="黑体" w:eastAsia="黑体" w:cs="黑体"/>
                <w:b/>
                <w:color w:val="auto"/>
                <w:sz w:val="24"/>
                <w:szCs w:val="24"/>
                <w:highlight w:val="none"/>
                <w:lang w:val="en-US" w:eastAsia="zh-CN"/>
              </w:rPr>
              <w:t>供应商</w:t>
            </w:r>
            <w:r>
              <w:rPr>
                <w:rFonts w:hint="eastAsia" w:ascii="黑体" w:hAnsi="黑体" w:eastAsia="黑体" w:cs="黑体"/>
                <w:b/>
                <w:color w:val="auto"/>
                <w:sz w:val="24"/>
                <w:szCs w:val="24"/>
                <w:highlight w:val="none"/>
              </w:rPr>
              <w:t>单位公章；响应文件正本中的法人授权书须为原件。</w:t>
            </w:r>
          </w:p>
        </w:tc>
      </w:tr>
      <w:tr w14:paraId="0C29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380" w:type="pct"/>
            <w:shd w:val="clear" w:color="auto" w:fill="auto"/>
            <w:vAlign w:val="center"/>
          </w:tcPr>
          <w:p w14:paraId="7DCA9A2E">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20</w:t>
            </w:r>
          </w:p>
        </w:tc>
        <w:tc>
          <w:tcPr>
            <w:tcW w:w="928" w:type="pct"/>
            <w:vAlign w:val="center"/>
          </w:tcPr>
          <w:p w14:paraId="77CC1AAA">
            <w:pPr>
              <w:pStyle w:val="55"/>
              <w:spacing w:line="360" w:lineRule="auto"/>
              <w:jc w:val="center"/>
              <w:rPr>
                <w:rFonts w:hint="eastAsia" w:ascii="黑体" w:hAnsi="黑体" w:eastAsia="黑体" w:cs="黑体"/>
                <w:b/>
                <w:bCs/>
                <w:color w:val="auto"/>
                <w:sz w:val="24"/>
                <w:szCs w:val="24"/>
                <w:highlight w:val="none"/>
                <w:u w:val="none"/>
              </w:rPr>
            </w:pPr>
            <w:r>
              <w:rPr>
                <w:rFonts w:hint="eastAsia" w:ascii="黑体" w:hAnsi="黑体" w:eastAsia="黑体" w:cs="黑体"/>
                <w:b w:val="0"/>
                <w:bCs w:val="0"/>
                <w:color w:val="auto"/>
                <w:sz w:val="24"/>
                <w:szCs w:val="24"/>
                <w:highlight w:val="none"/>
                <w:u w:val="none"/>
              </w:rPr>
              <w:t>响应文件提交截止时间、开标时间和地点</w:t>
            </w:r>
          </w:p>
        </w:tc>
        <w:tc>
          <w:tcPr>
            <w:tcW w:w="3690" w:type="pct"/>
            <w:vAlign w:val="center"/>
          </w:tcPr>
          <w:p w14:paraId="1D93C980">
            <w:pPr>
              <w:pStyle w:val="55"/>
              <w:spacing w:line="360" w:lineRule="auto"/>
              <w:jc w:val="both"/>
              <w:rPr>
                <w:rFonts w:hint="eastAsia" w:ascii="黑体" w:hAnsi="黑体" w:eastAsia="黑体" w:cs="黑体"/>
                <w:b/>
                <w:bCs/>
                <w:color w:val="auto"/>
                <w:sz w:val="24"/>
                <w:szCs w:val="24"/>
                <w:highlight w:val="none"/>
                <w:u w:val="none"/>
                <w:lang w:val="en-US"/>
              </w:rPr>
            </w:pPr>
            <w:r>
              <w:rPr>
                <w:rFonts w:hint="eastAsia" w:ascii="黑体" w:hAnsi="黑体" w:eastAsia="黑体" w:cs="黑体"/>
                <w:color w:val="auto"/>
                <w:sz w:val="24"/>
                <w:szCs w:val="24"/>
                <w:highlight w:val="none"/>
                <w:lang w:val="en-US" w:eastAsia="zh-CN"/>
              </w:rPr>
              <w:t>详见详见竞争性磋商公告</w:t>
            </w:r>
          </w:p>
        </w:tc>
      </w:tr>
      <w:tr w14:paraId="10EE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80" w:type="pct"/>
            <w:shd w:val="clear" w:color="auto" w:fill="auto"/>
            <w:vAlign w:val="center"/>
          </w:tcPr>
          <w:p w14:paraId="0C9C9B90">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val="en-US" w:eastAsia="zh-CN"/>
              </w:rPr>
              <w:t>21</w:t>
            </w:r>
          </w:p>
        </w:tc>
        <w:tc>
          <w:tcPr>
            <w:tcW w:w="928" w:type="pct"/>
            <w:vAlign w:val="center"/>
          </w:tcPr>
          <w:p w14:paraId="6E3E64E4">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投标有效期</w:t>
            </w:r>
          </w:p>
        </w:tc>
        <w:tc>
          <w:tcPr>
            <w:tcW w:w="3690" w:type="pct"/>
            <w:vAlign w:val="center"/>
          </w:tcPr>
          <w:p w14:paraId="601EA63A">
            <w:pPr>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自提交响应文件的截止之日起90个日历日</w:t>
            </w:r>
          </w:p>
        </w:tc>
      </w:tr>
      <w:tr w14:paraId="28B1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380" w:type="pct"/>
            <w:shd w:val="clear" w:color="auto" w:fill="auto"/>
            <w:vAlign w:val="center"/>
          </w:tcPr>
          <w:p w14:paraId="3469B057">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22</w:t>
            </w:r>
          </w:p>
        </w:tc>
        <w:tc>
          <w:tcPr>
            <w:tcW w:w="928" w:type="pct"/>
            <w:vAlign w:val="center"/>
          </w:tcPr>
          <w:p w14:paraId="6FDAD959">
            <w:pPr>
              <w:spacing w:line="360" w:lineRule="auto"/>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代理费</w:t>
            </w:r>
          </w:p>
          <w:p w14:paraId="6DBC0067">
            <w:pPr>
              <w:spacing w:line="360" w:lineRule="auto"/>
              <w:jc w:val="center"/>
              <w:rPr>
                <w:rFonts w:hint="eastAsia" w:ascii="黑体" w:hAnsi="黑体" w:eastAsia="黑体" w:cs="黑体"/>
                <w:color w:val="auto"/>
                <w:sz w:val="24"/>
                <w:szCs w:val="24"/>
                <w:highlight w:val="none"/>
              </w:rPr>
            </w:pPr>
          </w:p>
        </w:tc>
        <w:tc>
          <w:tcPr>
            <w:tcW w:w="3690" w:type="pct"/>
            <w:vAlign w:val="center"/>
          </w:tcPr>
          <w:p w14:paraId="2D7A4D0E">
            <w:pPr>
              <w:pStyle w:val="54"/>
              <w:spacing w:line="360" w:lineRule="auto"/>
              <w:ind w:firstLine="0" w:firstLineChars="0"/>
              <w:jc w:val="both"/>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1</w:t>
            </w:r>
            <w:r>
              <w:rPr>
                <w:rFonts w:hint="eastAsia" w:ascii="黑体" w:hAnsi="黑体" w:eastAsia="黑体" w:cs="黑体"/>
                <w:b w:val="0"/>
                <w:bCs/>
                <w:color w:val="auto"/>
                <w:sz w:val="24"/>
                <w:szCs w:val="24"/>
                <w:highlight w:val="none"/>
                <w:lang w:eastAsia="zh-CN"/>
              </w:rPr>
              <w:t>、</w:t>
            </w:r>
            <w:r>
              <w:rPr>
                <w:rFonts w:hint="eastAsia" w:ascii="黑体" w:hAnsi="黑体" w:eastAsia="黑体" w:cs="黑体"/>
                <w:b w:val="0"/>
                <w:bCs/>
                <w:color w:val="auto"/>
                <w:sz w:val="24"/>
                <w:szCs w:val="24"/>
                <w:highlight w:val="none"/>
              </w:rPr>
              <w:t>开户行名称：</w:t>
            </w:r>
            <w:r>
              <w:rPr>
                <w:rFonts w:hint="eastAsia" w:ascii="黑体" w:hAnsi="黑体" w:eastAsia="黑体" w:cs="黑体"/>
                <w:b w:val="0"/>
                <w:bCs/>
                <w:color w:val="auto"/>
                <w:sz w:val="24"/>
                <w:szCs w:val="24"/>
                <w:highlight w:val="none"/>
                <w:lang w:val="en-US" w:eastAsia="zh-CN"/>
              </w:rPr>
              <w:t xml:space="preserve"> 中恭鸿建项目管理有限公司安康分公司</w:t>
            </w:r>
          </w:p>
          <w:p w14:paraId="63C80781">
            <w:pPr>
              <w:pStyle w:val="54"/>
              <w:spacing w:line="360" w:lineRule="auto"/>
              <w:ind w:firstLine="0" w:firstLineChars="0"/>
              <w:jc w:val="both"/>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rPr>
              <w:t>2、开  户  行：</w:t>
            </w:r>
            <w:r>
              <w:rPr>
                <w:rFonts w:hint="eastAsia" w:ascii="黑体" w:hAnsi="黑体" w:eastAsia="黑体" w:cs="黑体"/>
                <w:b w:val="0"/>
                <w:bCs/>
                <w:color w:val="auto"/>
                <w:sz w:val="24"/>
                <w:szCs w:val="24"/>
                <w:highlight w:val="none"/>
                <w:lang w:val="en-US" w:eastAsia="zh-CN"/>
              </w:rPr>
              <w:t xml:space="preserve"> 中国建设银行股份有限公司安康分行营业部</w:t>
            </w:r>
          </w:p>
          <w:p w14:paraId="3421D0DA">
            <w:pPr>
              <w:pStyle w:val="54"/>
              <w:spacing w:line="360" w:lineRule="auto"/>
              <w:ind w:firstLine="0" w:firstLineChars="0"/>
              <w:jc w:val="both"/>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rPr>
              <w:t>3</w:t>
            </w:r>
            <w:r>
              <w:rPr>
                <w:rFonts w:hint="eastAsia" w:ascii="黑体" w:hAnsi="黑体" w:eastAsia="黑体" w:cs="黑体"/>
                <w:b w:val="0"/>
                <w:bCs/>
                <w:color w:val="auto"/>
                <w:sz w:val="24"/>
                <w:szCs w:val="24"/>
                <w:highlight w:val="none"/>
                <w:lang w:eastAsia="zh-CN"/>
              </w:rPr>
              <w:t>、</w:t>
            </w:r>
            <w:r>
              <w:rPr>
                <w:rFonts w:hint="eastAsia" w:ascii="黑体" w:hAnsi="黑体" w:eastAsia="黑体" w:cs="黑体"/>
                <w:b w:val="0"/>
                <w:bCs/>
                <w:color w:val="auto"/>
                <w:sz w:val="24"/>
                <w:szCs w:val="24"/>
                <w:highlight w:val="none"/>
              </w:rPr>
              <w:t>帐</w:t>
            </w:r>
            <w:r>
              <w:rPr>
                <w:rFonts w:hint="eastAsia" w:ascii="黑体" w:hAnsi="黑体" w:eastAsia="黑体" w:cs="黑体"/>
                <w:b w:val="0"/>
                <w:bCs/>
                <w:color w:val="auto"/>
                <w:sz w:val="24"/>
                <w:szCs w:val="24"/>
                <w:highlight w:val="none"/>
                <w:lang w:val="en-US" w:eastAsia="zh-CN"/>
              </w:rPr>
              <w:t xml:space="preserve">      </w:t>
            </w:r>
            <w:r>
              <w:rPr>
                <w:rFonts w:hint="eastAsia" w:ascii="黑体" w:hAnsi="黑体" w:eastAsia="黑体" w:cs="黑体"/>
                <w:b w:val="0"/>
                <w:bCs/>
                <w:color w:val="auto"/>
                <w:sz w:val="24"/>
                <w:szCs w:val="24"/>
                <w:highlight w:val="none"/>
              </w:rPr>
              <w:t>号：</w:t>
            </w:r>
            <w:r>
              <w:rPr>
                <w:rFonts w:hint="eastAsia" w:ascii="黑体" w:hAnsi="黑体" w:eastAsia="黑体" w:cs="黑体"/>
                <w:b w:val="0"/>
                <w:bCs/>
                <w:color w:val="auto"/>
                <w:sz w:val="24"/>
                <w:szCs w:val="24"/>
                <w:highlight w:val="none"/>
                <w:lang w:val="en-US" w:eastAsia="zh-CN"/>
              </w:rPr>
              <w:t xml:space="preserve"> :61050166371100001864</w:t>
            </w:r>
          </w:p>
          <w:p w14:paraId="5987BAEE">
            <w:pPr>
              <w:pStyle w:val="54"/>
              <w:spacing w:line="360" w:lineRule="auto"/>
              <w:ind w:firstLine="0" w:firstLineChars="0"/>
              <w:jc w:val="both"/>
              <w:rPr>
                <w:rFonts w:hint="eastAsia" w:ascii="黑体" w:hAnsi="黑体" w:eastAsia="黑体" w:cs="黑体"/>
                <w:b/>
                <w:color w:val="auto"/>
                <w:sz w:val="24"/>
                <w:szCs w:val="24"/>
                <w:highlight w:val="none"/>
                <w:lang w:val="en-US"/>
              </w:rPr>
            </w:pPr>
            <w:r>
              <w:rPr>
                <w:rFonts w:hint="eastAsia" w:ascii="黑体" w:hAnsi="黑体" w:eastAsia="黑体" w:cs="黑体"/>
                <w:b w:val="0"/>
                <w:bCs/>
                <w:color w:val="auto"/>
                <w:sz w:val="24"/>
                <w:szCs w:val="24"/>
                <w:highlight w:val="none"/>
                <w:lang w:val="en-US" w:eastAsia="zh-CN"/>
              </w:rPr>
              <w:t>注:</w:t>
            </w:r>
            <w:r>
              <w:rPr>
                <w:rFonts w:hint="eastAsia" w:ascii="黑体" w:hAnsi="黑体" w:eastAsia="黑体" w:cs="黑体"/>
                <w:b w:val="0"/>
                <w:bCs/>
                <w:color w:val="auto"/>
                <w:sz w:val="24"/>
                <w:szCs w:val="24"/>
                <w:highlight w:val="none"/>
              </w:rPr>
              <w:t>转账事由：******项目</w:t>
            </w:r>
            <w:r>
              <w:rPr>
                <w:rFonts w:hint="eastAsia" w:ascii="黑体" w:hAnsi="黑体" w:eastAsia="黑体" w:cs="黑体"/>
                <w:b w:val="0"/>
                <w:bCs/>
                <w:color w:val="auto"/>
                <w:sz w:val="24"/>
                <w:szCs w:val="24"/>
                <w:highlight w:val="none"/>
                <w:lang w:eastAsia="zh-CN"/>
              </w:rPr>
              <w:t>代理服务费（</w:t>
            </w:r>
            <w:r>
              <w:rPr>
                <w:rFonts w:hint="eastAsia" w:ascii="黑体" w:hAnsi="黑体" w:eastAsia="黑体" w:cs="黑体"/>
                <w:b w:val="0"/>
                <w:bCs/>
                <w:color w:val="auto"/>
                <w:sz w:val="24"/>
                <w:szCs w:val="24"/>
                <w:highlight w:val="none"/>
                <w:lang w:val="en-US" w:eastAsia="zh-CN"/>
              </w:rPr>
              <w:t>银行转账附言字数限制可简写但得清晰明了</w:t>
            </w:r>
            <w:r>
              <w:rPr>
                <w:rFonts w:hint="eastAsia" w:ascii="黑体" w:hAnsi="黑体" w:eastAsia="黑体" w:cs="黑体"/>
                <w:b w:val="0"/>
                <w:bCs/>
                <w:color w:val="auto"/>
                <w:sz w:val="24"/>
                <w:szCs w:val="24"/>
                <w:highlight w:val="none"/>
                <w:lang w:eastAsia="zh-CN"/>
              </w:rPr>
              <w:t>）</w:t>
            </w:r>
            <w:r>
              <w:rPr>
                <w:rFonts w:hint="eastAsia" w:ascii="黑体" w:hAnsi="黑体" w:eastAsia="黑体" w:cs="黑体"/>
                <w:b w:val="0"/>
                <w:bCs/>
                <w:color w:val="auto"/>
                <w:sz w:val="24"/>
                <w:szCs w:val="24"/>
                <w:highlight w:val="none"/>
              </w:rPr>
              <w:t>。</w:t>
            </w:r>
          </w:p>
        </w:tc>
      </w:tr>
      <w:tr w14:paraId="3BD3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0" w:type="pct"/>
            <w:shd w:val="clear" w:color="auto" w:fill="auto"/>
            <w:vAlign w:val="center"/>
          </w:tcPr>
          <w:p w14:paraId="32792A37">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23</w:t>
            </w:r>
          </w:p>
        </w:tc>
        <w:tc>
          <w:tcPr>
            <w:tcW w:w="928" w:type="pct"/>
            <w:vAlign w:val="center"/>
          </w:tcPr>
          <w:p w14:paraId="284667D0">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备选投标方案</w:t>
            </w:r>
          </w:p>
          <w:p w14:paraId="6E9194DE">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和报价</w:t>
            </w:r>
          </w:p>
        </w:tc>
        <w:tc>
          <w:tcPr>
            <w:tcW w:w="3690" w:type="pct"/>
            <w:vAlign w:val="center"/>
          </w:tcPr>
          <w:p w14:paraId="089B33C7">
            <w:pPr>
              <w:tabs>
                <w:tab w:val="left" w:pos="7013"/>
              </w:tabs>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不接受备选投标方案和多个报价。</w:t>
            </w:r>
          </w:p>
        </w:tc>
      </w:tr>
      <w:tr w14:paraId="05CC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380" w:type="pct"/>
            <w:shd w:val="clear" w:color="auto" w:fill="auto"/>
            <w:vAlign w:val="center"/>
          </w:tcPr>
          <w:p w14:paraId="7DB69009">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24</w:t>
            </w:r>
          </w:p>
        </w:tc>
        <w:tc>
          <w:tcPr>
            <w:tcW w:w="928" w:type="pct"/>
            <w:vAlign w:val="center"/>
          </w:tcPr>
          <w:p w14:paraId="2DBD091D">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盖章签字</w:t>
            </w:r>
          </w:p>
        </w:tc>
        <w:tc>
          <w:tcPr>
            <w:tcW w:w="3690" w:type="pct"/>
            <w:vAlign w:val="center"/>
          </w:tcPr>
          <w:p w14:paraId="6644E06E">
            <w:pPr>
              <w:tabs>
                <w:tab w:val="left" w:pos="7013"/>
              </w:tabs>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供应商必须按照磋商文件的规定和要求</w:t>
            </w:r>
            <w:bookmarkStart w:id="15" w:name="OLE_LINK5"/>
            <w:r>
              <w:rPr>
                <w:rFonts w:hint="eastAsia" w:ascii="黑体" w:hAnsi="黑体" w:eastAsia="黑体" w:cs="黑体"/>
                <w:color w:val="auto"/>
                <w:sz w:val="24"/>
                <w:szCs w:val="24"/>
                <w:highlight w:val="none"/>
              </w:rPr>
              <w:t>由法定代表人或被授权人签字（或盖章），并加盖供应商公章。</w:t>
            </w:r>
            <w:bookmarkEnd w:id="15"/>
          </w:p>
        </w:tc>
      </w:tr>
      <w:tr w14:paraId="545B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380" w:type="pct"/>
            <w:shd w:val="clear" w:color="auto" w:fill="auto"/>
            <w:vAlign w:val="center"/>
          </w:tcPr>
          <w:p w14:paraId="6F9763CD">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25</w:t>
            </w:r>
          </w:p>
        </w:tc>
        <w:tc>
          <w:tcPr>
            <w:tcW w:w="928" w:type="pct"/>
            <w:vAlign w:val="center"/>
          </w:tcPr>
          <w:p w14:paraId="4A1FF9A8">
            <w:pPr>
              <w:tabs>
                <w:tab w:val="left" w:pos="7013"/>
              </w:tabs>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投标报价</w:t>
            </w:r>
          </w:p>
        </w:tc>
        <w:tc>
          <w:tcPr>
            <w:tcW w:w="3690" w:type="pct"/>
            <w:vAlign w:val="center"/>
          </w:tcPr>
          <w:p w14:paraId="3E34DD36">
            <w:pPr>
              <w:pStyle w:val="55"/>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报价应包括但不限于：</w:t>
            </w:r>
            <w:r>
              <w:rPr>
                <w:rFonts w:hint="eastAsia" w:ascii="黑体" w:hAnsi="黑体" w:eastAsia="黑体" w:cs="黑体"/>
                <w:color w:val="auto"/>
                <w:sz w:val="24"/>
                <w:szCs w:val="24"/>
                <w:highlight w:val="none"/>
                <w:lang w:eastAsia="zh-CN"/>
              </w:rPr>
              <w:t>本项目</w:t>
            </w:r>
            <w:r>
              <w:rPr>
                <w:rFonts w:hint="eastAsia" w:ascii="黑体" w:hAnsi="黑体" w:eastAsia="黑体" w:cs="黑体"/>
                <w:color w:val="auto"/>
                <w:sz w:val="24"/>
                <w:szCs w:val="24"/>
                <w:highlight w:val="none"/>
              </w:rPr>
              <w:t>的工作以及相关的义务，直到项目全部完毕的全阶段的所有费用。一旦成交，投标报价将不会因国家政策调整及市场变化因素而得到调整。</w:t>
            </w:r>
          </w:p>
        </w:tc>
      </w:tr>
      <w:tr w14:paraId="418F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380" w:type="pct"/>
            <w:shd w:val="clear" w:color="auto" w:fill="auto"/>
            <w:vAlign w:val="center"/>
          </w:tcPr>
          <w:p w14:paraId="4666B0D6">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26</w:t>
            </w:r>
          </w:p>
        </w:tc>
        <w:tc>
          <w:tcPr>
            <w:tcW w:w="928" w:type="pct"/>
            <w:vAlign w:val="center"/>
          </w:tcPr>
          <w:p w14:paraId="51468CA7">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评标办法及</w:t>
            </w:r>
            <w:r>
              <w:rPr>
                <w:rFonts w:hint="eastAsia" w:ascii="黑体" w:hAnsi="黑体" w:eastAsia="黑体" w:cs="黑体"/>
                <w:color w:val="auto"/>
                <w:sz w:val="24"/>
                <w:szCs w:val="24"/>
                <w:highlight w:val="none"/>
                <w:lang w:val="en-US" w:eastAsia="zh-CN"/>
              </w:rPr>
              <w:t xml:space="preserve"> </w:t>
            </w:r>
            <w:r>
              <w:rPr>
                <w:rFonts w:hint="eastAsia" w:ascii="黑体" w:hAnsi="黑体" w:eastAsia="黑体" w:cs="黑体"/>
                <w:color w:val="auto"/>
                <w:sz w:val="24"/>
                <w:szCs w:val="24"/>
                <w:highlight w:val="none"/>
              </w:rPr>
              <w:t>标准</w:t>
            </w:r>
          </w:p>
        </w:tc>
        <w:tc>
          <w:tcPr>
            <w:tcW w:w="3690" w:type="pct"/>
            <w:vAlign w:val="center"/>
          </w:tcPr>
          <w:p w14:paraId="3A0F5863">
            <w:pPr>
              <w:pStyle w:val="55"/>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详见本章第（七）项评分内容和评分方式。</w:t>
            </w:r>
          </w:p>
        </w:tc>
      </w:tr>
      <w:tr w14:paraId="3514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8" w:hRule="atLeast"/>
        </w:trPr>
        <w:tc>
          <w:tcPr>
            <w:tcW w:w="380" w:type="pct"/>
            <w:shd w:val="clear" w:color="auto" w:fill="auto"/>
            <w:vAlign w:val="center"/>
          </w:tcPr>
          <w:p w14:paraId="2D8AEAFC">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rPr>
              <w:t>27</w:t>
            </w:r>
          </w:p>
        </w:tc>
        <w:tc>
          <w:tcPr>
            <w:tcW w:w="928" w:type="pct"/>
            <w:vAlign w:val="center"/>
          </w:tcPr>
          <w:p w14:paraId="3B6777FA">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其它事项</w:t>
            </w:r>
          </w:p>
        </w:tc>
        <w:tc>
          <w:tcPr>
            <w:tcW w:w="3690" w:type="pct"/>
            <w:vAlign w:val="center"/>
          </w:tcPr>
          <w:p w14:paraId="1A451693">
            <w:pPr>
              <w:adjustRightInd w:val="0"/>
              <w:snapToGrid w:val="0"/>
              <w:spacing w:line="360" w:lineRule="auto"/>
              <w:jc w:val="both"/>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本次采购、投标报价、评审和合同授予均以项目为单位，投标供应商必须就一个完整项目进行响应。成交供应商与采购人在成交通知书发出</w:t>
            </w:r>
            <w:r>
              <w:rPr>
                <w:rFonts w:hint="eastAsia" w:ascii="黑体" w:hAnsi="黑体" w:eastAsia="黑体" w:cs="黑体"/>
                <w:color w:val="auto"/>
                <w:sz w:val="24"/>
                <w:szCs w:val="24"/>
                <w:highlight w:val="none"/>
                <w:lang w:val="en-US" w:eastAsia="zh-CN"/>
              </w:rPr>
              <w:t>25</w:t>
            </w:r>
            <w:r>
              <w:rPr>
                <w:rFonts w:hint="eastAsia" w:ascii="黑体" w:hAnsi="黑体" w:eastAsia="黑体" w:cs="黑体"/>
                <w:color w:val="auto"/>
                <w:sz w:val="24"/>
                <w:szCs w:val="24"/>
                <w:highlight w:val="none"/>
              </w:rPr>
              <w:t>天内签订合同，不及时签订视为自动放弃。非经采购人同意，本项目不允许成交后另行转包或者分包。成交人无正当理由不得放弃中标。因自身原因拒绝签订政府采购合同的或者未按合同约定进行履约的，成交人不得参加对该项目重新开展的招标活动。</w:t>
            </w:r>
          </w:p>
        </w:tc>
      </w:tr>
      <w:tr w14:paraId="78C3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380" w:type="pct"/>
            <w:shd w:val="clear" w:color="auto" w:fill="auto"/>
            <w:vAlign w:val="center"/>
          </w:tcPr>
          <w:p w14:paraId="1B791B01">
            <w:pPr>
              <w:spacing w:line="36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val="en-US" w:eastAsia="zh-CN"/>
              </w:rPr>
              <w:t>28</w:t>
            </w:r>
          </w:p>
        </w:tc>
        <w:tc>
          <w:tcPr>
            <w:tcW w:w="928" w:type="pct"/>
            <w:vAlign w:val="center"/>
          </w:tcPr>
          <w:p w14:paraId="69678DD4">
            <w:pPr>
              <w:spacing w:line="360" w:lineRule="auto"/>
              <w:jc w:val="cente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所属行业</w:t>
            </w:r>
          </w:p>
        </w:tc>
        <w:tc>
          <w:tcPr>
            <w:tcW w:w="3690" w:type="pct"/>
            <w:vAlign w:val="center"/>
          </w:tcPr>
          <w:p w14:paraId="7F4B8F80">
            <w:pPr>
              <w:spacing w:line="360" w:lineRule="auto"/>
              <w:jc w:val="left"/>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lang w:val="en-US" w:eastAsia="zh-CN"/>
              </w:rPr>
              <w:t>其他未列明行业</w:t>
            </w:r>
          </w:p>
        </w:tc>
      </w:tr>
    </w:tbl>
    <w:p w14:paraId="4B330412">
      <w:pPr>
        <w:pStyle w:val="16"/>
        <w:widowControl/>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本项目招标依据《中华人民共和国政府采购法》等有关法律法规及规定。</w:t>
      </w:r>
    </w:p>
    <w:p w14:paraId="6A671503">
      <w:pPr>
        <w:pStyle w:val="2"/>
        <w:numPr>
          <w:ilvl w:val="0"/>
          <w:numId w:val="3"/>
        </w:numPr>
        <w:tabs>
          <w:tab w:val="left" w:pos="1202"/>
        </w:tabs>
        <w:topLinePunct w:val="0"/>
        <w:ind w:left="0" w:leftChars="0" w:firstLine="480" w:firstLineChars="200"/>
        <w:rPr>
          <w:b/>
          <w:highlight w:val="none"/>
        </w:rPr>
      </w:pPr>
      <w:r>
        <w:rPr>
          <w:highlight w:val="none"/>
        </w:rPr>
        <w:t>总则</w:t>
      </w:r>
    </w:p>
    <w:p w14:paraId="0E877A5F">
      <w:pPr>
        <w:pStyle w:val="3"/>
        <w:numPr>
          <w:ilvl w:val="0"/>
          <w:numId w:val="4"/>
        </w:numPr>
        <w:tabs>
          <w:tab w:val="left" w:pos="841"/>
        </w:tabs>
        <w:topLinePunct w:val="0"/>
        <w:ind w:left="0" w:leftChars="0" w:firstLine="480" w:firstLineChars="200"/>
        <w:rPr>
          <w:rFonts w:hint="eastAsia" w:ascii="宋体" w:hAnsi="宋体" w:eastAsia="宋体" w:cs="宋体"/>
          <w:b/>
          <w:highlight w:val="none"/>
        </w:rPr>
      </w:pPr>
      <w:r>
        <w:rPr>
          <w:highlight w:val="none"/>
        </w:rPr>
        <w:t>适用范围：本竞争性磋商文件仅适用于本项目的招标。</w:t>
      </w:r>
    </w:p>
    <w:p w14:paraId="1CB3237F">
      <w:pPr>
        <w:pStyle w:val="3"/>
        <w:numPr>
          <w:ilvl w:val="0"/>
          <w:numId w:val="4"/>
        </w:numPr>
        <w:tabs>
          <w:tab w:val="left" w:pos="841"/>
        </w:tabs>
        <w:topLinePunct w:val="0"/>
        <w:ind w:left="0" w:leftChars="0" w:firstLine="480" w:firstLineChars="200"/>
        <w:rPr>
          <w:rFonts w:hint="eastAsia" w:ascii="宋体" w:hAnsi="宋体" w:eastAsia="宋体" w:cs="宋体"/>
          <w:b/>
          <w:highlight w:val="none"/>
        </w:rPr>
      </w:pPr>
      <w:r>
        <w:rPr>
          <w:highlight w:val="none"/>
        </w:rPr>
        <w:t>名词解释：</w:t>
      </w:r>
    </w:p>
    <w:p w14:paraId="3A6B6027">
      <w:pPr>
        <w:pStyle w:val="16"/>
        <w:numPr>
          <w:ilvl w:val="0"/>
          <w:numId w:val="5"/>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采购人：岚皋县住房和城乡建设局</w:t>
      </w:r>
    </w:p>
    <w:p w14:paraId="3E9371FC">
      <w:pPr>
        <w:pStyle w:val="16"/>
        <w:numPr>
          <w:ilvl w:val="0"/>
          <w:numId w:val="5"/>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采购代理机构： 中恭鸿建项目管理有限公司</w:t>
      </w:r>
    </w:p>
    <w:p w14:paraId="510721B6">
      <w:pPr>
        <w:pStyle w:val="16"/>
        <w:numPr>
          <w:ilvl w:val="0"/>
          <w:numId w:val="5"/>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供应商：响应招标并且符合磋商文件规定资格条件和参加竞争的供应商</w:t>
      </w:r>
    </w:p>
    <w:p w14:paraId="60E0BF87">
      <w:pPr>
        <w:pStyle w:val="16"/>
        <w:numPr>
          <w:ilvl w:val="0"/>
          <w:numId w:val="5"/>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项目：指磋商文件规定供应商须承担的本项目的相关工作。</w:t>
      </w:r>
    </w:p>
    <w:p w14:paraId="3BEBDEFB">
      <w:pPr>
        <w:pStyle w:val="3"/>
        <w:numPr>
          <w:ilvl w:val="0"/>
          <w:numId w:val="4"/>
        </w:numPr>
        <w:tabs>
          <w:tab w:val="left" w:pos="841"/>
        </w:tabs>
        <w:topLinePunct w:val="0"/>
        <w:ind w:left="0" w:leftChars="0" w:firstLine="480" w:firstLineChars="200"/>
        <w:rPr>
          <w:rFonts w:hint="eastAsia" w:ascii="宋体" w:hAnsi="宋体" w:eastAsia="宋体" w:cs="宋体"/>
          <w:b/>
          <w:highlight w:val="none"/>
        </w:rPr>
      </w:pPr>
      <w:r>
        <w:rPr>
          <w:highlight w:val="none"/>
        </w:rPr>
        <w:t>合格的供应商</w:t>
      </w:r>
    </w:p>
    <w:p w14:paraId="76B16A26">
      <w:pPr>
        <w:pStyle w:val="16"/>
        <w:numPr>
          <w:ilvl w:val="0"/>
          <w:numId w:val="6"/>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满足磋商中对供应商所提出的全部要求。</w:t>
      </w:r>
    </w:p>
    <w:p w14:paraId="53CA4510">
      <w:pPr>
        <w:pStyle w:val="16"/>
        <w:numPr>
          <w:ilvl w:val="0"/>
          <w:numId w:val="6"/>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供应商应从采购代理机构获取磋商文件，其他未获取磋商文件的潜在供应商均无资格参加本次磋商。</w:t>
      </w:r>
    </w:p>
    <w:p w14:paraId="3F3D0F4C">
      <w:pPr>
        <w:pStyle w:val="3"/>
        <w:numPr>
          <w:ilvl w:val="0"/>
          <w:numId w:val="4"/>
        </w:numPr>
        <w:tabs>
          <w:tab w:val="left" w:pos="841"/>
        </w:tabs>
        <w:topLinePunct w:val="0"/>
        <w:ind w:left="0" w:leftChars="0" w:firstLine="480" w:firstLineChars="200"/>
        <w:rPr>
          <w:rFonts w:hint="eastAsia" w:ascii="宋体" w:hAnsi="宋体" w:eastAsia="宋体" w:cs="宋体"/>
          <w:b/>
          <w:highlight w:val="none"/>
        </w:rPr>
      </w:pPr>
      <w:r>
        <w:rPr>
          <w:highlight w:val="none"/>
        </w:rPr>
        <w:t>保密</w:t>
      </w:r>
    </w:p>
    <w:p w14:paraId="5F7F517A">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参与磋商活动的各方应对磋商文件和响应文件中的商业和技术等秘密保密，违者应对由此造成的后果承担法律责任。 </w:t>
      </w:r>
    </w:p>
    <w:p w14:paraId="2D324C1A">
      <w:pPr>
        <w:pStyle w:val="3"/>
        <w:numPr>
          <w:ilvl w:val="0"/>
          <w:numId w:val="4"/>
        </w:numPr>
        <w:tabs>
          <w:tab w:val="left" w:pos="841"/>
        </w:tabs>
        <w:topLinePunct w:val="0"/>
        <w:ind w:left="0" w:leftChars="0" w:firstLine="480" w:firstLineChars="200"/>
        <w:rPr>
          <w:rFonts w:hint="eastAsia" w:ascii="宋体" w:hAnsi="宋体" w:eastAsia="宋体" w:cs="宋体"/>
          <w:b/>
          <w:highlight w:val="none"/>
        </w:rPr>
      </w:pPr>
      <w:bookmarkStart w:id="16" w:name="_Toc394934414"/>
      <w:bookmarkStart w:id="17" w:name="_Toc246928899"/>
      <w:r>
        <w:rPr>
          <w:highlight w:val="none"/>
        </w:rPr>
        <w:t>费用</w:t>
      </w:r>
      <w:bookmarkEnd w:id="16"/>
      <w:bookmarkEnd w:id="17"/>
    </w:p>
    <w:p w14:paraId="54C104C9">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供应商应承担所有与编写和提交响应文件有关的费用，无论磋商过程中的做法和结果如何，采购人在任何情况下均无义务和责任承担这些费用。</w:t>
      </w:r>
    </w:p>
    <w:p w14:paraId="32DF9434">
      <w:pPr>
        <w:pStyle w:val="2"/>
        <w:numPr>
          <w:ilvl w:val="0"/>
          <w:numId w:val="3"/>
        </w:numPr>
        <w:tabs>
          <w:tab w:val="left" w:pos="1202"/>
        </w:tabs>
        <w:topLinePunct w:val="0"/>
        <w:ind w:left="0" w:leftChars="0" w:firstLine="480" w:firstLineChars="200"/>
        <w:rPr>
          <w:b/>
          <w:highlight w:val="none"/>
        </w:rPr>
      </w:pPr>
      <w:r>
        <w:rPr>
          <w:highlight w:val="none"/>
        </w:rPr>
        <w:t>磋商文件说明</w:t>
      </w:r>
    </w:p>
    <w:p w14:paraId="4E3BC62E">
      <w:pPr>
        <w:pStyle w:val="3"/>
        <w:numPr>
          <w:ilvl w:val="0"/>
          <w:numId w:val="7"/>
        </w:numPr>
        <w:tabs>
          <w:tab w:val="left" w:pos="841"/>
        </w:tabs>
        <w:topLinePunct w:val="0"/>
        <w:ind w:left="0" w:leftChars="0" w:firstLine="480" w:firstLineChars="200"/>
        <w:rPr>
          <w:rFonts w:hint="eastAsia" w:ascii="宋体" w:hAnsi="宋体" w:eastAsia="宋体" w:cs="宋体"/>
          <w:b/>
          <w:highlight w:val="none"/>
        </w:rPr>
      </w:pPr>
      <w:r>
        <w:rPr>
          <w:highlight w:val="none"/>
        </w:rPr>
        <w:t>磋商文件的组成</w:t>
      </w:r>
    </w:p>
    <w:p w14:paraId="085CDADE">
      <w:pPr>
        <w:pStyle w:val="4"/>
        <w:ind w:left="0" w:leftChars="0" w:firstLine="0" w:firstLineChars="0"/>
        <w:rPr>
          <w:highlight w:val="none"/>
        </w:rPr>
      </w:pPr>
      <w:r>
        <w:rPr>
          <w:highlight w:val="none"/>
        </w:rPr>
        <w:t>6.1磋商文件依据本项目的特点及需求编制，具体包括以下内容：</w:t>
      </w:r>
    </w:p>
    <w:p w14:paraId="113ABF29">
      <w:pPr>
        <w:pStyle w:val="16"/>
        <w:numPr>
          <w:ilvl w:val="0"/>
          <w:numId w:val="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竞争性磋商公告</w:t>
      </w:r>
    </w:p>
    <w:p w14:paraId="0AC9C10E">
      <w:pPr>
        <w:pStyle w:val="16"/>
        <w:numPr>
          <w:ilvl w:val="0"/>
          <w:numId w:val="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供应商须知</w:t>
      </w:r>
    </w:p>
    <w:p w14:paraId="4FD6C997">
      <w:pPr>
        <w:pStyle w:val="16"/>
        <w:numPr>
          <w:ilvl w:val="0"/>
          <w:numId w:val="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合同条款及格式</w:t>
      </w:r>
    </w:p>
    <w:p w14:paraId="349B9CDD">
      <w:pPr>
        <w:pStyle w:val="16"/>
        <w:numPr>
          <w:ilvl w:val="0"/>
          <w:numId w:val="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采购内容及技术要求</w:t>
      </w:r>
    </w:p>
    <w:p w14:paraId="2D86F92F">
      <w:pPr>
        <w:pStyle w:val="16"/>
        <w:numPr>
          <w:ilvl w:val="0"/>
          <w:numId w:val="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响应文件格式</w:t>
      </w:r>
    </w:p>
    <w:p w14:paraId="07FC54B7">
      <w:pPr>
        <w:pStyle w:val="3"/>
        <w:numPr>
          <w:ilvl w:val="0"/>
          <w:numId w:val="7"/>
        </w:numPr>
        <w:tabs>
          <w:tab w:val="left" w:pos="841"/>
        </w:tabs>
        <w:topLinePunct w:val="0"/>
        <w:ind w:left="0" w:leftChars="0" w:firstLine="480" w:firstLineChars="200"/>
        <w:rPr>
          <w:rFonts w:hint="eastAsia" w:ascii="宋体" w:hAnsi="宋体" w:eastAsia="宋体" w:cs="宋体"/>
          <w:b/>
          <w:highlight w:val="none"/>
        </w:rPr>
      </w:pPr>
      <w:r>
        <w:rPr>
          <w:highlight w:val="none"/>
        </w:rPr>
        <w:t>磋商文件的澄清及修改</w:t>
      </w:r>
    </w:p>
    <w:p w14:paraId="44DBD186">
      <w:pPr>
        <w:pStyle w:val="16"/>
        <w:numPr>
          <w:ilvl w:val="0"/>
          <w:numId w:val="9"/>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任何要求对磋商文件进行澄清的投标单位，均应在投标截止期五日前按磋商文件中的通讯地址以书面形式通知采购代理机构，采购代理机构对收到的书面澄清将以书面形式在投标截止期三日前予以答复，并通知其它获取磋商文件的投标单位。</w:t>
      </w:r>
      <w:r>
        <w:rPr>
          <w:rFonts w:ascii="Times New Roman" w:hAnsi="Times New Roman" w:eastAsia="宋体" w:cs="Times New Roman"/>
          <w:b/>
          <w:color w:val="auto"/>
          <w:sz w:val="24"/>
          <w:highlight w:val="none"/>
          <w:bdr w:val="single" w:color="auto" w:sz="4" w:space="0"/>
        </w:rPr>
        <w:t>对磋商文件中有难以理解或参数有疑义的内容，须在规定时间内提交书面资料，否则视为对磋商文件再无疑义，因此带来的一切不利后果由投标单位自负。</w:t>
      </w:r>
    </w:p>
    <w:p w14:paraId="4ADA7668">
      <w:pPr>
        <w:pStyle w:val="16"/>
        <w:numPr>
          <w:ilvl w:val="0"/>
          <w:numId w:val="9"/>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购代理机构对已发出的磋商文件进行必要澄清或者修改的，在磋商文件要求提交响应文件截止时间七日前，以书面形式通知所有获取磋商文件的投标单位，该澄清或者修改的内容作为磋商文件的组成部分，与其具有同等法律效力；</w:t>
      </w:r>
    </w:p>
    <w:p w14:paraId="31285F09">
      <w:pPr>
        <w:pStyle w:val="16"/>
        <w:numPr>
          <w:ilvl w:val="0"/>
          <w:numId w:val="9"/>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为方便投标单位对磋商文件修改或澄清内容有充分的时间进行补充修改，采购代理机构可延长投标截止时间和开标时间，均应在磋商文件要求提交响应文件的截止时间五日前，将变更时间书面通知所有获取磋商文件的投标单位。</w:t>
      </w:r>
    </w:p>
    <w:p w14:paraId="3D2B2992">
      <w:pPr>
        <w:pStyle w:val="3"/>
        <w:numPr>
          <w:ilvl w:val="0"/>
          <w:numId w:val="7"/>
        </w:numPr>
        <w:tabs>
          <w:tab w:val="left" w:pos="841"/>
        </w:tabs>
        <w:topLinePunct w:val="0"/>
        <w:ind w:left="0" w:leftChars="0" w:firstLine="480" w:firstLineChars="200"/>
        <w:rPr>
          <w:rFonts w:hint="eastAsia" w:ascii="宋体" w:hAnsi="宋体" w:eastAsia="宋体" w:cs="宋体"/>
          <w:b/>
          <w:highlight w:val="none"/>
        </w:rPr>
      </w:pPr>
      <w:r>
        <w:rPr>
          <w:highlight w:val="none"/>
        </w:rPr>
        <w:t>投标单位信用记录查询及政府采购项目需要落实的政策</w:t>
      </w:r>
    </w:p>
    <w:p w14:paraId="520E61DB">
      <w:pPr>
        <w:pStyle w:val="16"/>
        <w:numPr>
          <w:ilvl w:val="0"/>
          <w:numId w:val="10"/>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对列入“信用中国”网站(www.creditchina.gov.cn)“记录失信被执行人或重大税收违法案件当事人名单或政府采购严重违法失信行为”记录名单；中国政府采购网(www.ccgp.gov.cn)“政府采购严重违法失信行为信息记录”的单位，应当拒绝参与政府采购活动，采购代理机构于投标截止日当天在“信用中国”网站（www.creditchina.gov.cn）查询结果为准，如相关失信记录已失效，需提供相关证明资料；</w:t>
      </w:r>
    </w:p>
    <w:p w14:paraId="6BDD0621">
      <w:pPr>
        <w:pStyle w:val="16"/>
        <w:numPr>
          <w:ilvl w:val="0"/>
          <w:numId w:val="10"/>
        </w:numPr>
        <w:tabs>
          <w:tab w:val="left" w:pos="9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采购项目需要落实的政府采购政策：依据《中华人民共和国政府采购法》和《中华人民共和国政府采购实施条例》的有关规定，落实政府采购政策及公告中要求： </w:t>
      </w:r>
    </w:p>
    <w:p w14:paraId="30BCFF18">
      <w:pPr>
        <w:pStyle w:val="4"/>
        <w:numPr>
          <w:ilvl w:val="0"/>
          <w:numId w:val="11"/>
        </w:numPr>
        <w:tabs>
          <w:tab w:val="left" w:pos="841"/>
        </w:tabs>
        <w:topLinePunct w:val="0"/>
        <w:ind w:left="0" w:leftChars="0" w:firstLine="480" w:firstLineChars="200"/>
        <w:rPr>
          <w:rFonts w:hint="eastAsia" w:ascii="宋体" w:hAnsi="宋体" w:eastAsia="宋体" w:cs="宋体"/>
          <w:b/>
          <w:highlight w:val="none"/>
        </w:rPr>
      </w:pPr>
      <w:r>
        <w:rPr>
          <w:highlight w:val="none"/>
        </w:rPr>
        <w:t xml:space="preserve">《政府采购促进中小企业发展管理办法》； </w:t>
      </w:r>
    </w:p>
    <w:p w14:paraId="233143A9">
      <w:pPr>
        <w:pStyle w:val="4"/>
        <w:numPr>
          <w:ilvl w:val="0"/>
          <w:numId w:val="11"/>
        </w:numPr>
        <w:tabs>
          <w:tab w:val="left" w:pos="841"/>
        </w:tabs>
        <w:topLinePunct w:val="0"/>
        <w:ind w:left="0" w:leftChars="0" w:firstLine="480" w:firstLineChars="200"/>
        <w:rPr>
          <w:rFonts w:hint="eastAsia" w:ascii="宋体" w:hAnsi="宋体" w:eastAsia="宋体" w:cs="宋体"/>
          <w:b/>
          <w:highlight w:val="none"/>
        </w:rPr>
      </w:pPr>
      <w:r>
        <w:rPr>
          <w:highlight w:val="none"/>
        </w:rPr>
        <w:t xml:space="preserve">《财政部司法部关于政府采购支持监狱企业发展有关问题的通知》； </w:t>
      </w:r>
    </w:p>
    <w:p w14:paraId="4407604D">
      <w:pPr>
        <w:pStyle w:val="4"/>
        <w:numPr>
          <w:ilvl w:val="0"/>
          <w:numId w:val="11"/>
        </w:numPr>
        <w:tabs>
          <w:tab w:val="left" w:pos="841"/>
        </w:tabs>
        <w:topLinePunct w:val="0"/>
        <w:ind w:left="0" w:leftChars="0" w:firstLine="480" w:firstLineChars="200"/>
        <w:rPr>
          <w:rFonts w:hint="eastAsia" w:ascii="宋体" w:hAnsi="宋体" w:eastAsia="宋体" w:cs="宋体"/>
          <w:b/>
          <w:highlight w:val="none"/>
        </w:rPr>
      </w:pPr>
      <w:r>
        <w:rPr>
          <w:highlight w:val="none"/>
        </w:rPr>
        <w:t xml:space="preserve">《国务院办公厅关于建立政府强制采购节能产品制度的通知》； </w:t>
      </w:r>
    </w:p>
    <w:p w14:paraId="7229A748">
      <w:pPr>
        <w:pStyle w:val="4"/>
        <w:numPr>
          <w:ilvl w:val="0"/>
          <w:numId w:val="11"/>
        </w:numPr>
        <w:tabs>
          <w:tab w:val="left" w:pos="841"/>
        </w:tabs>
        <w:topLinePunct w:val="0"/>
        <w:ind w:left="0" w:leftChars="0" w:firstLine="480" w:firstLineChars="200"/>
        <w:rPr>
          <w:rFonts w:hint="eastAsia" w:ascii="宋体" w:hAnsi="宋体" w:eastAsia="宋体" w:cs="宋体"/>
          <w:b/>
          <w:highlight w:val="none"/>
        </w:rPr>
      </w:pPr>
      <w:r>
        <w:rPr>
          <w:highlight w:val="none"/>
        </w:rPr>
        <w:t xml:space="preserve">《环境标志产品政府采购实施的意见》。 </w:t>
      </w:r>
    </w:p>
    <w:p w14:paraId="5AB077D9">
      <w:pPr>
        <w:pStyle w:val="4"/>
        <w:numPr>
          <w:ilvl w:val="0"/>
          <w:numId w:val="11"/>
        </w:numPr>
        <w:tabs>
          <w:tab w:val="left" w:pos="841"/>
        </w:tabs>
        <w:topLinePunct w:val="0"/>
        <w:ind w:left="0" w:leftChars="0" w:firstLine="480" w:firstLineChars="200"/>
        <w:rPr>
          <w:rFonts w:hint="eastAsia" w:ascii="宋体" w:hAnsi="宋体" w:eastAsia="宋体" w:cs="宋体"/>
          <w:b/>
          <w:highlight w:val="none"/>
        </w:rPr>
      </w:pPr>
      <w:r>
        <w:rPr>
          <w:highlight w:val="none"/>
        </w:rPr>
        <w:t>关于小微企业、监狱企业、福利性企业的说明（本项目不涉及）：</w:t>
      </w:r>
    </w:p>
    <w:p w14:paraId="662D9212">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根据《工业和信息化部、国家统计局、国家发展和改革委员会、财政部关于印发中小企业划型标准规定的通知》（工信部联企业[2011]300号）规定的划分标准：</w:t>
      </w:r>
    </w:p>
    <w:p w14:paraId="4AE19608">
      <w:pPr>
        <w:pStyle w:val="16"/>
        <w:numPr>
          <w:ilvl w:val="0"/>
          <w:numId w:val="12"/>
        </w:numPr>
        <w:tabs>
          <w:tab w:val="left" w:pos="766"/>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如投标单位为小型、微型企业，对其所投货物（或服务）为小型和微型企业产品的价格给予10%的扣除，扣除后的价格为其评标价；</w:t>
      </w:r>
    </w:p>
    <w:p w14:paraId="0B5272DB">
      <w:pPr>
        <w:pStyle w:val="16"/>
        <w:numPr>
          <w:ilvl w:val="0"/>
          <w:numId w:val="12"/>
        </w:numPr>
        <w:tabs>
          <w:tab w:val="left" w:pos="766"/>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关于监狱企业、福利企业：视同小微企业；</w:t>
      </w:r>
    </w:p>
    <w:p w14:paraId="4177DC28">
      <w:pPr>
        <w:pStyle w:val="2"/>
        <w:numPr>
          <w:ilvl w:val="0"/>
          <w:numId w:val="3"/>
        </w:numPr>
        <w:tabs>
          <w:tab w:val="left" w:pos="1202"/>
        </w:tabs>
        <w:topLinePunct w:val="0"/>
        <w:ind w:left="0" w:leftChars="0" w:firstLine="480" w:firstLineChars="200"/>
        <w:rPr>
          <w:b/>
          <w:highlight w:val="none"/>
        </w:rPr>
      </w:pPr>
      <w:r>
        <w:rPr>
          <w:highlight w:val="none"/>
        </w:rPr>
        <w:t>竞争性磋商响应文件的编写</w:t>
      </w:r>
    </w:p>
    <w:p w14:paraId="224570DB">
      <w:pPr>
        <w:pStyle w:val="3"/>
        <w:numPr>
          <w:ilvl w:val="0"/>
          <w:numId w:val="13"/>
        </w:numPr>
        <w:tabs>
          <w:tab w:val="left" w:pos="841"/>
        </w:tabs>
        <w:topLinePunct w:val="0"/>
        <w:ind w:left="0" w:leftChars="0" w:firstLine="480" w:firstLineChars="200"/>
        <w:rPr>
          <w:rFonts w:hint="eastAsia" w:ascii="宋体" w:hAnsi="宋体" w:eastAsia="宋体" w:cs="宋体"/>
          <w:b/>
          <w:highlight w:val="none"/>
        </w:rPr>
      </w:pPr>
      <w:bookmarkStart w:id="18" w:name="_Toc246928911"/>
      <w:bookmarkStart w:id="19" w:name="_Toc394934424"/>
      <w:bookmarkStart w:id="20" w:name="_Toc317248152"/>
      <w:r>
        <w:rPr>
          <w:highlight w:val="none"/>
        </w:rPr>
        <w:t>响应文件的构成</w:t>
      </w:r>
    </w:p>
    <w:p w14:paraId="20CBEF6F">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详见磋商文件中第六章“响应文件格式”及磋商文件要求提供的资格证书。</w:t>
      </w:r>
    </w:p>
    <w:p w14:paraId="12F9D438">
      <w:pPr>
        <w:pStyle w:val="3"/>
        <w:numPr>
          <w:ilvl w:val="0"/>
          <w:numId w:val="13"/>
        </w:numPr>
        <w:tabs>
          <w:tab w:val="left" w:pos="841"/>
        </w:tabs>
        <w:topLinePunct w:val="0"/>
        <w:ind w:left="0" w:leftChars="0" w:firstLine="480" w:firstLineChars="200"/>
        <w:rPr>
          <w:rFonts w:hint="eastAsia" w:ascii="宋体" w:hAnsi="宋体" w:eastAsia="宋体" w:cs="宋体"/>
          <w:b/>
          <w:highlight w:val="none"/>
        </w:rPr>
      </w:pPr>
      <w:r>
        <w:rPr>
          <w:highlight w:val="none"/>
        </w:rPr>
        <w:t>磋商报价</w:t>
      </w:r>
    </w:p>
    <w:p w14:paraId="77573992">
      <w:pPr>
        <w:pStyle w:val="16"/>
        <w:numPr>
          <w:ilvl w:val="0"/>
          <w:numId w:val="14"/>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所有磋商报价均以人民币报价。单位为元，精确到分。</w:t>
      </w:r>
      <w:r>
        <w:rPr>
          <w:rFonts w:ascii="Times New Roman" w:hAnsi="Times New Roman" w:eastAsia="宋体" w:cs="Times New Roman"/>
          <w:b/>
          <w:color w:val="auto"/>
          <w:sz w:val="24"/>
          <w:highlight w:val="none"/>
        </w:rPr>
        <w:t>报价大于预算价时，按无效报价处理，且不进第二轮报价。本项目不公开唱价。</w:t>
      </w:r>
    </w:p>
    <w:p w14:paraId="759C1B01">
      <w:pPr>
        <w:pStyle w:val="16"/>
        <w:numPr>
          <w:ilvl w:val="0"/>
          <w:numId w:val="14"/>
        </w:numPr>
        <w:tabs>
          <w:tab w:val="left" w:pos="102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供应商依据磋商文件提供的商务技术要求等资料并自行考虑风险因素计算磋商报价，磋商报价应包括但不限于：</w:t>
      </w:r>
      <w:r>
        <w:rPr>
          <w:rFonts w:ascii="Times New Roman" w:hAnsi="Times New Roman" w:eastAsia="宋体" w:cs="Times New Roman"/>
          <w:color w:val="auto"/>
          <w:sz w:val="24"/>
          <w:highlight w:val="none"/>
          <w:u w:val="single"/>
        </w:rPr>
        <w:t>本项目</w:t>
      </w:r>
      <w:r>
        <w:rPr>
          <w:rFonts w:ascii="Times New Roman" w:hAnsi="Times New Roman" w:eastAsia="宋体" w:cs="Times New Roman"/>
          <w:color w:val="auto"/>
          <w:sz w:val="24"/>
          <w:highlight w:val="none"/>
        </w:rPr>
        <w:t>的工作以及相关的义务的所有费用。一旦成交，磋商报价将不会因国家政策调整及市场变化因素而得到调整。</w:t>
      </w:r>
    </w:p>
    <w:p w14:paraId="6425C4AF">
      <w:pPr>
        <w:pStyle w:val="16"/>
        <w:numPr>
          <w:ilvl w:val="0"/>
          <w:numId w:val="14"/>
        </w:numPr>
        <w:tabs>
          <w:tab w:val="left" w:pos="102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供应商必须就整个项目进行响应，不得将整个项目中的内容拆开响应。拆开响应的，按无效响应文件处理。</w:t>
      </w:r>
    </w:p>
    <w:p w14:paraId="784ED964">
      <w:pPr>
        <w:pStyle w:val="16"/>
        <w:numPr>
          <w:ilvl w:val="0"/>
          <w:numId w:val="14"/>
        </w:numPr>
        <w:tabs>
          <w:tab w:val="left" w:pos="102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凡因供应商对磋商文件阅读不深、理解不透、误解、疏漏、或因市场行情了解不清造成的后果和风险均由磋商供应商自负。磋商响应过程中所产生的一切费用由磋商供应商自行承担。</w:t>
      </w:r>
    </w:p>
    <w:p w14:paraId="2B7A0F11">
      <w:pPr>
        <w:pStyle w:val="3"/>
        <w:numPr>
          <w:ilvl w:val="0"/>
          <w:numId w:val="13"/>
        </w:numPr>
        <w:tabs>
          <w:tab w:val="left" w:pos="841"/>
        </w:tabs>
        <w:topLinePunct w:val="0"/>
        <w:ind w:left="0" w:leftChars="0" w:firstLine="480" w:firstLineChars="200"/>
        <w:rPr>
          <w:rFonts w:hint="eastAsia" w:ascii="宋体" w:hAnsi="宋体" w:eastAsia="宋体" w:cs="宋体"/>
          <w:b/>
          <w:highlight w:val="none"/>
        </w:rPr>
      </w:pPr>
      <w:r>
        <w:rPr>
          <w:highlight w:val="none"/>
        </w:rPr>
        <w:t>响应文件的编制</w:t>
      </w:r>
    </w:p>
    <w:p w14:paraId="52F8D9CC">
      <w:pPr>
        <w:pStyle w:val="16"/>
        <w:numPr>
          <w:ilvl w:val="0"/>
          <w:numId w:val="15"/>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响应文件应按第六章“响应文件格式”所要求的全部内容编制。</w:t>
      </w:r>
    </w:p>
    <w:p w14:paraId="5A5A18D1">
      <w:pPr>
        <w:pStyle w:val="16"/>
        <w:numPr>
          <w:ilvl w:val="0"/>
          <w:numId w:val="15"/>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应用不褪色的材料书写或打印，并由供应商的法人代表或法定代表授权人在响应文件上签字并加盖单位公章。授权委托代理人签字或盖章的，响应文件应附法定代表人签署的授权委托书，并将其附在响应文件中。响应文件应尽量避免涂改、行间插字或删除。如果出现上述情况，改动之处应加盖公章并由供应商的法定代表人或其授权委托人签字或盖章确认。未按本条规定办理的，视同签字、盖章不全。</w:t>
      </w:r>
    </w:p>
    <w:p w14:paraId="26EAFD9A">
      <w:pPr>
        <w:pStyle w:val="16"/>
        <w:numPr>
          <w:ilvl w:val="0"/>
          <w:numId w:val="15"/>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响应文件必须用A4幅面纸打印或用不褪色蓝（黑）墨水（汁）书写，编制目录及页码并胶装成册。响应文件应按磋商文件规定的格式填写、签署和盖章。</w:t>
      </w:r>
    </w:p>
    <w:p w14:paraId="5837C471">
      <w:pPr>
        <w:pStyle w:val="16"/>
        <w:numPr>
          <w:ilvl w:val="0"/>
          <w:numId w:val="15"/>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响应文件正本壹份, 副本贰份，电子版壹份(U盘，应包含所有响应文件内容,Word或PDF版本)装入标书正本袋内，随响应文件一同递交。正本和副本的封面上应清楚地标记“正本”或“副本”的字样。当副本和正本不一致时，以正本为准。</w:t>
      </w:r>
    </w:p>
    <w:p w14:paraId="5AFDD8BD">
      <w:pPr>
        <w:pStyle w:val="3"/>
        <w:numPr>
          <w:ilvl w:val="0"/>
          <w:numId w:val="13"/>
        </w:numPr>
        <w:tabs>
          <w:tab w:val="left" w:pos="841"/>
        </w:tabs>
        <w:topLinePunct w:val="0"/>
        <w:ind w:left="0" w:leftChars="0" w:firstLine="480" w:firstLineChars="200"/>
        <w:rPr>
          <w:rFonts w:hint="eastAsia" w:ascii="宋体" w:hAnsi="宋体" w:eastAsia="宋体" w:cs="宋体"/>
          <w:b/>
          <w:highlight w:val="none"/>
        </w:rPr>
      </w:pPr>
      <w:r>
        <w:rPr>
          <w:highlight w:val="none"/>
        </w:rPr>
        <w:t>磋商有效期</w:t>
      </w:r>
    </w:p>
    <w:p w14:paraId="0A6E0423">
      <w:pPr>
        <w:pStyle w:val="16"/>
        <w:numPr>
          <w:ilvl w:val="0"/>
          <w:numId w:val="16"/>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响应文件从磋商之日起，磋商有效期为90日历天。响应文件中所有要求的证明文件的有效期比本须知规定的有效期短的，将被视为非响应磋商，采购人有权拒绝。 </w:t>
      </w:r>
    </w:p>
    <w:p w14:paraId="363FB5FC">
      <w:pPr>
        <w:pStyle w:val="16"/>
        <w:numPr>
          <w:ilvl w:val="0"/>
          <w:numId w:val="16"/>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特殊情况下，采购人可于磋商有效期满之前要求供应商同意延长有效期，要求与答复均应为书面形式。供应商可以拒绝上述要求。对于同意该要求的供应商，既不要求也不允许其修改响应文件。</w:t>
      </w:r>
    </w:p>
    <w:p w14:paraId="6F151A9E">
      <w:pPr>
        <w:pStyle w:val="3"/>
        <w:numPr>
          <w:ilvl w:val="0"/>
          <w:numId w:val="13"/>
        </w:numPr>
        <w:tabs>
          <w:tab w:val="left" w:pos="841"/>
        </w:tabs>
        <w:topLinePunct w:val="0"/>
        <w:ind w:left="0" w:leftChars="0" w:firstLine="480" w:firstLineChars="200"/>
        <w:rPr>
          <w:rFonts w:hint="eastAsia" w:ascii="宋体" w:hAnsi="宋体" w:eastAsia="宋体" w:cs="宋体"/>
          <w:b/>
          <w:highlight w:val="none"/>
        </w:rPr>
      </w:pPr>
      <w:r>
        <w:rPr>
          <w:highlight w:val="none"/>
        </w:rPr>
        <w:t>磋商保证金：本项目不涉及</w:t>
      </w:r>
    </w:p>
    <w:bookmarkEnd w:id="18"/>
    <w:bookmarkEnd w:id="19"/>
    <w:bookmarkEnd w:id="20"/>
    <w:p w14:paraId="7DF6C433">
      <w:pPr>
        <w:pStyle w:val="2"/>
        <w:numPr>
          <w:ilvl w:val="0"/>
          <w:numId w:val="3"/>
        </w:numPr>
        <w:tabs>
          <w:tab w:val="left" w:pos="1202"/>
        </w:tabs>
        <w:topLinePunct w:val="0"/>
        <w:ind w:left="0" w:leftChars="0" w:firstLine="480" w:firstLineChars="200"/>
        <w:rPr>
          <w:b/>
          <w:highlight w:val="none"/>
        </w:rPr>
      </w:pPr>
      <w:r>
        <w:rPr>
          <w:highlight w:val="none"/>
        </w:rPr>
        <w:t>响应文件的提交</w:t>
      </w:r>
    </w:p>
    <w:p w14:paraId="5B0681FD">
      <w:pPr>
        <w:pStyle w:val="3"/>
        <w:numPr>
          <w:ilvl w:val="0"/>
          <w:numId w:val="17"/>
        </w:numPr>
        <w:tabs>
          <w:tab w:val="left" w:pos="962"/>
        </w:tabs>
        <w:topLinePunct w:val="0"/>
        <w:ind w:left="0" w:leftChars="0" w:firstLine="480" w:firstLineChars="200"/>
        <w:rPr>
          <w:rFonts w:hint="eastAsia" w:ascii="宋体" w:hAnsi="宋体" w:eastAsia="宋体" w:cs="宋体"/>
          <w:b/>
          <w:highlight w:val="none"/>
        </w:rPr>
      </w:pPr>
      <w:bookmarkStart w:id="21" w:name="_Toc394934430"/>
      <w:bookmarkStart w:id="22" w:name="_Toc246928917"/>
      <w:bookmarkStart w:id="23" w:name="_Toc246928924"/>
      <w:bookmarkStart w:id="24" w:name="_Toc394934436"/>
      <w:r>
        <w:rPr>
          <w:highlight w:val="none"/>
        </w:rPr>
        <w:t>响应文件的密封和标记</w:t>
      </w:r>
      <w:bookmarkEnd w:id="21"/>
      <w:bookmarkEnd w:id="22"/>
    </w:p>
    <w:p w14:paraId="472F3321">
      <w:pPr>
        <w:pStyle w:val="16"/>
        <w:numPr>
          <w:ilvl w:val="0"/>
          <w:numId w:val="18"/>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应将响应文件的正本、副本，用单独的封袋分装密封（封袋不得有破损），在封袋上标明“正本”、“副本”字样，封袋正面要粘贴标识并加盖供应商公章。响应文件正本中的法人授权书须为原件，其它资质证明文件为复印件加盖供应商鲜章；</w:t>
      </w:r>
      <w:r>
        <w:rPr>
          <w:rFonts w:ascii="Times New Roman" w:hAnsi="Times New Roman" w:eastAsia="宋体" w:cs="Times New Roman"/>
          <w:b/>
          <w:color w:val="auto"/>
          <w:sz w:val="24"/>
          <w:highlight w:val="none"/>
        </w:rPr>
        <w:t xml:space="preserve">如有与投标须知前附表不一致的以投标须知前附表为准。 </w:t>
      </w:r>
    </w:p>
    <w:p w14:paraId="477A3624">
      <w:pPr>
        <w:pStyle w:val="16"/>
        <w:numPr>
          <w:ilvl w:val="0"/>
          <w:numId w:val="18"/>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如果供应商未按上述要求密封及加写标记的响应文件、误投或过早启封的响应文件，采购代理机构将拒绝接收，并退回供应商。采购代理机构对响应文件的误投和提前启封概不负责。</w:t>
      </w:r>
    </w:p>
    <w:p w14:paraId="52D036B5">
      <w:pPr>
        <w:pStyle w:val="3"/>
        <w:numPr>
          <w:ilvl w:val="0"/>
          <w:numId w:val="17"/>
        </w:numPr>
        <w:tabs>
          <w:tab w:val="left" w:pos="962"/>
        </w:tabs>
        <w:topLinePunct w:val="0"/>
        <w:ind w:left="0" w:leftChars="0" w:firstLine="480" w:firstLineChars="200"/>
        <w:rPr>
          <w:rFonts w:hint="eastAsia" w:ascii="宋体" w:hAnsi="宋体" w:eastAsia="宋体" w:cs="宋体"/>
          <w:b/>
          <w:highlight w:val="none"/>
        </w:rPr>
      </w:pPr>
      <w:r>
        <w:rPr>
          <w:highlight w:val="none"/>
        </w:rPr>
        <w:t>响应文件的提交</w:t>
      </w:r>
    </w:p>
    <w:p w14:paraId="7BC30D13">
      <w:pPr>
        <w:pStyle w:val="16"/>
        <w:numPr>
          <w:ilvl w:val="0"/>
          <w:numId w:val="19"/>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供应商应在磋商截止时间前将密封的响应文件，递交至磋商地点。</w:t>
      </w:r>
    </w:p>
    <w:p w14:paraId="455B9538">
      <w:pPr>
        <w:pStyle w:val="16"/>
        <w:numPr>
          <w:ilvl w:val="0"/>
          <w:numId w:val="19"/>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逾期送达的或者未送达指定地点的响应文件，为无效标，采购代理机构将不予受理。</w:t>
      </w:r>
    </w:p>
    <w:p w14:paraId="55C4E731">
      <w:pPr>
        <w:pStyle w:val="2"/>
        <w:numPr>
          <w:ilvl w:val="0"/>
          <w:numId w:val="3"/>
        </w:numPr>
        <w:tabs>
          <w:tab w:val="left" w:pos="1202"/>
        </w:tabs>
        <w:topLinePunct w:val="0"/>
        <w:ind w:left="0" w:leftChars="0" w:firstLine="480" w:firstLineChars="200"/>
        <w:rPr>
          <w:b/>
          <w:highlight w:val="none"/>
        </w:rPr>
      </w:pPr>
      <w:r>
        <w:rPr>
          <w:highlight w:val="none"/>
        </w:rPr>
        <w:t>开 标</w:t>
      </w:r>
    </w:p>
    <w:p w14:paraId="2365763E">
      <w:pPr>
        <w:pStyle w:val="3"/>
        <w:numPr>
          <w:ilvl w:val="0"/>
          <w:numId w:val="20"/>
        </w:numPr>
        <w:tabs>
          <w:tab w:val="left" w:pos="962"/>
        </w:tabs>
        <w:topLinePunct w:val="0"/>
        <w:ind w:left="0" w:leftChars="0" w:firstLine="480" w:firstLineChars="200"/>
        <w:rPr>
          <w:rFonts w:hint="eastAsia" w:ascii="宋体" w:hAnsi="宋体" w:eastAsia="宋体" w:cs="宋体"/>
          <w:b/>
          <w:highlight w:val="none"/>
        </w:rPr>
      </w:pPr>
      <w:bookmarkStart w:id="25" w:name="_Toc246928921"/>
      <w:bookmarkStart w:id="26" w:name="_Toc394934435"/>
      <w:r>
        <w:rPr>
          <w:highlight w:val="none"/>
        </w:rPr>
        <w:t>磋商</w:t>
      </w:r>
    </w:p>
    <w:p w14:paraId="74A2D4E4">
      <w:pPr>
        <w:pStyle w:val="16"/>
        <w:numPr>
          <w:ilvl w:val="0"/>
          <w:numId w:val="21"/>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采购代理机构按磋商公告中规定的时间和地点接受供应商递交的磋商响应文件。供应商应派代表签到，并参加磋商。</w:t>
      </w:r>
    </w:p>
    <w:p w14:paraId="26A56773">
      <w:pPr>
        <w:pStyle w:val="16"/>
        <w:numPr>
          <w:ilvl w:val="0"/>
          <w:numId w:val="21"/>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磋商时，由供应商或者其推选的代表与监标人检查响应文件的密封情况，经确认无误后签字认可。由采购代理机构工作人员当众拆封并宣读供应商名称、响应文件份数。对于供应商在磋商截止时间前递交的磋商声明，在磋商时当众宣读，评审时有效。</w:t>
      </w:r>
    </w:p>
    <w:p w14:paraId="4933A6C1">
      <w:pPr>
        <w:pStyle w:val="16"/>
        <w:numPr>
          <w:ilvl w:val="0"/>
          <w:numId w:val="21"/>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采购代理机构将对磋商过程做记录，由供应商授权代表签字确认。</w:t>
      </w:r>
    </w:p>
    <w:p w14:paraId="60BC5D3F">
      <w:pPr>
        <w:pStyle w:val="3"/>
        <w:numPr>
          <w:ilvl w:val="0"/>
          <w:numId w:val="20"/>
        </w:numPr>
        <w:tabs>
          <w:tab w:val="left" w:pos="962"/>
        </w:tabs>
        <w:topLinePunct w:val="0"/>
        <w:ind w:left="0" w:leftChars="0" w:firstLine="480" w:firstLineChars="200"/>
        <w:rPr>
          <w:rFonts w:hint="eastAsia" w:ascii="宋体" w:hAnsi="宋体" w:eastAsia="宋体" w:cs="宋体"/>
          <w:b/>
          <w:highlight w:val="none"/>
        </w:rPr>
      </w:pPr>
      <w:r>
        <w:rPr>
          <w:highlight w:val="none"/>
        </w:rPr>
        <w:t>磋商小组</w:t>
      </w:r>
    </w:p>
    <w:p w14:paraId="59B3A294">
      <w:pPr>
        <w:pStyle w:val="16"/>
        <w:numPr>
          <w:ilvl w:val="0"/>
          <w:numId w:val="22"/>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根据本次招标项目的特点，根据《政府采购竞争性磋商采购方式管理暂行办法》第十四条规定，磋商小组由采购人代表和评审专家共3人以上单数组成，其中评审专家人数不得少于磋商小组成员总数的2/3。</w:t>
      </w:r>
    </w:p>
    <w:p w14:paraId="647B1518">
      <w:pPr>
        <w:pStyle w:val="16"/>
        <w:numPr>
          <w:ilvl w:val="0"/>
          <w:numId w:val="22"/>
        </w:numPr>
        <w:tabs>
          <w:tab w:val="left" w:pos="102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本项目磋商小组专家的产生方式符合国家和地方有关评审专家产生方式的规定。</w:t>
      </w:r>
    </w:p>
    <w:p w14:paraId="025F35EB">
      <w:pPr>
        <w:pStyle w:val="16"/>
        <w:numPr>
          <w:ilvl w:val="0"/>
          <w:numId w:val="22"/>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磋商小组成员对各供应商磋商响应文件进行审查、质疑、评估和比较，并推荐成交候选供应商。</w:t>
      </w:r>
    </w:p>
    <w:bookmarkEnd w:id="25"/>
    <w:bookmarkEnd w:id="26"/>
    <w:p w14:paraId="06606B7A">
      <w:pPr>
        <w:pStyle w:val="2"/>
        <w:numPr>
          <w:ilvl w:val="0"/>
          <w:numId w:val="3"/>
        </w:numPr>
        <w:tabs>
          <w:tab w:val="left" w:pos="1202"/>
        </w:tabs>
        <w:topLinePunct w:val="0"/>
        <w:ind w:left="0" w:leftChars="0" w:firstLine="480" w:firstLineChars="200"/>
        <w:rPr>
          <w:b/>
          <w:highlight w:val="none"/>
        </w:rPr>
      </w:pPr>
      <w:r>
        <w:rPr>
          <w:highlight w:val="none"/>
        </w:rPr>
        <w:t>评 审</w:t>
      </w:r>
    </w:p>
    <w:bookmarkEnd w:id="23"/>
    <w:bookmarkEnd w:id="24"/>
    <w:p w14:paraId="670F7FEC">
      <w:pPr>
        <w:pStyle w:val="3"/>
        <w:numPr>
          <w:ilvl w:val="0"/>
          <w:numId w:val="23"/>
        </w:numPr>
        <w:tabs>
          <w:tab w:val="left" w:pos="962"/>
        </w:tabs>
        <w:topLinePunct w:val="0"/>
        <w:ind w:left="0" w:leftChars="0" w:firstLine="480" w:firstLineChars="200"/>
        <w:rPr>
          <w:rFonts w:hint="eastAsia" w:ascii="宋体" w:hAnsi="宋体" w:eastAsia="宋体" w:cs="宋体"/>
          <w:b/>
          <w:highlight w:val="none"/>
        </w:rPr>
      </w:pPr>
      <w:bookmarkStart w:id="27" w:name="_Toc394934437"/>
      <w:bookmarkStart w:id="28" w:name="_Toc14440"/>
      <w:bookmarkStart w:id="29" w:name="_Toc458617467"/>
      <w:bookmarkStart w:id="30" w:name="_Toc20295"/>
      <w:bookmarkStart w:id="31" w:name="_Toc458617744"/>
      <w:r>
        <w:rPr>
          <w:highlight w:val="none"/>
        </w:rPr>
        <w:t>评审</w:t>
      </w:r>
    </w:p>
    <w:p w14:paraId="1A2B843A">
      <w:pPr>
        <w:pStyle w:val="16"/>
        <w:numPr>
          <w:ilvl w:val="0"/>
          <w:numId w:val="24"/>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磋商小组将遵循公开、公平、公正和择优的原则，对所有供应商的磋商响应文件评审，都采用相同的程序和标准。</w:t>
      </w:r>
    </w:p>
    <w:p w14:paraId="0A551125">
      <w:pPr>
        <w:pStyle w:val="16"/>
        <w:numPr>
          <w:ilvl w:val="0"/>
          <w:numId w:val="24"/>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698373F7">
      <w:pPr>
        <w:pStyle w:val="16"/>
        <w:numPr>
          <w:ilvl w:val="0"/>
          <w:numId w:val="24"/>
        </w:numPr>
        <w:tabs>
          <w:tab w:val="left" w:pos="102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供应商或磋商响应文件出现的下列情形将按照无效响应文件处理，由磋商小组否决其磋商：</w:t>
      </w:r>
    </w:p>
    <w:p w14:paraId="263F9461">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未按磋商文件规定要求密封、签署、盖章；</w:t>
      </w:r>
    </w:p>
    <w:p w14:paraId="79181B45">
      <w:pPr>
        <w:pStyle w:val="16"/>
        <w:numPr>
          <w:ilvl w:val="0"/>
          <w:numId w:val="25"/>
        </w:numPr>
        <w:tabs>
          <w:tab w:val="left" w:pos="120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不具备磋商文件规定资格条件的或响应文件中提供的资格证明文件不全的；</w:t>
      </w:r>
    </w:p>
    <w:p w14:paraId="7F9224D1">
      <w:pPr>
        <w:pStyle w:val="16"/>
        <w:numPr>
          <w:ilvl w:val="0"/>
          <w:numId w:val="25"/>
        </w:numPr>
        <w:tabs>
          <w:tab w:val="left" w:pos="120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响应文件内容不全或字迹模糊辨认不清导致磋商响应文件不满足磋商文件实质性要求的；</w:t>
      </w:r>
    </w:p>
    <w:p w14:paraId="1D451D10">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报价超过采购预算的；</w:t>
      </w:r>
    </w:p>
    <w:p w14:paraId="52E9E11F">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b w:val="0"/>
          <w:color w:val="auto"/>
          <w:sz w:val="24"/>
          <w:highlight w:val="none"/>
        </w:rPr>
        <w:t>付款方式不满足竞争性磋商文件要求的；</w:t>
      </w:r>
    </w:p>
    <w:p w14:paraId="67207F3C">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属于磋商文件中所列无效响应情形的；</w:t>
      </w:r>
    </w:p>
    <w:p w14:paraId="5F7F750B">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与磋商文件要求条款有重大偏离的；</w:t>
      </w:r>
    </w:p>
    <w:p w14:paraId="5FFC6352">
      <w:pPr>
        <w:pStyle w:val="16"/>
        <w:numPr>
          <w:ilvl w:val="0"/>
          <w:numId w:val="25"/>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不符合法律、法规和磋商文件中规定的其他实质性要求的。</w:t>
      </w:r>
    </w:p>
    <w:p w14:paraId="19D68338">
      <w:pPr>
        <w:pStyle w:val="3"/>
        <w:numPr>
          <w:ilvl w:val="0"/>
          <w:numId w:val="23"/>
        </w:numPr>
        <w:tabs>
          <w:tab w:val="left" w:pos="962"/>
        </w:tabs>
        <w:topLinePunct w:val="0"/>
        <w:ind w:left="0" w:leftChars="0" w:firstLine="480" w:firstLineChars="200"/>
        <w:rPr>
          <w:rFonts w:hint="eastAsia" w:ascii="宋体" w:hAnsi="宋体" w:eastAsia="宋体" w:cs="宋体"/>
          <w:b/>
          <w:highlight w:val="none"/>
        </w:rPr>
      </w:pPr>
      <w:r>
        <w:rPr>
          <w:highlight w:val="none"/>
        </w:rPr>
        <w:t>评审程序及办法</w:t>
      </w:r>
    </w:p>
    <w:p w14:paraId="2A32D73B">
      <w:pPr>
        <w:pStyle w:val="16"/>
        <w:numPr>
          <w:ilvl w:val="0"/>
          <w:numId w:val="26"/>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磋商小组对于各个供应商的响应文件先进行资格审查，再进行符合性审查，审查全都合格的供应商才有参加磋商与承诺的资格。</w:t>
      </w:r>
    </w:p>
    <w:p w14:paraId="17202B55">
      <w:pPr>
        <w:pStyle w:val="4"/>
        <w:numPr>
          <w:ilvl w:val="0"/>
          <w:numId w:val="27"/>
        </w:numPr>
        <w:tabs>
          <w:tab w:val="left" w:pos="1325"/>
          <w:tab w:val="clear" w:pos="210"/>
        </w:tabs>
        <w:ind w:left="0" w:leftChars="0" w:firstLine="480" w:firstLineChars="200"/>
        <w:rPr>
          <w:rFonts w:hint="eastAsia" w:ascii="宋体" w:hAnsi="宋体" w:eastAsia="宋体" w:cs="宋体"/>
          <w:b/>
          <w:highlight w:val="none"/>
        </w:rPr>
      </w:pPr>
      <w:r>
        <w:rPr>
          <w:highlight w:val="none"/>
        </w:rPr>
        <w:t>资格审查：</w:t>
      </w:r>
    </w:p>
    <w:tbl>
      <w:tblPr>
        <w:tblStyle w:val="32"/>
        <w:tblW w:w="4998" w:type="pct"/>
        <w:jc w:val="center"/>
        <w:tblLayout w:type="autofit"/>
        <w:tblCellMar>
          <w:top w:w="0" w:type="dxa"/>
          <w:left w:w="108" w:type="dxa"/>
          <w:bottom w:w="0" w:type="dxa"/>
          <w:right w:w="108" w:type="dxa"/>
        </w:tblCellMar>
      </w:tblPr>
      <w:tblGrid>
        <w:gridCol w:w="722"/>
        <w:gridCol w:w="1993"/>
        <w:gridCol w:w="4320"/>
        <w:gridCol w:w="783"/>
        <w:gridCol w:w="1034"/>
      </w:tblGrid>
      <w:tr w14:paraId="165F3248">
        <w:tblPrEx>
          <w:tblCellMar>
            <w:top w:w="0" w:type="dxa"/>
            <w:left w:w="108" w:type="dxa"/>
            <w:bottom w:w="0" w:type="dxa"/>
            <w:right w:w="108" w:type="dxa"/>
          </w:tblCellMar>
        </w:tblPrEx>
        <w:trPr>
          <w:trHeight w:val="782" w:hRule="atLeast"/>
          <w:jc w:val="center"/>
        </w:trPr>
        <w:tc>
          <w:tcPr>
            <w:tcW w:w="408" w:type="pct"/>
            <w:tcBorders>
              <w:top w:val="single" w:color="auto" w:sz="4" w:space="0"/>
              <w:left w:val="single" w:color="auto" w:sz="4" w:space="0"/>
              <w:bottom w:val="single" w:color="auto" w:sz="4" w:space="0"/>
              <w:right w:val="single" w:color="auto" w:sz="4" w:space="0"/>
            </w:tcBorders>
            <w:vAlign w:val="center"/>
          </w:tcPr>
          <w:p w14:paraId="61080779">
            <w:pPr>
              <w:widowControl/>
              <w:spacing w:line="240" w:lineRule="auto"/>
              <w:jc w:val="center"/>
              <w:rPr>
                <w:rFonts w:hint="eastAsia" w:ascii="黑体" w:hAnsi="黑体" w:eastAsia="黑体" w:cs="黑体"/>
                <w:b/>
                <w:bCs/>
                <w:color w:val="auto"/>
                <w:kern w:val="0"/>
                <w:szCs w:val="24"/>
                <w:highlight w:val="none"/>
                <w:lang w:eastAsia="zh-CN"/>
              </w:rPr>
            </w:pPr>
            <w:r>
              <w:rPr>
                <w:rFonts w:hint="eastAsia" w:ascii="黑体" w:hAnsi="黑体" w:eastAsia="黑体" w:cs="黑体"/>
                <w:b/>
                <w:bCs/>
                <w:color w:val="auto"/>
                <w:kern w:val="0"/>
                <w:szCs w:val="24"/>
                <w:highlight w:val="none"/>
                <w:lang w:val="en-US" w:eastAsia="zh-CN"/>
              </w:rPr>
              <w:t>序号</w:t>
            </w:r>
          </w:p>
        </w:tc>
        <w:tc>
          <w:tcPr>
            <w:tcW w:w="1126" w:type="pct"/>
            <w:tcBorders>
              <w:top w:val="single" w:color="auto" w:sz="4" w:space="0"/>
              <w:left w:val="nil"/>
              <w:bottom w:val="single" w:color="auto" w:sz="4" w:space="0"/>
              <w:right w:val="single" w:color="auto" w:sz="4" w:space="0"/>
            </w:tcBorders>
            <w:vAlign w:val="center"/>
          </w:tcPr>
          <w:p w14:paraId="07E8AAC7">
            <w:pPr>
              <w:widowControl/>
              <w:spacing w:line="240" w:lineRule="auto"/>
              <w:jc w:val="center"/>
              <w:rPr>
                <w:rFonts w:hint="eastAsia" w:ascii="黑体" w:hAnsi="黑体" w:eastAsia="黑体" w:cs="黑体"/>
                <w:b/>
                <w:bCs/>
                <w:color w:val="auto"/>
                <w:kern w:val="0"/>
                <w:szCs w:val="24"/>
                <w:highlight w:val="none"/>
                <w:lang w:val="en-US" w:eastAsia="zh-CN"/>
              </w:rPr>
            </w:pPr>
            <w:r>
              <w:rPr>
                <w:rFonts w:hint="eastAsia" w:ascii="黑体" w:hAnsi="黑体" w:eastAsia="黑体" w:cs="黑体"/>
                <w:b/>
                <w:bCs/>
                <w:color w:val="auto"/>
                <w:kern w:val="0"/>
                <w:szCs w:val="24"/>
                <w:highlight w:val="none"/>
                <w:lang w:val="en-US" w:eastAsia="zh-CN"/>
              </w:rPr>
              <w:t>资格审查项</w:t>
            </w:r>
          </w:p>
        </w:tc>
        <w:tc>
          <w:tcPr>
            <w:tcW w:w="2440" w:type="pct"/>
            <w:tcBorders>
              <w:top w:val="single" w:color="auto" w:sz="4" w:space="0"/>
              <w:left w:val="nil"/>
              <w:bottom w:val="single" w:color="auto" w:sz="4" w:space="0"/>
              <w:right w:val="single" w:color="auto" w:sz="4" w:space="0"/>
            </w:tcBorders>
            <w:vAlign w:val="center"/>
          </w:tcPr>
          <w:p w14:paraId="71AB468C">
            <w:pPr>
              <w:widowControl/>
              <w:spacing w:line="240" w:lineRule="auto"/>
              <w:jc w:val="center"/>
              <w:rPr>
                <w:rFonts w:hint="eastAsia" w:ascii="黑体" w:hAnsi="黑体" w:eastAsia="黑体" w:cs="黑体"/>
                <w:b/>
                <w:bCs/>
                <w:color w:val="auto"/>
                <w:kern w:val="0"/>
                <w:szCs w:val="24"/>
                <w:highlight w:val="none"/>
                <w:lang w:val="en-US" w:eastAsia="zh-CN"/>
              </w:rPr>
            </w:pPr>
            <w:r>
              <w:rPr>
                <w:rFonts w:hint="eastAsia" w:ascii="黑体" w:hAnsi="黑体" w:eastAsia="黑体" w:cs="黑体"/>
                <w:b/>
                <w:bCs/>
                <w:color w:val="auto"/>
                <w:kern w:val="0"/>
                <w:szCs w:val="24"/>
                <w:highlight w:val="none"/>
                <w:lang w:val="en-US" w:eastAsia="zh-CN"/>
              </w:rPr>
              <w:t>通过条件</w:t>
            </w:r>
          </w:p>
        </w:tc>
        <w:tc>
          <w:tcPr>
            <w:tcW w:w="442" w:type="pct"/>
            <w:tcBorders>
              <w:top w:val="single" w:color="auto" w:sz="4" w:space="0"/>
              <w:left w:val="nil"/>
              <w:bottom w:val="single" w:color="auto" w:sz="4" w:space="0"/>
              <w:right w:val="single" w:color="auto" w:sz="4" w:space="0"/>
            </w:tcBorders>
            <w:vAlign w:val="center"/>
          </w:tcPr>
          <w:p w14:paraId="2274842E">
            <w:pPr>
              <w:widowControl/>
              <w:spacing w:line="240" w:lineRule="auto"/>
              <w:jc w:val="center"/>
              <w:rPr>
                <w:rFonts w:hint="eastAsia" w:ascii="黑体" w:hAnsi="黑体" w:eastAsia="黑体" w:cs="黑体"/>
                <w:b/>
                <w:bCs/>
                <w:color w:val="auto"/>
                <w:kern w:val="0"/>
                <w:szCs w:val="24"/>
                <w:highlight w:val="none"/>
                <w:lang w:val="en-US" w:eastAsia="zh-CN"/>
              </w:rPr>
            </w:pPr>
            <w:r>
              <w:rPr>
                <w:rFonts w:hint="eastAsia" w:ascii="黑体" w:hAnsi="黑体" w:eastAsia="黑体" w:cs="黑体"/>
                <w:b/>
                <w:bCs/>
                <w:color w:val="auto"/>
                <w:kern w:val="0"/>
                <w:szCs w:val="24"/>
                <w:highlight w:val="none"/>
                <w:lang w:val="en-US" w:eastAsia="zh-CN"/>
              </w:rPr>
              <w:t>结论</w:t>
            </w:r>
          </w:p>
        </w:tc>
        <w:tc>
          <w:tcPr>
            <w:tcW w:w="581" w:type="pct"/>
            <w:tcBorders>
              <w:top w:val="single" w:color="auto" w:sz="4" w:space="0"/>
              <w:left w:val="nil"/>
              <w:bottom w:val="single" w:color="auto" w:sz="4" w:space="0"/>
              <w:right w:val="single" w:color="auto" w:sz="4" w:space="0"/>
            </w:tcBorders>
            <w:vAlign w:val="center"/>
          </w:tcPr>
          <w:p w14:paraId="0B885B16">
            <w:pPr>
              <w:widowControl/>
              <w:spacing w:line="240" w:lineRule="auto"/>
              <w:jc w:val="center"/>
              <w:rPr>
                <w:rFonts w:hint="eastAsia" w:ascii="黑体" w:hAnsi="黑体" w:eastAsia="黑体" w:cs="黑体"/>
                <w:b/>
                <w:bCs/>
                <w:color w:val="auto"/>
                <w:kern w:val="0"/>
                <w:szCs w:val="24"/>
                <w:highlight w:val="none"/>
                <w:lang w:val="en-US" w:eastAsia="zh-CN"/>
              </w:rPr>
            </w:pPr>
            <w:r>
              <w:rPr>
                <w:rFonts w:hint="eastAsia" w:ascii="黑体" w:hAnsi="黑体" w:eastAsia="黑体" w:cs="黑体"/>
                <w:b/>
                <w:bCs/>
                <w:color w:val="auto"/>
                <w:kern w:val="0"/>
                <w:szCs w:val="24"/>
                <w:highlight w:val="none"/>
                <w:lang w:val="en-US" w:eastAsia="zh-CN"/>
              </w:rPr>
              <w:t>不通过原因</w:t>
            </w:r>
          </w:p>
        </w:tc>
      </w:tr>
      <w:tr w14:paraId="71BD5B40">
        <w:tblPrEx>
          <w:tblCellMar>
            <w:top w:w="0" w:type="dxa"/>
            <w:left w:w="108" w:type="dxa"/>
            <w:bottom w:w="0" w:type="dxa"/>
            <w:right w:w="108" w:type="dxa"/>
          </w:tblCellMar>
        </w:tblPrEx>
        <w:trPr>
          <w:trHeight w:val="945" w:hRule="atLeast"/>
          <w:jc w:val="center"/>
        </w:trPr>
        <w:tc>
          <w:tcPr>
            <w:tcW w:w="408" w:type="pct"/>
            <w:tcBorders>
              <w:top w:val="single" w:color="auto" w:sz="4" w:space="0"/>
              <w:left w:val="single" w:color="auto" w:sz="4" w:space="0"/>
              <w:bottom w:val="single" w:color="auto" w:sz="4" w:space="0"/>
              <w:right w:val="single" w:color="auto" w:sz="4" w:space="0"/>
            </w:tcBorders>
            <w:vAlign w:val="center"/>
          </w:tcPr>
          <w:p w14:paraId="22D9D87A">
            <w:pPr>
              <w:spacing w:line="240" w:lineRule="auto"/>
              <w:jc w:val="center"/>
              <w:rPr>
                <w:rFonts w:hint="eastAsia" w:ascii="黑体" w:hAnsi="黑体" w:eastAsia="黑体" w:cs="黑体"/>
                <w:color w:val="auto"/>
                <w:szCs w:val="24"/>
                <w:highlight w:val="none"/>
                <w:lang w:val="en-US" w:eastAsia="zh-CN"/>
              </w:rPr>
            </w:pPr>
            <w:r>
              <w:rPr>
                <w:rFonts w:hint="eastAsia" w:ascii="黑体" w:hAnsi="黑体" w:eastAsia="黑体" w:cs="黑体"/>
                <w:color w:val="auto"/>
                <w:szCs w:val="24"/>
                <w:highlight w:val="none"/>
                <w:lang w:val="en-US" w:eastAsia="zh-CN"/>
              </w:rPr>
              <w:t>1</w:t>
            </w:r>
          </w:p>
        </w:tc>
        <w:tc>
          <w:tcPr>
            <w:tcW w:w="1126" w:type="pct"/>
            <w:tcBorders>
              <w:top w:val="single" w:color="auto" w:sz="4" w:space="0"/>
              <w:left w:val="nil"/>
              <w:bottom w:val="single" w:color="auto" w:sz="4" w:space="0"/>
              <w:right w:val="single" w:color="auto" w:sz="4" w:space="0"/>
            </w:tcBorders>
            <w:vAlign w:val="center"/>
          </w:tcPr>
          <w:p w14:paraId="7126498A">
            <w:pPr>
              <w:numPr>
                <w:ilvl w:val="0"/>
                <w:numId w:val="0"/>
              </w:numPr>
              <w:spacing w:line="240" w:lineRule="auto"/>
              <w:jc w:val="center"/>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独立承担民事责任的能力</w:t>
            </w:r>
          </w:p>
        </w:tc>
        <w:tc>
          <w:tcPr>
            <w:tcW w:w="2440" w:type="pct"/>
            <w:tcBorders>
              <w:top w:val="single" w:color="auto" w:sz="4" w:space="0"/>
              <w:left w:val="nil"/>
              <w:bottom w:val="single" w:color="auto" w:sz="4" w:space="0"/>
              <w:right w:val="single" w:color="auto" w:sz="4" w:space="0"/>
            </w:tcBorders>
            <w:vAlign w:val="center"/>
          </w:tcPr>
          <w:p w14:paraId="0AC8DBB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lang w:eastAsia="zh-CN"/>
              </w:rPr>
            </w:pPr>
            <w:r>
              <w:rPr>
                <w:rFonts w:hint="eastAsia" w:ascii="黑体" w:hAnsi="黑体" w:eastAsia="黑体" w:cs="黑体"/>
                <w:b w:val="0"/>
                <w:bCs w:val="0"/>
                <w:i w:val="0"/>
                <w:caps w:val="0"/>
                <w:color w:val="auto"/>
                <w:spacing w:val="0"/>
                <w:kern w:val="2"/>
                <w:sz w:val="24"/>
                <w:szCs w:val="24"/>
                <w:highlight w:val="none"/>
                <w:lang w:val="en-US" w:eastAsia="zh-CN" w:bidi="ar-SA"/>
              </w:rPr>
              <w:t>合法注册的法人应提供营业执照 (或事业法人证) 、组织机构代码证、税务登记证或统一社会信用代码的营业执照或其他组织应提供合法证明文件或自然人提供身份证件；</w:t>
            </w:r>
          </w:p>
        </w:tc>
        <w:tc>
          <w:tcPr>
            <w:tcW w:w="442" w:type="pct"/>
            <w:tcBorders>
              <w:top w:val="single" w:color="auto" w:sz="4" w:space="0"/>
              <w:left w:val="nil"/>
              <w:bottom w:val="single" w:color="auto" w:sz="4" w:space="0"/>
              <w:right w:val="single" w:color="auto" w:sz="4" w:space="0"/>
            </w:tcBorders>
            <w:vAlign w:val="center"/>
          </w:tcPr>
          <w:p w14:paraId="18971217">
            <w:pPr>
              <w:spacing w:line="240" w:lineRule="auto"/>
              <w:jc w:val="left"/>
              <w:rPr>
                <w:rFonts w:hint="eastAsia" w:ascii="黑体" w:hAnsi="黑体" w:eastAsia="黑体" w:cs="黑体"/>
                <w:color w:val="auto"/>
                <w:highlight w:val="none"/>
              </w:rPr>
            </w:pPr>
          </w:p>
        </w:tc>
        <w:tc>
          <w:tcPr>
            <w:tcW w:w="581" w:type="pct"/>
            <w:tcBorders>
              <w:top w:val="single" w:color="auto" w:sz="4" w:space="0"/>
              <w:left w:val="nil"/>
              <w:bottom w:val="single" w:color="auto" w:sz="4" w:space="0"/>
              <w:right w:val="single" w:color="auto" w:sz="4" w:space="0"/>
            </w:tcBorders>
            <w:vAlign w:val="center"/>
          </w:tcPr>
          <w:p w14:paraId="09F96753">
            <w:pPr>
              <w:spacing w:line="240" w:lineRule="auto"/>
              <w:jc w:val="left"/>
              <w:rPr>
                <w:rFonts w:hint="eastAsia" w:ascii="黑体" w:hAnsi="黑体" w:eastAsia="黑体" w:cs="黑体"/>
                <w:color w:val="auto"/>
                <w:highlight w:val="none"/>
              </w:rPr>
            </w:pPr>
          </w:p>
        </w:tc>
      </w:tr>
      <w:tr w14:paraId="55B45BE8">
        <w:tblPrEx>
          <w:tblCellMar>
            <w:top w:w="0" w:type="dxa"/>
            <w:left w:w="108" w:type="dxa"/>
            <w:bottom w:w="0" w:type="dxa"/>
            <w:right w:w="108" w:type="dxa"/>
          </w:tblCellMar>
        </w:tblPrEx>
        <w:trPr>
          <w:trHeight w:val="945" w:hRule="atLeast"/>
          <w:jc w:val="center"/>
        </w:trPr>
        <w:tc>
          <w:tcPr>
            <w:tcW w:w="408" w:type="pct"/>
            <w:tcBorders>
              <w:top w:val="single" w:color="auto" w:sz="4" w:space="0"/>
              <w:left w:val="single" w:color="auto" w:sz="4" w:space="0"/>
              <w:bottom w:val="single" w:color="auto" w:sz="4" w:space="0"/>
              <w:right w:val="single" w:color="auto" w:sz="4" w:space="0"/>
            </w:tcBorders>
            <w:vAlign w:val="center"/>
          </w:tcPr>
          <w:p w14:paraId="319C09BB">
            <w:pPr>
              <w:spacing w:line="240" w:lineRule="auto"/>
              <w:jc w:val="center"/>
              <w:rPr>
                <w:rFonts w:hint="eastAsia" w:ascii="黑体" w:hAnsi="黑体" w:eastAsia="黑体" w:cs="黑体"/>
                <w:color w:val="auto"/>
                <w:szCs w:val="24"/>
                <w:highlight w:val="none"/>
                <w:lang w:val="en-US" w:eastAsia="zh-CN"/>
              </w:rPr>
            </w:pPr>
            <w:r>
              <w:rPr>
                <w:rFonts w:hint="eastAsia" w:ascii="黑体" w:hAnsi="黑体" w:eastAsia="黑体" w:cs="黑体"/>
                <w:color w:val="auto"/>
                <w:szCs w:val="24"/>
                <w:highlight w:val="none"/>
                <w:lang w:val="en-US" w:eastAsia="zh-CN"/>
              </w:rPr>
              <w:t>2</w:t>
            </w:r>
          </w:p>
        </w:tc>
        <w:tc>
          <w:tcPr>
            <w:tcW w:w="1126" w:type="pct"/>
            <w:tcBorders>
              <w:top w:val="single" w:color="auto" w:sz="4" w:space="0"/>
              <w:left w:val="nil"/>
              <w:bottom w:val="single" w:color="auto" w:sz="4" w:space="0"/>
              <w:right w:val="single" w:color="auto" w:sz="4" w:space="0"/>
            </w:tcBorders>
            <w:vAlign w:val="center"/>
          </w:tcPr>
          <w:p w14:paraId="1EB86B19">
            <w:pPr>
              <w:numPr>
                <w:ilvl w:val="0"/>
                <w:numId w:val="0"/>
              </w:numPr>
              <w:spacing w:line="240" w:lineRule="auto"/>
              <w:jc w:val="center"/>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企业资质</w:t>
            </w:r>
          </w:p>
        </w:tc>
        <w:tc>
          <w:tcPr>
            <w:tcW w:w="2440" w:type="pct"/>
            <w:tcBorders>
              <w:top w:val="single" w:color="auto" w:sz="4" w:space="0"/>
              <w:left w:val="nil"/>
              <w:bottom w:val="single" w:color="auto" w:sz="4" w:space="0"/>
              <w:right w:val="single" w:color="auto" w:sz="4" w:space="0"/>
            </w:tcBorders>
            <w:vAlign w:val="center"/>
          </w:tcPr>
          <w:p w14:paraId="18367A68">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供应商须具备行政主管部门颁发的城乡规划（国土空间规划）编制资质证书乙级（含乙级）及以上资质；</w:t>
            </w:r>
          </w:p>
        </w:tc>
        <w:tc>
          <w:tcPr>
            <w:tcW w:w="442" w:type="pct"/>
            <w:tcBorders>
              <w:top w:val="single" w:color="auto" w:sz="4" w:space="0"/>
              <w:left w:val="nil"/>
              <w:bottom w:val="single" w:color="auto" w:sz="4" w:space="0"/>
              <w:right w:val="single" w:color="auto" w:sz="4" w:space="0"/>
            </w:tcBorders>
            <w:vAlign w:val="center"/>
          </w:tcPr>
          <w:p w14:paraId="05907A31">
            <w:pPr>
              <w:spacing w:line="240" w:lineRule="auto"/>
              <w:jc w:val="left"/>
              <w:rPr>
                <w:rFonts w:hint="eastAsia" w:ascii="黑体" w:hAnsi="黑体" w:eastAsia="黑体" w:cs="黑体"/>
                <w:color w:val="auto"/>
                <w:highlight w:val="none"/>
              </w:rPr>
            </w:pPr>
          </w:p>
        </w:tc>
        <w:tc>
          <w:tcPr>
            <w:tcW w:w="581" w:type="pct"/>
            <w:tcBorders>
              <w:top w:val="single" w:color="auto" w:sz="4" w:space="0"/>
              <w:left w:val="nil"/>
              <w:bottom w:val="single" w:color="auto" w:sz="4" w:space="0"/>
              <w:right w:val="single" w:color="auto" w:sz="4" w:space="0"/>
            </w:tcBorders>
            <w:vAlign w:val="center"/>
          </w:tcPr>
          <w:p w14:paraId="6055D616">
            <w:pPr>
              <w:spacing w:line="240" w:lineRule="auto"/>
              <w:jc w:val="left"/>
              <w:rPr>
                <w:rFonts w:hint="eastAsia" w:ascii="黑体" w:hAnsi="黑体" w:eastAsia="黑体" w:cs="黑体"/>
                <w:color w:val="auto"/>
                <w:highlight w:val="none"/>
              </w:rPr>
            </w:pPr>
          </w:p>
        </w:tc>
      </w:tr>
      <w:tr w14:paraId="4480C09B">
        <w:tblPrEx>
          <w:tblCellMar>
            <w:top w:w="0" w:type="dxa"/>
            <w:left w:w="108" w:type="dxa"/>
            <w:bottom w:w="0" w:type="dxa"/>
            <w:right w:w="108" w:type="dxa"/>
          </w:tblCellMar>
        </w:tblPrEx>
        <w:trPr>
          <w:trHeight w:val="790" w:hRule="atLeast"/>
          <w:jc w:val="center"/>
        </w:trPr>
        <w:tc>
          <w:tcPr>
            <w:tcW w:w="408" w:type="pct"/>
            <w:tcBorders>
              <w:top w:val="single" w:color="auto" w:sz="4" w:space="0"/>
              <w:left w:val="single" w:color="auto" w:sz="4" w:space="0"/>
              <w:bottom w:val="single" w:color="auto" w:sz="4" w:space="0"/>
              <w:right w:val="single" w:color="auto" w:sz="4" w:space="0"/>
            </w:tcBorders>
            <w:vAlign w:val="center"/>
          </w:tcPr>
          <w:p w14:paraId="19131DAC">
            <w:pPr>
              <w:spacing w:line="240" w:lineRule="auto"/>
              <w:jc w:val="center"/>
              <w:rPr>
                <w:rFonts w:hint="eastAsia" w:ascii="黑体" w:hAnsi="黑体" w:eastAsia="黑体" w:cs="黑体"/>
                <w:color w:val="auto"/>
                <w:szCs w:val="24"/>
                <w:highlight w:val="none"/>
                <w:lang w:val="en-US" w:eastAsia="zh-CN"/>
              </w:rPr>
            </w:pPr>
            <w:r>
              <w:rPr>
                <w:rFonts w:hint="eastAsia" w:ascii="黑体" w:hAnsi="黑体" w:eastAsia="黑体" w:cs="黑体"/>
                <w:color w:val="auto"/>
                <w:szCs w:val="24"/>
                <w:highlight w:val="none"/>
                <w:lang w:val="en-US" w:eastAsia="zh-CN"/>
              </w:rPr>
              <w:t>3</w:t>
            </w:r>
          </w:p>
        </w:tc>
        <w:tc>
          <w:tcPr>
            <w:tcW w:w="1126" w:type="pct"/>
            <w:tcBorders>
              <w:top w:val="single" w:color="auto" w:sz="4" w:space="0"/>
              <w:left w:val="nil"/>
              <w:bottom w:val="single" w:color="auto" w:sz="4" w:space="0"/>
              <w:right w:val="single" w:color="auto" w:sz="4" w:space="0"/>
            </w:tcBorders>
            <w:shd w:val="clear" w:color="auto" w:fill="auto"/>
            <w:vAlign w:val="center"/>
          </w:tcPr>
          <w:p w14:paraId="030D233F">
            <w:pPr>
              <w:numPr>
                <w:ilvl w:val="0"/>
                <w:numId w:val="0"/>
              </w:numPr>
              <w:spacing w:line="240" w:lineRule="auto"/>
              <w:ind w:left="0" w:leftChars="0" w:firstLine="0" w:firstLineChars="0"/>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pacing w:val="4"/>
                <w:szCs w:val="24"/>
                <w:highlight w:val="none"/>
                <w:lang w:val="en-US" w:eastAsia="zh-CN"/>
              </w:rPr>
              <w:t>良好的商业信誉和健全的财务会计制度</w:t>
            </w:r>
          </w:p>
        </w:tc>
        <w:tc>
          <w:tcPr>
            <w:tcW w:w="2440" w:type="pct"/>
            <w:tcBorders>
              <w:top w:val="single" w:color="auto" w:sz="4" w:space="0"/>
              <w:left w:val="nil"/>
              <w:bottom w:val="single" w:color="auto" w:sz="4" w:space="0"/>
              <w:right w:val="single" w:color="auto" w:sz="4" w:space="0"/>
            </w:tcBorders>
            <w:vAlign w:val="center"/>
          </w:tcPr>
          <w:p w14:paraId="1E299D6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lang w:eastAsia="zh-CN"/>
              </w:rPr>
            </w:pPr>
            <w:r>
              <w:rPr>
                <w:rFonts w:hint="eastAsia" w:ascii="黑体" w:hAnsi="黑体" w:eastAsia="黑体" w:cs="黑体"/>
                <w:b w:val="0"/>
                <w:bCs w:val="0"/>
                <w:i w:val="0"/>
                <w:caps w:val="0"/>
                <w:color w:val="auto"/>
                <w:spacing w:val="0"/>
                <w:kern w:val="2"/>
                <w:sz w:val="24"/>
                <w:szCs w:val="24"/>
                <w:highlight w:val="none"/>
                <w:lang w:val="en-US" w:eastAsia="zh-CN" w:bidi="ar-SA"/>
              </w:rPr>
              <w:t>提供具有财务审计资质单位出具的2025年度财务报告（包括“四表一注”，即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tc>
        <w:tc>
          <w:tcPr>
            <w:tcW w:w="442" w:type="pct"/>
            <w:tcBorders>
              <w:top w:val="single" w:color="auto" w:sz="4" w:space="0"/>
              <w:left w:val="nil"/>
              <w:bottom w:val="single" w:color="auto" w:sz="4" w:space="0"/>
              <w:right w:val="single" w:color="auto" w:sz="4" w:space="0"/>
            </w:tcBorders>
            <w:vAlign w:val="center"/>
          </w:tcPr>
          <w:p w14:paraId="3AEC314A">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2654EB30">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0285FCDB">
        <w:tblPrEx>
          <w:tblCellMar>
            <w:top w:w="0" w:type="dxa"/>
            <w:left w:w="108" w:type="dxa"/>
            <w:bottom w:w="0" w:type="dxa"/>
            <w:right w:w="108" w:type="dxa"/>
          </w:tblCellMar>
        </w:tblPrEx>
        <w:trPr>
          <w:trHeight w:val="1186"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4E3BD8EB">
            <w:pPr>
              <w:spacing w:line="24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Cs w:val="24"/>
                <w:highlight w:val="none"/>
                <w:lang w:val="en-US" w:eastAsia="zh-CN"/>
              </w:rPr>
              <w:t>4</w:t>
            </w:r>
          </w:p>
        </w:tc>
        <w:tc>
          <w:tcPr>
            <w:tcW w:w="1126" w:type="pct"/>
            <w:tcBorders>
              <w:top w:val="single" w:color="auto" w:sz="4" w:space="0"/>
              <w:left w:val="nil"/>
              <w:bottom w:val="single" w:color="auto" w:sz="4" w:space="0"/>
              <w:right w:val="single" w:color="auto" w:sz="4" w:space="0"/>
            </w:tcBorders>
            <w:shd w:val="clear" w:color="auto" w:fill="auto"/>
            <w:vAlign w:val="center"/>
          </w:tcPr>
          <w:p w14:paraId="1FCAE2AE">
            <w:pPr>
              <w:numPr>
                <w:ilvl w:val="0"/>
                <w:numId w:val="0"/>
              </w:numPr>
              <w:spacing w:line="240" w:lineRule="auto"/>
              <w:ind w:left="0" w:leftChars="0" w:firstLine="0" w:firstLineChars="0"/>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pacing w:val="4"/>
                <w:szCs w:val="24"/>
                <w:highlight w:val="none"/>
                <w:lang w:val="en-US" w:eastAsia="zh-CN"/>
              </w:rPr>
              <w:t>有依法缴纳税收和社会保障资金的良好记录</w:t>
            </w:r>
          </w:p>
        </w:tc>
        <w:tc>
          <w:tcPr>
            <w:tcW w:w="2440" w:type="pct"/>
            <w:tcBorders>
              <w:top w:val="single" w:color="auto" w:sz="4" w:space="0"/>
              <w:left w:val="nil"/>
              <w:bottom w:val="single" w:color="auto" w:sz="4" w:space="0"/>
              <w:right w:val="single" w:color="auto" w:sz="4" w:space="0"/>
            </w:tcBorders>
            <w:vAlign w:val="center"/>
          </w:tcPr>
          <w:p w14:paraId="73C2245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i w:val="0"/>
                <w:caps w:val="0"/>
                <w:color w:val="auto"/>
                <w:spacing w:val="0"/>
                <w:kern w:val="2"/>
                <w:sz w:val="24"/>
                <w:szCs w:val="24"/>
                <w:highlight w:val="none"/>
                <w:lang w:val="en-US" w:eastAsia="zh-CN" w:bidi="ar-SA"/>
              </w:rPr>
              <w:t>提供2026年02月01日至今任意时段至少一个月的缴纳证明，依法免税的单位应提供相关证明材料；</w:t>
            </w:r>
          </w:p>
        </w:tc>
        <w:tc>
          <w:tcPr>
            <w:tcW w:w="442" w:type="pct"/>
            <w:tcBorders>
              <w:top w:val="single" w:color="auto" w:sz="4" w:space="0"/>
              <w:left w:val="nil"/>
              <w:bottom w:val="single" w:color="auto" w:sz="4" w:space="0"/>
              <w:right w:val="single" w:color="auto" w:sz="4" w:space="0"/>
            </w:tcBorders>
            <w:vAlign w:val="center"/>
          </w:tcPr>
          <w:p w14:paraId="653472AB">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356FD95C">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2E7A962A">
        <w:tblPrEx>
          <w:tblCellMar>
            <w:top w:w="0" w:type="dxa"/>
            <w:left w:w="108" w:type="dxa"/>
            <w:bottom w:w="0" w:type="dxa"/>
            <w:right w:w="108" w:type="dxa"/>
          </w:tblCellMar>
        </w:tblPrEx>
        <w:trPr>
          <w:trHeight w:val="1462"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15BBDA27">
            <w:pPr>
              <w:spacing w:line="24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Cs w:val="24"/>
                <w:highlight w:val="none"/>
                <w:lang w:val="en-US" w:eastAsia="zh-CN"/>
              </w:rPr>
              <w:t>5</w:t>
            </w:r>
          </w:p>
        </w:tc>
        <w:tc>
          <w:tcPr>
            <w:tcW w:w="1126" w:type="pct"/>
            <w:tcBorders>
              <w:top w:val="single" w:color="auto" w:sz="4" w:space="0"/>
              <w:left w:val="nil"/>
              <w:bottom w:val="single" w:color="auto" w:sz="4" w:space="0"/>
              <w:right w:val="single" w:color="auto" w:sz="4" w:space="0"/>
            </w:tcBorders>
            <w:shd w:val="clear" w:color="auto" w:fill="auto"/>
            <w:vAlign w:val="center"/>
          </w:tcPr>
          <w:p w14:paraId="6CCEE118">
            <w:pPr>
              <w:numPr>
                <w:ilvl w:val="0"/>
                <w:numId w:val="0"/>
              </w:numPr>
              <w:spacing w:line="240" w:lineRule="auto"/>
              <w:ind w:left="0" w:leftChars="0" w:firstLine="0" w:firstLineChars="0"/>
              <w:jc w:val="center"/>
              <w:rPr>
                <w:rFonts w:hint="eastAsia" w:ascii="黑体" w:hAnsi="黑体" w:eastAsia="黑体" w:cs="黑体"/>
                <w:color w:val="auto"/>
                <w:spacing w:val="4"/>
                <w:kern w:val="2"/>
                <w:sz w:val="24"/>
                <w:szCs w:val="24"/>
                <w:highlight w:val="none"/>
                <w:lang w:val="en-US" w:eastAsia="zh-CN" w:bidi="ar-SA"/>
              </w:rPr>
            </w:pPr>
            <w:r>
              <w:rPr>
                <w:rFonts w:hint="eastAsia" w:ascii="黑体" w:hAnsi="黑体" w:eastAsia="黑体" w:cs="黑体"/>
                <w:color w:val="auto"/>
                <w:spacing w:val="4"/>
                <w:szCs w:val="24"/>
                <w:highlight w:val="none"/>
                <w:lang w:val="en-US" w:eastAsia="zh-CN"/>
              </w:rPr>
              <w:t>书面声明</w:t>
            </w:r>
          </w:p>
        </w:tc>
        <w:tc>
          <w:tcPr>
            <w:tcW w:w="2440" w:type="pct"/>
            <w:tcBorders>
              <w:top w:val="single" w:color="auto" w:sz="4" w:space="0"/>
              <w:left w:val="nil"/>
              <w:bottom w:val="single" w:color="auto" w:sz="4" w:space="0"/>
              <w:right w:val="single" w:color="auto" w:sz="4" w:space="0"/>
            </w:tcBorders>
            <w:vAlign w:val="center"/>
          </w:tcPr>
          <w:p w14:paraId="67CE929E">
            <w:pPr>
              <w:pStyle w:val="11"/>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黑体" w:hAnsi="黑体" w:eastAsia="黑体" w:cs="黑体"/>
                <w:color w:val="auto"/>
                <w:sz w:val="24"/>
                <w:szCs w:val="24"/>
                <w:highlight w:val="none"/>
                <w:lang w:eastAsia="zh-CN"/>
              </w:rPr>
            </w:pPr>
            <w:r>
              <w:rPr>
                <w:rFonts w:hint="eastAsia" w:ascii="黑体" w:hAnsi="黑体" w:eastAsia="黑体" w:cs="黑体"/>
                <w:b w:val="0"/>
                <w:bCs w:val="0"/>
                <w:i w:val="0"/>
                <w:caps w:val="0"/>
                <w:color w:val="auto"/>
                <w:spacing w:val="0"/>
                <w:kern w:val="2"/>
                <w:sz w:val="24"/>
                <w:szCs w:val="24"/>
                <w:highlight w:val="none"/>
                <w:lang w:val="en-US" w:eastAsia="zh-CN" w:bidi="ar-SA"/>
              </w:rPr>
              <w:t>(1)参加本次政府采购活动前三年内在经营活动中没有重大违纪，以及未被列入失信被执行人、重大税收违法案件当事人名单、政府采购严重违法失信行为记录名单的书面声明；(2)提供具有履行本合同所必需的设备和专业技术能力的声明；</w:t>
            </w:r>
          </w:p>
        </w:tc>
        <w:tc>
          <w:tcPr>
            <w:tcW w:w="442" w:type="pct"/>
            <w:tcBorders>
              <w:top w:val="single" w:color="auto" w:sz="4" w:space="0"/>
              <w:left w:val="nil"/>
              <w:bottom w:val="single" w:color="auto" w:sz="4" w:space="0"/>
              <w:right w:val="single" w:color="auto" w:sz="4" w:space="0"/>
            </w:tcBorders>
            <w:vAlign w:val="center"/>
          </w:tcPr>
          <w:p w14:paraId="63F23E63">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276DBCD8">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3BDCD2DF">
        <w:tblPrEx>
          <w:tblCellMar>
            <w:top w:w="0" w:type="dxa"/>
            <w:left w:w="108" w:type="dxa"/>
            <w:bottom w:w="0" w:type="dxa"/>
            <w:right w:w="108" w:type="dxa"/>
          </w:tblCellMar>
        </w:tblPrEx>
        <w:trPr>
          <w:trHeight w:val="1462"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39772D79">
            <w:pPr>
              <w:spacing w:line="24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Cs w:val="24"/>
                <w:highlight w:val="none"/>
                <w:lang w:val="en-US" w:eastAsia="zh-CN"/>
              </w:rPr>
              <w:t>6</w:t>
            </w:r>
          </w:p>
        </w:tc>
        <w:tc>
          <w:tcPr>
            <w:tcW w:w="1126" w:type="pct"/>
            <w:tcBorders>
              <w:top w:val="single" w:color="auto" w:sz="4" w:space="0"/>
              <w:left w:val="nil"/>
              <w:bottom w:val="single" w:color="auto" w:sz="4" w:space="0"/>
              <w:right w:val="single" w:color="auto" w:sz="4" w:space="0"/>
            </w:tcBorders>
            <w:shd w:val="clear" w:color="auto" w:fill="auto"/>
            <w:vAlign w:val="center"/>
          </w:tcPr>
          <w:p w14:paraId="147CD95F">
            <w:pPr>
              <w:numPr>
                <w:ilvl w:val="0"/>
                <w:numId w:val="0"/>
              </w:numPr>
              <w:spacing w:line="240" w:lineRule="auto"/>
              <w:ind w:left="0" w:leftChars="0" w:firstLine="0" w:firstLineChars="0"/>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val="en-US" w:eastAsia="zh-CN"/>
              </w:rPr>
              <w:t>法定代表人身份证明或授权委托书</w:t>
            </w:r>
          </w:p>
        </w:tc>
        <w:tc>
          <w:tcPr>
            <w:tcW w:w="2440" w:type="pct"/>
            <w:tcBorders>
              <w:top w:val="single" w:color="auto" w:sz="4" w:space="0"/>
              <w:left w:val="nil"/>
              <w:bottom w:val="single" w:color="auto" w:sz="4" w:space="0"/>
              <w:right w:val="single" w:color="auto" w:sz="4" w:space="0"/>
            </w:tcBorders>
            <w:vAlign w:val="center"/>
          </w:tcPr>
          <w:p w14:paraId="56D0D279">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i w:val="0"/>
                <w:caps w:val="0"/>
                <w:color w:val="auto"/>
                <w:spacing w:val="0"/>
                <w:kern w:val="2"/>
                <w:sz w:val="24"/>
                <w:szCs w:val="24"/>
                <w:highlight w:val="none"/>
                <w:lang w:val="en-US" w:eastAsia="zh-CN" w:bidi="ar-SA"/>
              </w:rPr>
              <w:t>法定代表人直接参加投标的，须出具法定代表人身份证；法定代表人授权代表参加投标的 ，须出具法定代表人授权委托书、法定代表人身份证复印件以及被授权代表身份证；</w:t>
            </w:r>
          </w:p>
        </w:tc>
        <w:tc>
          <w:tcPr>
            <w:tcW w:w="442" w:type="pct"/>
            <w:tcBorders>
              <w:top w:val="single" w:color="auto" w:sz="4" w:space="0"/>
              <w:left w:val="nil"/>
              <w:bottom w:val="single" w:color="auto" w:sz="4" w:space="0"/>
              <w:right w:val="single" w:color="auto" w:sz="4" w:space="0"/>
            </w:tcBorders>
            <w:vAlign w:val="center"/>
          </w:tcPr>
          <w:p w14:paraId="5BC13EC0">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70D53020">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6F129B09">
        <w:tblPrEx>
          <w:tblCellMar>
            <w:top w:w="0" w:type="dxa"/>
            <w:left w:w="108" w:type="dxa"/>
            <w:bottom w:w="0" w:type="dxa"/>
            <w:right w:w="108" w:type="dxa"/>
          </w:tblCellMar>
        </w:tblPrEx>
        <w:trPr>
          <w:trHeight w:val="90"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96F5158">
            <w:pPr>
              <w:spacing w:line="24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Cs w:val="24"/>
                <w:highlight w:val="none"/>
                <w:lang w:val="en-US" w:eastAsia="zh-CN"/>
              </w:rPr>
              <w:t>7</w:t>
            </w:r>
          </w:p>
        </w:tc>
        <w:tc>
          <w:tcPr>
            <w:tcW w:w="1126" w:type="pct"/>
            <w:tcBorders>
              <w:top w:val="single" w:color="auto" w:sz="4" w:space="0"/>
              <w:left w:val="nil"/>
              <w:bottom w:val="single" w:color="auto" w:sz="4" w:space="0"/>
              <w:right w:val="single" w:color="auto" w:sz="4" w:space="0"/>
            </w:tcBorders>
            <w:shd w:val="clear" w:color="auto" w:fill="auto"/>
            <w:vAlign w:val="center"/>
          </w:tcPr>
          <w:p w14:paraId="6605650D">
            <w:pPr>
              <w:numPr>
                <w:ilvl w:val="0"/>
                <w:numId w:val="0"/>
              </w:numPr>
              <w:spacing w:line="240" w:lineRule="auto"/>
              <w:ind w:left="0" w:leftChars="0" w:firstLine="0" w:firstLineChars="0"/>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eastAsia="zh-CN"/>
              </w:rPr>
              <w:t>供应商企业关系关联及联合体说明</w:t>
            </w:r>
          </w:p>
        </w:tc>
        <w:tc>
          <w:tcPr>
            <w:tcW w:w="2440" w:type="pct"/>
            <w:tcBorders>
              <w:top w:val="single" w:color="auto" w:sz="4" w:space="0"/>
              <w:left w:val="nil"/>
              <w:bottom w:val="single" w:color="auto" w:sz="4" w:space="0"/>
              <w:right w:val="single" w:color="auto" w:sz="4" w:space="0"/>
            </w:tcBorders>
            <w:vAlign w:val="center"/>
          </w:tcPr>
          <w:p w14:paraId="0A8B914D">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lang w:eastAsia="zh-CN"/>
              </w:rPr>
            </w:pPr>
            <w:r>
              <w:rPr>
                <w:rFonts w:hint="eastAsia" w:ascii="黑体" w:hAnsi="黑体" w:eastAsia="黑体" w:cs="黑体"/>
                <w:sz w:val="24"/>
                <w:szCs w:val="24"/>
                <w:lang w:val="en-US" w:eastAsia="zh-CN"/>
              </w:rPr>
              <w:t>本项目不接受联合体投标，单位负责人为同一人或者存在直接控股、管理关系的不同供应商，不得参加同一合同项下的政府采购活动，并提供承诺书；</w:t>
            </w:r>
          </w:p>
        </w:tc>
        <w:tc>
          <w:tcPr>
            <w:tcW w:w="442" w:type="pct"/>
            <w:tcBorders>
              <w:top w:val="single" w:color="auto" w:sz="4" w:space="0"/>
              <w:left w:val="nil"/>
              <w:bottom w:val="single" w:color="auto" w:sz="4" w:space="0"/>
              <w:right w:val="single" w:color="auto" w:sz="4" w:space="0"/>
            </w:tcBorders>
            <w:vAlign w:val="center"/>
          </w:tcPr>
          <w:p w14:paraId="208B21A5">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6A525326">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2D4B8F3F">
        <w:tblPrEx>
          <w:tblCellMar>
            <w:top w:w="0" w:type="dxa"/>
            <w:left w:w="108" w:type="dxa"/>
            <w:bottom w:w="0" w:type="dxa"/>
            <w:right w:w="108" w:type="dxa"/>
          </w:tblCellMar>
        </w:tblPrEx>
        <w:trPr>
          <w:trHeight w:val="374" w:hRule="atLeast"/>
          <w:jc w:val="center"/>
        </w:trPr>
        <w:tc>
          <w:tcPr>
            <w:tcW w:w="408" w:type="pct"/>
            <w:tcBorders>
              <w:top w:val="single" w:color="auto" w:sz="4" w:space="0"/>
              <w:left w:val="single" w:color="auto" w:sz="4" w:space="0"/>
              <w:bottom w:val="single" w:color="auto" w:sz="4" w:space="0"/>
              <w:right w:val="single" w:color="auto" w:sz="4" w:space="0"/>
            </w:tcBorders>
            <w:shd w:val="clear" w:color="auto" w:fill="auto"/>
            <w:vAlign w:val="center"/>
          </w:tcPr>
          <w:p w14:paraId="7F14A2CA">
            <w:pPr>
              <w:spacing w:line="240" w:lineRule="auto"/>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Cs w:val="24"/>
                <w:highlight w:val="none"/>
                <w:lang w:val="en-US" w:eastAsia="zh-CN"/>
              </w:rPr>
              <w:t>8</w:t>
            </w:r>
          </w:p>
        </w:tc>
        <w:tc>
          <w:tcPr>
            <w:tcW w:w="1126" w:type="pct"/>
            <w:tcBorders>
              <w:top w:val="single" w:color="auto" w:sz="4" w:space="0"/>
              <w:left w:val="nil"/>
              <w:bottom w:val="single" w:color="auto" w:sz="4" w:space="0"/>
              <w:right w:val="single" w:color="auto" w:sz="4" w:space="0"/>
            </w:tcBorders>
            <w:shd w:val="clear" w:color="auto" w:fill="auto"/>
            <w:vAlign w:val="center"/>
          </w:tcPr>
          <w:p w14:paraId="518B16A5">
            <w:pPr>
              <w:numPr>
                <w:ilvl w:val="0"/>
                <w:numId w:val="0"/>
              </w:numPr>
              <w:spacing w:line="240" w:lineRule="auto"/>
              <w:ind w:left="0" w:leftChars="0" w:firstLine="0" w:firstLineChars="0"/>
              <w:jc w:val="center"/>
              <w:rPr>
                <w:rFonts w:hint="eastAsia" w:ascii="黑体" w:hAnsi="黑体" w:eastAsia="黑体" w:cs="黑体"/>
                <w:color w:val="auto"/>
                <w:kern w:val="2"/>
                <w:sz w:val="24"/>
                <w:szCs w:val="24"/>
                <w:highlight w:val="none"/>
                <w:lang w:val="en-US" w:eastAsia="zh-CN" w:bidi="ar-SA"/>
              </w:rPr>
            </w:pPr>
            <w:r>
              <w:rPr>
                <w:rFonts w:hint="eastAsia" w:ascii="黑体" w:hAnsi="黑体" w:eastAsia="黑体" w:cs="黑体"/>
                <w:color w:val="auto"/>
                <w:sz w:val="24"/>
                <w:szCs w:val="24"/>
                <w:highlight w:val="none"/>
                <w:lang w:val="en-US" w:eastAsia="zh-CN"/>
              </w:rPr>
              <w:t>中小企业声明函</w:t>
            </w:r>
          </w:p>
        </w:tc>
        <w:tc>
          <w:tcPr>
            <w:tcW w:w="2440" w:type="pct"/>
            <w:tcBorders>
              <w:top w:val="single" w:color="auto" w:sz="4" w:space="0"/>
              <w:left w:val="nil"/>
              <w:bottom w:val="single" w:color="auto" w:sz="4" w:space="0"/>
              <w:right w:val="single" w:color="auto" w:sz="4" w:space="0"/>
            </w:tcBorders>
            <w:vAlign w:val="center"/>
          </w:tcPr>
          <w:p w14:paraId="1BDDB6AA">
            <w:pPr>
              <w:pStyle w:val="86"/>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24"/>
                <w:szCs w:val="24"/>
                <w:highlight w:val="none"/>
                <w:lang w:eastAsia="zh-CN"/>
              </w:rPr>
            </w:pPr>
            <w:r>
              <w:rPr>
                <w:rFonts w:hint="eastAsia" w:ascii="黑体" w:hAnsi="黑体" w:eastAsia="黑体" w:cs="黑体"/>
                <w:sz w:val="24"/>
                <w:szCs w:val="24"/>
                <w:lang w:val="en-US" w:eastAsia="zh-CN"/>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且中小企业的划分标准所属行业为其他未列明行业；供应商为监狱企业的，应提供监狱企业的证明文件；供应商为残疾人福利性单位的，应提供《残疾人福利性单位声明函》。</w:t>
            </w:r>
          </w:p>
        </w:tc>
        <w:tc>
          <w:tcPr>
            <w:tcW w:w="442" w:type="pct"/>
            <w:tcBorders>
              <w:top w:val="single" w:color="auto" w:sz="4" w:space="0"/>
              <w:left w:val="nil"/>
              <w:bottom w:val="single" w:color="auto" w:sz="4" w:space="0"/>
              <w:right w:val="single" w:color="auto" w:sz="4" w:space="0"/>
            </w:tcBorders>
            <w:vAlign w:val="center"/>
          </w:tcPr>
          <w:p w14:paraId="3481E565">
            <w:pPr>
              <w:numPr>
                <w:ilvl w:val="0"/>
                <w:numId w:val="0"/>
              </w:numPr>
              <w:spacing w:line="240" w:lineRule="auto"/>
              <w:jc w:val="center"/>
              <w:rPr>
                <w:rFonts w:hint="eastAsia" w:ascii="黑体" w:hAnsi="黑体" w:eastAsia="黑体" w:cs="黑体"/>
                <w:color w:val="auto"/>
                <w:sz w:val="24"/>
                <w:szCs w:val="24"/>
                <w:highlight w:val="none"/>
                <w:lang w:eastAsia="zh-CN"/>
              </w:rPr>
            </w:pPr>
          </w:p>
        </w:tc>
        <w:tc>
          <w:tcPr>
            <w:tcW w:w="581" w:type="pct"/>
            <w:tcBorders>
              <w:top w:val="single" w:color="auto" w:sz="4" w:space="0"/>
              <w:left w:val="nil"/>
              <w:bottom w:val="single" w:color="auto" w:sz="4" w:space="0"/>
              <w:right w:val="single" w:color="auto" w:sz="4" w:space="0"/>
            </w:tcBorders>
            <w:vAlign w:val="center"/>
          </w:tcPr>
          <w:p w14:paraId="3CAC4C1A">
            <w:pPr>
              <w:numPr>
                <w:ilvl w:val="0"/>
                <w:numId w:val="0"/>
              </w:numPr>
              <w:spacing w:line="240" w:lineRule="auto"/>
              <w:jc w:val="center"/>
              <w:rPr>
                <w:rFonts w:hint="eastAsia" w:ascii="黑体" w:hAnsi="黑体" w:eastAsia="黑体" w:cs="黑体"/>
                <w:color w:val="auto"/>
                <w:sz w:val="24"/>
                <w:szCs w:val="24"/>
                <w:highlight w:val="none"/>
                <w:lang w:eastAsia="zh-CN"/>
              </w:rPr>
            </w:pPr>
          </w:p>
        </w:tc>
      </w:tr>
      <w:tr w14:paraId="56CCF481">
        <w:tblPrEx>
          <w:tblCellMar>
            <w:top w:w="0" w:type="dxa"/>
            <w:left w:w="108" w:type="dxa"/>
            <w:bottom w:w="0" w:type="dxa"/>
            <w:right w:w="108" w:type="dxa"/>
          </w:tblCellMar>
        </w:tblPrEx>
        <w:trPr>
          <w:trHeight w:val="568" w:hRule="atLeast"/>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CF40DD4">
            <w:pPr>
              <w:spacing w:line="240" w:lineRule="auto"/>
              <w:jc w:val="left"/>
              <w:rPr>
                <w:rFonts w:hint="eastAsia" w:ascii="黑体" w:hAnsi="黑体" w:eastAsia="黑体" w:cs="黑体"/>
                <w:color w:val="auto"/>
                <w:highlight w:val="none"/>
              </w:rPr>
            </w:pPr>
            <w:r>
              <w:rPr>
                <w:rFonts w:hint="eastAsia" w:ascii="黑体" w:hAnsi="黑体" w:eastAsia="黑体" w:cs="黑体"/>
                <w:b/>
                <w:bCs/>
                <w:color w:val="auto"/>
                <w:highlight w:val="none"/>
                <w:lang w:val="en-US" w:eastAsia="zh-CN"/>
              </w:rPr>
              <w:t>审查小组成员</w:t>
            </w:r>
            <w:r>
              <w:rPr>
                <w:rFonts w:hint="eastAsia" w:ascii="黑体" w:hAnsi="黑体" w:eastAsia="黑体" w:cs="黑体"/>
                <w:b/>
                <w:bCs/>
                <w:color w:val="auto"/>
                <w:highlight w:val="none"/>
              </w:rPr>
              <w:t>（签字）：</w:t>
            </w:r>
          </w:p>
        </w:tc>
      </w:tr>
      <w:bookmarkEnd w:id="27"/>
    </w:tbl>
    <w:p w14:paraId="6CB0CFCD">
      <w:pPr>
        <w:pStyle w:val="16"/>
        <w:ind w:left="0" w:leftChars="0" w:firstLine="480" w:firstLineChars="20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以上资格证明文件为供应商的必备文件（注：1.资格证明文件复印件须清晰，如模糊辨别不清，按无效投标处理；2.缺一项或某项达不到要求，按无效投标处理）。</w:t>
      </w:r>
    </w:p>
    <w:p w14:paraId="58CDFB6C">
      <w:pPr>
        <w:pStyle w:val="4"/>
        <w:numPr>
          <w:ilvl w:val="0"/>
          <w:numId w:val="27"/>
        </w:numPr>
        <w:tabs>
          <w:tab w:val="left" w:pos="1325"/>
          <w:tab w:val="clear" w:pos="210"/>
        </w:tabs>
        <w:ind w:left="0" w:leftChars="0" w:firstLine="480" w:firstLineChars="200"/>
        <w:rPr>
          <w:rFonts w:hint="eastAsia" w:ascii="宋体" w:hAnsi="宋体" w:eastAsia="宋体" w:cs="宋体"/>
          <w:b/>
          <w:highlight w:val="none"/>
        </w:rPr>
      </w:pPr>
      <w:r>
        <w:rPr>
          <w:highlight w:val="none"/>
        </w:rPr>
        <w:t>符合性审查内容为：</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365"/>
        <w:gridCol w:w="3684"/>
        <w:gridCol w:w="901"/>
        <w:gridCol w:w="1104"/>
      </w:tblGrid>
      <w:tr w14:paraId="2DAE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1" w:type="pct"/>
            <w:shd w:val="clear" w:color="auto" w:fill="D9D9D9"/>
            <w:vAlign w:val="center"/>
          </w:tcPr>
          <w:p w14:paraId="0DDD012A">
            <w:pPr>
              <w:spacing w:line="240" w:lineRule="auto"/>
              <w:jc w:val="center"/>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rPr>
              <w:t>序号</w:t>
            </w:r>
          </w:p>
        </w:tc>
        <w:tc>
          <w:tcPr>
            <w:tcW w:w="1336" w:type="pct"/>
            <w:shd w:val="clear" w:color="auto" w:fill="D9D9D9"/>
            <w:vAlign w:val="center"/>
          </w:tcPr>
          <w:p w14:paraId="62095FDA">
            <w:pPr>
              <w:spacing w:line="240" w:lineRule="auto"/>
              <w:jc w:val="center"/>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rPr>
              <w:t>符合性审查项</w:t>
            </w:r>
          </w:p>
        </w:tc>
        <w:tc>
          <w:tcPr>
            <w:tcW w:w="2081" w:type="pct"/>
            <w:shd w:val="clear" w:color="auto" w:fill="D9D9D9"/>
            <w:vAlign w:val="center"/>
          </w:tcPr>
          <w:p w14:paraId="6CCC153A">
            <w:pPr>
              <w:spacing w:line="240" w:lineRule="auto"/>
              <w:jc w:val="center"/>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rPr>
              <w:t>通过条件</w:t>
            </w:r>
          </w:p>
        </w:tc>
        <w:tc>
          <w:tcPr>
            <w:tcW w:w="509" w:type="pct"/>
            <w:shd w:val="clear" w:color="auto" w:fill="D9D9D9"/>
            <w:vAlign w:val="center"/>
          </w:tcPr>
          <w:p w14:paraId="015489E4">
            <w:pPr>
              <w:spacing w:line="240" w:lineRule="auto"/>
              <w:jc w:val="center"/>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rPr>
              <w:t>结论</w:t>
            </w:r>
          </w:p>
        </w:tc>
        <w:tc>
          <w:tcPr>
            <w:tcW w:w="620" w:type="pct"/>
            <w:shd w:val="clear" w:color="auto" w:fill="D9D9D9"/>
            <w:vAlign w:val="center"/>
          </w:tcPr>
          <w:p w14:paraId="50825709">
            <w:pPr>
              <w:spacing w:line="240" w:lineRule="auto"/>
              <w:jc w:val="center"/>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rPr>
              <w:t>未通过原因</w:t>
            </w:r>
          </w:p>
        </w:tc>
      </w:tr>
      <w:tr w14:paraId="7B19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451" w:type="pct"/>
            <w:vAlign w:val="center"/>
          </w:tcPr>
          <w:p w14:paraId="065DDD85">
            <w:pPr>
              <w:spacing w:line="240" w:lineRule="auto"/>
              <w:jc w:val="center"/>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rPr>
              <w:t>1</w:t>
            </w:r>
          </w:p>
        </w:tc>
        <w:tc>
          <w:tcPr>
            <w:tcW w:w="1336" w:type="pct"/>
            <w:vAlign w:val="center"/>
          </w:tcPr>
          <w:p w14:paraId="0BEEB9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lang w:val="en-US" w:eastAsia="zh-CN"/>
              </w:rPr>
              <w:t>响应</w:t>
            </w:r>
            <w:r>
              <w:rPr>
                <w:rFonts w:hint="eastAsia" w:ascii="黑体" w:hAnsi="黑体" w:eastAsia="黑体" w:cs="黑体"/>
                <w:bCs/>
                <w:color w:val="auto"/>
                <w:kern w:val="0"/>
                <w:sz w:val="24"/>
                <w:szCs w:val="24"/>
                <w:highlight w:val="none"/>
              </w:rPr>
              <w:t>文件语言及有效期</w:t>
            </w:r>
          </w:p>
        </w:tc>
        <w:tc>
          <w:tcPr>
            <w:tcW w:w="2081" w:type="pct"/>
            <w:vAlign w:val="center"/>
          </w:tcPr>
          <w:p w14:paraId="58C86C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响应文件</w:t>
            </w:r>
            <w:r>
              <w:rPr>
                <w:rFonts w:hint="eastAsia" w:ascii="黑体" w:hAnsi="黑体" w:eastAsia="黑体" w:cs="黑体"/>
                <w:color w:val="auto"/>
                <w:sz w:val="24"/>
                <w:szCs w:val="24"/>
                <w:highlight w:val="none"/>
              </w:rPr>
              <w:t>语言及有效期符合</w:t>
            </w:r>
            <w:r>
              <w:rPr>
                <w:rFonts w:hint="eastAsia" w:ascii="黑体" w:hAnsi="黑体" w:eastAsia="黑体" w:cs="黑体"/>
                <w:color w:val="auto"/>
                <w:sz w:val="24"/>
                <w:szCs w:val="24"/>
                <w:highlight w:val="none"/>
                <w:lang w:eastAsia="zh-CN"/>
              </w:rPr>
              <w:t>磋商文件</w:t>
            </w:r>
            <w:r>
              <w:rPr>
                <w:rFonts w:hint="eastAsia" w:ascii="黑体" w:hAnsi="黑体" w:eastAsia="黑体" w:cs="黑体"/>
                <w:color w:val="auto"/>
                <w:sz w:val="24"/>
                <w:szCs w:val="24"/>
                <w:highlight w:val="none"/>
              </w:rPr>
              <w:t>要求。</w:t>
            </w:r>
          </w:p>
        </w:tc>
        <w:tc>
          <w:tcPr>
            <w:tcW w:w="509" w:type="pct"/>
            <w:vAlign w:val="center"/>
          </w:tcPr>
          <w:p w14:paraId="708FF7DF">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393067B8">
            <w:pPr>
              <w:spacing w:line="240" w:lineRule="auto"/>
              <w:jc w:val="center"/>
              <w:rPr>
                <w:rFonts w:hint="eastAsia" w:ascii="黑体" w:hAnsi="黑体" w:eastAsia="黑体" w:cs="黑体"/>
                <w:b/>
                <w:bCs/>
                <w:color w:val="auto"/>
                <w:kern w:val="0"/>
                <w:sz w:val="24"/>
                <w:szCs w:val="24"/>
                <w:highlight w:val="none"/>
              </w:rPr>
            </w:pPr>
          </w:p>
        </w:tc>
      </w:tr>
      <w:tr w14:paraId="5B7F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51" w:type="pct"/>
            <w:vAlign w:val="center"/>
          </w:tcPr>
          <w:p w14:paraId="5E412EED">
            <w:pPr>
              <w:spacing w:line="240" w:lineRule="auto"/>
              <w:jc w:val="center"/>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rPr>
              <w:t>2</w:t>
            </w:r>
          </w:p>
        </w:tc>
        <w:tc>
          <w:tcPr>
            <w:tcW w:w="1336" w:type="pct"/>
            <w:vAlign w:val="center"/>
          </w:tcPr>
          <w:p w14:paraId="48C246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lang w:val="en-US" w:eastAsia="zh-CN"/>
              </w:rPr>
            </w:pPr>
            <w:r>
              <w:rPr>
                <w:rFonts w:hint="eastAsia" w:ascii="黑体" w:hAnsi="黑体" w:eastAsia="黑体" w:cs="黑体"/>
                <w:bCs/>
                <w:color w:val="auto"/>
                <w:kern w:val="0"/>
                <w:sz w:val="24"/>
                <w:szCs w:val="24"/>
                <w:highlight w:val="none"/>
                <w:lang w:val="en-US" w:eastAsia="zh-CN"/>
              </w:rPr>
              <w:t>供应商名称</w:t>
            </w:r>
          </w:p>
        </w:tc>
        <w:tc>
          <w:tcPr>
            <w:tcW w:w="2081" w:type="pct"/>
            <w:vAlign w:val="center"/>
          </w:tcPr>
          <w:p w14:paraId="10FA43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rPr>
              <w:t>供应商名称是否与</w:t>
            </w:r>
            <w:r>
              <w:rPr>
                <w:rFonts w:hint="eastAsia" w:ascii="黑体" w:hAnsi="黑体" w:eastAsia="黑体" w:cs="黑体"/>
                <w:bCs/>
                <w:color w:val="auto"/>
                <w:kern w:val="0"/>
                <w:sz w:val="24"/>
                <w:szCs w:val="24"/>
                <w:highlight w:val="none"/>
                <w:lang w:val="en-US" w:eastAsia="zh-CN"/>
              </w:rPr>
              <w:t>获取磋商</w:t>
            </w:r>
            <w:r>
              <w:rPr>
                <w:rFonts w:hint="eastAsia" w:ascii="黑体" w:hAnsi="黑体" w:eastAsia="黑体" w:cs="黑体"/>
                <w:bCs/>
                <w:color w:val="auto"/>
                <w:kern w:val="0"/>
                <w:sz w:val="24"/>
                <w:szCs w:val="24"/>
                <w:highlight w:val="none"/>
              </w:rPr>
              <w:t>文件的单位名称一致</w:t>
            </w:r>
          </w:p>
        </w:tc>
        <w:tc>
          <w:tcPr>
            <w:tcW w:w="509" w:type="pct"/>
            <w:vAlign w:val="center"/>
          </w:tcPr>
          <w:p w14:paraId="46F1F179">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16A7834F">
            <w:pPr>
              <w:spacing w:line="240" w:lineRule="auto"/>
              <w:jc w:val="center"/>
              <w:rPr>
                <w:rFonts w:hint="eastAsia" w:ascii="黑体" w:hAnsi="黑体" w:eastAsia="黑体" w:cs="黑体"/>
                <w:b/>
                <w:bCs/>
                <w:color w:val="auto"/>
                <w:kern w:val="0"/>
                <w:sz w:val="24"/>
                <w:szCs w:val="24"/>
                <w:highlight w:val="none"/>
              </w:rPr>
            </w:pPr>
          </w:p>
        </w:tc>
      </w:tr>
      <w:tr w14:paraId="252E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51" w:type="pct"/>
            <w:vAlign w:val="center"/>
          </w:tcPr>
          <w:p w14:paraId="0216DBD2">
            <w:pPr>
              <w:spacing w:line="240" w:lineRule="auto"/>
              <w:jc w:val="center"/>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rPr>
              <w:t>3</w:t>
            </w:r>
          </w:p>
        </w:tc>
        <w:tc>
          <w:tcPr>
            <w:tcW w:w="1336" w:type="pct"/>
            <w:vAlign w:val="center"/>
          </w:tcPr>
          <w:p w14:paraId="1D8E2C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rPr>
            </w:pPr>
            <w:r>
              <w:rPr>
                <w:rFonts w:hint="eastAsia" w:ascii="黑体" w:hAnsi="黑体" w:eastAsia="黑体" w:cs="黑体"/>
                <w:bCs/>
                <w:color w:val="auto"/>
                <w:kern w:val="0"/>
                <w:sz w:val="24"/>
                <w:szCs w:val="24"/>
                <w:highlight w:val="none"/>
                <w:lang w:val="en-US" w:eastAsia="zh-CN"/>
              </w:rPr>
              <w:t>响应</w:t>
            </w:r>
            <w:r>
              <w:rPr>
                <w:rFonts w:hint="eastAsia" w:ascii="黑体" w:hAnsi="黑体" w:eastAsia="黑体" w:cs="黑体"/>
                <w:bCs/>
                <w:color w:val="auto"/>
                <w:kern w:val="0"/>
                <w:sz w:val="24"/>
                <w:szCs w:val="24"/>
                <w:highlight w:val="none"/>
              </w:rPr>
              <w:t>文件签署、盖章</w:t>
            </w:r>
          </w:p>
        </w:tc>
        <w:tc>
          <w:tcPr>
            <w:tcW w:w="2081" w:type="pct"/>
            <w:vAlign w:val="center"/>
          </w:tcPr>
          <w:p w14:paraId="0764116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符合磋商</w:t>
            </w:r>
            <w:r>
              <w:rPr>
                <w:rFonts w:hint="eastAsia" w:ascii="黑体" w:hAnsi="黑体" w:eastAsia="黑体" w:cs="黑体"/>
                <w:color w:val="auto"/>
                <w:sz w:val="24"/>
                <w:szCs w:val="24"/>
                <w:highlight w:val="none"/>
              </w:rPr>
              <w:t>文件签字、盖章</w:t>
            </w:r>
            <w:r>
              <w:rPr>
                <w:rFonts w:hint="eastAsia" w:ascii="黑体" w:hAnsi="黑体" w:eastAsia="黑体" w:cs="黑体"/>
                <w:color w:val="auto"/>
                <w:sz w:val="24"/>
                <w:szCs w:val="24"/>
                <w:highlight w:val="none"/>
                <w:lang w:val="en-US" w:eastAsia="zh-CN"/>
              </w:rPr>
              <w:t>要求</w:t>
            </w:r>
          </w:p>
        </w:tc>
        <w:tc>
          <w:tcPr>
            <w:tcW w:w="509" w:type="pct"/>
            <w:vAlign w:val="center"/>
          </w:tcPr>
          <w:p w14:paraId="2D3607FE">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29392836">
            <w:pPr>
              <w:spacing w:line="240" w:lineRule="auto"/>
              <w:jc w:val="center"/>
              <w:rPr>
                <w:rFonts w:hint="eastAsia" w:ascii="黑体" w:hAnsi="黑体" w:eastAsia="黑体" w:cs="黑体"/>
                <w:b/>
                <w:bCs/>
                <w:color w:val="auto"/>
                <w:kern w:val="0"/>
                <w:sz w:val="24"/>
                <w:szCs w:val="24"/>
                <w:highlight w:val="none"/>
              </w:rPr>
            </w:pPr>
          </w:p>
        </w:tc>
      </w:tr>
      <w:tr w14:paraId="54D0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1" w:type="pct"/>
            <w:vAlign w:val="center"/>
          </w:tcPr>
          <w:p w14:paraId="4FD228DC">
            <w:pPr>
              <w:spacing w:line="240" w:lineRule="auto"/>
              <w:jc w:val="center"/>
              <w:rPr>
                <w:rFonts w:hint="eastAsia" w:ascii="黑体" w:hAnsi="黑体" w:eastAsia="黑体" w:cs="黑体"/>
                <w:bCs/>
                <w:color w:val="auto"/>
                <w:kern w:val="0"/>
                <w:sz w:val="24"/>
                <w:szCs w:val="24"/>
                <w:highlight w:val="none"/>
                <w:lang w:val="en-US" w:eastAsia="zh-CN"/>
              </w:rPr>
            </w:pPr>
            <w:r>
              <w:rPr>
                <w:rFonts w:hint="eastAsia" w:ascii="黑体" w:hAnsi="黑体" w:eastAsia="黑体" w:cs="黑体"/>
                <w:bCs/>
                <w:color w:val="auto"/>
                <w:kern w:val="0"/>
                <w:sz w:val="24"/>
                <w:szCs w:val="24"/>
                <w:highlight w:val="none"/>
                <w:lang w:val="en-US" w:eastAsia="zh-CN"/>
              </w:rPr>
              <w:t>4</w:t>
            </w:r>
          </w:p>
        </w:tc>
        <w:tc>
          <w:tcPr>
            <w:tcW w:w="1336" w:type="pct"/>
            <w:vAlign w:val="center"/>
          </w:tcPr>
          <w:p w14:paraId="2E81C7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lang w:val="en-US" w:eastAsia="zh-CN"/>
              </w:rPr>
            </w:pPr>
            <w:r>
              <w:rPr>
                <w:rFonts w:hint="eastAsia" w:ascii="黑体" w:hAnsi="黑体" w:eastAsia="黑体" w:cs="黑体"/>
                <w:bCs/>
                <w:color w:val="auto"/>
                <w:kern w:val="0"/>
                <w:sz w:val="24"/>
                <w:szCs w:val="24"/>
                <w:highlight w:val="none"/>
                <w:lang w:val="en-US" w:eastAsia="zh-CN"/>
              </w:rPr>
              <w:t>响应文件数量</w:t>
            </w:r>
          </w:p>
        </w:tc>
        <w:tc>
          <w:tcPr>
            <w:tcW w:w="2081" w:type="pct"/>
            <w:vAlign w:val="center"/>
          </w:tcPr>
          <w:p w14:paraId="5A0EBB2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响应</w:t>
            </w:r>
            <w:r>
              <w:rPr>
                <w:rFonts w:hint="eastAsia" w:ascii="黑体" w:hAnsi="黑体" w:eastAsia="黑体" w:cs="黑体"/>
                <w:color w:val="auto"/>
                <w:sz w:val="24"/>
                <w:szCs w:val="24"/>
                <w:highlight w:val="none"/>
              </w:rPr>
              <w:t>文件是否符合</w:t>
            </w:r>
            <w:r>
              <w:rPr>
                <w:rFonts w:hint="eastAsia" w:ascii="黑体" w:hAnsi="黑体" w:eastAsia="黑体" w:cs="黑体"/>
                <w:color w:val="auto"/>
                <w:sz w:val="24"/>
                <w:szCs w:val="24"/>
                <w:highlight w:val="none"/>
                <w:lang w:val="en-US" w:eastAsia="zh-CN"/>
              </w:rPr>
              <w:t>磋商</w:t>
            </w:r>
            <w:r>
              <w:rPr>
                <w:rFonts w:hint="eastAsia" w:ascii="黑体" w:hAnsi="黑体" w:eastAsia="黑体" w:cs="黑体"/>
                <w:color w:val="auto"/>
                <w:sz w:val="24"/>
                <w:szCs w:val="24"/>
                <w:highlight w:val="none"/>
              </w:rPr>
              <w:t>文件要求的数量</w:t>
            </w:r>
          </w:p>
        </w:tc>
        <w:tc>
          <w:tcPr>
            <w:tcW w:w="509" w:type="pct"/>
            <w:vAlign w:val="center"/>
          </w:tcPr>
          <w:p w14:paraId="2E2FD517">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15F3CEB8">
            <w:pPr>
              <w:spacing w:line="240" w:lineRule="auto"/>
              <w:jc w:val="center"/>
              <w:rPr>
                <w:rFonts w:hint="eastAsia" w:ascii="黑体" w:hAnsi="黑体" w:eastAsia="黑体" w:cs="黑体"/>
                <w:b/>
                <w:bCs/>
                <w:color w:val="auto"/>
                <w:kern w:val="0"/>
                <w:sz w:val="24"/>
                <w:szCs w:val="24"/>
                <w:highlight w:val="none"/>
              </w:rPr>
            </w:pPr>
          </w:p>
        </w:tc>
      </w:tr>
      <w:tr w14:paraId="2208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jc w:val="center"/>
        </w:trPr>
        <w:tc>
          <w:tcPr>
            <w:tcW w:w="451" w:type="pct"/>
            <w:vAlign w:val="center"/>
          </w:tcPr>
          <w:p w14:paraId="79D6B0BD">
            <w:pPr>
              <w:spacing w:line="240" w:lineRule="auto"/>
              <w:jc w:val="center"/>
              <w:rPr>
                <w:rFonts w:hint="eastAsia" w:ascii="黑体" w:hAnsi="黑体" w:eastAsia="黑体" w:cs="黑体"/>
                <w:bCs/>
                <w:color w:val="auto"/>
                <w:kern w:val="0"/>
                <w:sz w:val="24"/>
                <w:szCs w:val="24"/>
                <w:highlight w:val="none"/>
                <w:lang w:eastAsia="zh-CN"/>
              </w:rPr>
            </w:pPr>
            <w:r>
              <w:rPr>
                <w:rFonts w:hint="eastAsia" w:ascii="黑体" w:hAnsi="黑体" w:eastAsia="黑体" w:cs="黑体"/>
                <w:bCs/>
                <w:color w:val="auto"/>
                <w:kern w:val="0"/>
                <w:sz w:val="24"/>
                <w:szCs w:val="24"/>
                <w:highlight w:val="none"/>
                <w:lang w:val="en-US" w:eastAsia="zh-CN"/>
              </w:rPr>
              <w:t>5</w:t>
            </w:r>
          </w:p>
        </w:tc>
        <w:tc>
          <w:tcPr>
            <w:tcW w:w="1336" w:type="pct"/>
            <w:vAlign w:val="center"/>
          </w:tcPr>
          <w:p w14:paraId="6576AD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lang w:val="en-US" w:eastAsia="zh-CN"/>
              </w:rPr>
            </w:pPr>
            <w:r>
              <w:rPr>
                <w:rFonts w:hint="eastAsia" w:ascii="黑体" w:hAnsi="黑体" w:eastAsia="黑体" w:cs="黑体"/>
                <w:bCs/>
                <w:color w:val="auto"/>
                <w:kern w:val="0"/>
                <w:sz w:val="24"/>
                <w:szCs w:val="24"/>
                <w:highlight w:val="none"/>
                <w:lang w:val="en-US" w:eastAsia="zh-CN"/>
              </w:rPr>
              <w:t>磋商报价</w:t>
            </w:r>
          </w:p>
        </w:tc>
        <w:tc>
          <w:tcPr>
            <w:tcW w:w="2081" w:type="pct"/>
            <w:vAlign w:val="center"/>
          </w:tcPr>
          <w:p w14:paraId="561F469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lang w:val="en-US" w:eastAsia="zh-CN"/>
              </w:rPr>
              <w:t>磋商</w:t>
            </w:r>
            <w:r>
              <w:rPr>
                <w:rFonts w:hint="eastAsia" w:ascii="黑体" w:hAnsi="黑体" w:eastAsia="黑体" w:cs="黑体"/>
                <w:color w:val="auto"/>
                <w:sz w:val="24"/>
                <w:szCs w:val="24"/>
                <w:highlight w:val="none"/>
              </w:rPr>
              <w:t>报价符合唯一性要求</w:t>
            </w:r>
            <w:r>
              <w:rPr>
                <w:rFonts w:hint="eastAsia" w:ascii="黑体" w:hAnsi="黑体" w:eastAsia="黑体" w:cs="黑体"/>
                <w:color w:val="auto"/>
                <w:sz w:val="24"/>
                <w:szCs w:val="24"/>
                <w:highlight w:val="none"/>
                <w:lang w:eastAsia="zh-CN"/>
              </w:rPr>
              <w:t>；</w:t>
            </w:r>
          </w:p>
          <w:p w14:paraId="5243AC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lang w:eastAsia="zh-CN"/>
              </w:rPr>
              <w:t>磋商一览表</w:t>
            </w:r>
            <w:r>
              <w:rPr>
                <w:rFonts w:hint="eastAsia" w:ascii="黑体" w:hAnsi="黑体" w:eastAsia="黑体" w:cs="黑体"/>
                <w:color w:val="auto"/>
                <w:sz w:val="24"/>
                <w:szCs w:val="24"/>
                <w:highlight w:val="none"/>
              </w:rPr>
              <w:t>填写符合要求；</w:t>
            </w:r>
          </w:p>
          <w:p w14:paraId="49DABF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（3）计量单位、报价货币均符合</w:t>
            </w:r>
            <w:r>
              <w:rPr>
                <w:rFonts w:hint="eastAsia" w:ascii="黑体" w:hAnsi="黑体" w:eastAsia="黑体" w:cs="黑体"/>
                <w:color w:val="auto"/>
                <w:sz w:val="24"/>
                <w:szCs w:val="24"/>
                <w:highlight w:val="none"/>
                <w:lang w:val="en-US" w:eastAsia="zh-CN"/>
              </w:rPr>
              <w:t>磋商</w:t>
            </w:r>
            <w:r>
              <w:rPr>
                <w:rFonts w:hint="eastAsia" w:ascii="黑体" w:hAnsi="黑体" w:eastAsia="黑体" w:cs="黑体"/>
                <w:color w:val="auto"/>
                <w:sz w:val="24"/>
                <w:szCs w:val="24"/>
                <w:highlight w:val="none"/>
              </w:rPr>
              <w:t>文件要求；</w:t>
            </w:r>
          </w:p>
          <w:p w14:paraId="79BD2D7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（4）未超出采购预算或</w:t>
            </w:r>
            <w:r>
              <w:rPr>
                <w:rFonts w:hint="eastAsia" w:ascii="黑体" w:hAnsi="黑体" w:eastAsia="黑体" w:cs="黑体"/>
                <w:color w:val="auto"/>
                <w:sz w:val="24"/>
                <w:szCs w:val="24"/>
                <w:highlight w:val="none"/>
                <w:lang w:val="en-US" w:eastAsia="zh-CN"/>
              </w:rPr>
              <w:t>磋商</w:t>
            </w:r>
            <w:r>
              <w:rPr>
                <w:rFonts w:hint="eastAsia" w:ascii="黑体" w:hAnsi="黑体" w:eastAsia="黑体" w:cs="黑体"/>
                <w:color w:val="auto"/>
                <w:sz w:val="24"/>
                <w:szCs w:val="24"/>
                <w:highlight w:val="none"/>
              </w:rPr>
              <w:t>文件规定的最高限价。</w:t>
            </w:r>
          </w:p>
        </w:tc>
        <w:tc>
          <w:tcPr>
            <w:tcW w:w="509" w:type="pct"/>
            <w:vAlign w:val="center"/>
          </w:tcPr>
          <w:p w14:paraId="4C0FF915">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53B161F9">
            <w:pPr>
              <w:spacing w:line="240" w:lineRule="auto"/>
              <w:jc w:val="center"/>
              <w:rPr>
                <w:rFonts w:hint="eastAsia" w:ascii="黑体" w:hAnsi="黑体" w:eastAsia="黑体" w:cs="黑体"/>
                <w:b/>
                <w:bCs/>
                <w:color w:val="auto"/>
                <w:kern w:val="0"/>
                <w:sz w:val="24"/>
                <w:szCs w:val="24"/>
                <w:highlight w:val="none"/>
              </w:rPr>
            </w:pPr>
          </w:p>
        </w:tc>
      </w:tr>
      <w:tr w14:paraId="6087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451" w:type="pct"/>
            <w:vAlign w:val="center"/>
          </w:tcPr>
          <w:p w14:paraId="50095D4F">
            <w:pPr>
              <w:spacing w:line="240" w:lineRule="auto"/>
              <w:jc w:val="center"/>
              <w:rPr>
                <w:rFonts w:hint="eastAsia" w:ascii="黑体" w:hAnsi="黑体" w:eastAsia="黑体" w:cs="黑体"/>
                <w:bCs/>
                <w:color w:val="auto"/>
                <w:kern w:val="0"/>
                <w:sz w:val="24"/>
                <w:szCs w:val="24"/>
                <w:highlight w:val="none"/>
                <w:lang w:eastAsia="zh-CN"/>
              </w:rPr>
            </w:pPr>
            <w:r>
              <w:rPr>
                <w:rFonts w:hint="eastAsia" w:ascii="黑体" w:hAnsi="黑体" w:eastAsia="黑体" w:cs="黑体"/>
                <w:bCs/>
                <w:color w:val="auto"/>
                <w:kern w:val="0"/>
                <w:sz w:val="24"/>
                <w:szCs w:val="24"/>
                <w:highlight w:val="none"/>
                <w:lang w:val="en-US" w:eastAsia="zh-CN"/>
              </w:rPr>
              <w:t>6</w:t>
            </w:r>
          </w:p>
        </w:tc>
        <w:tc>
          <w:tcPr>
            <w:tcW w:w="1336" w:type="pct"/>
            <w:vAlign w:val="center"/>
          </w:tcPr>
          <w:p w14:paraId="667C78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hAnsi="黑体" w:eastAsia="黑体" w:cs="黑体"/>
                <w:bCs/>
                <w:color w:val="auto"/>
                <w:kern w:val="0"/>
                <w:sz w:val="24"/>
                <w:szCs w:val="24"/>
                <w:highlight w:val="none"/>
              </w:rPr>
            </w:pPr>
            <w:r>
              <w:rPr>
                <w:rFonts w:hint="eastAsia" w:ascii="黑体" w:hAnsi="黑体" w:eastAsia="黑体" w:cs="黑体"/>
                <w:color w:val="auto"/>
                <w:sz w:val="24"/>
                <w:szCs w:val="24"/>
                <w:highlight w:val="none"/>
              </w:rPr>
              <w:t>无其他</w:t>
            </w:r>
            <w:r>
              <w:rPr>
                <w:rFonts w:hint="eastAsia" w:ascii="黑体" w:hAnsi="黑体" w:eastAsia="黑体" w:cs="黑体"/>
                <w:color w:val="auto"/>
                <w:sz w:val="24"/>
                <w:szCs w:val="24"/>
                <w:highlight w:val="none"/>
                <w:lang w:val="en-US" w:eastAsia="zh-CN"/>
              </w:rPr>
              <w:t>磋商</w:t>
            </w:r>
            <w:r>
              <w:rPr>
                <w:rFonts w:hint="eastAsia" w:ascii="黑体" w:hAnsi="黑体" w:eastAsia="黑体" w:cs="黑体"/>
                <w:color w:val="auto"/>
                <w:sz w:val="24"/>
                <w:szCs w:val="24"/>
                <w:highlight w:val="none"/>
              </w:rPr>
              <w:t>文件或法规明确规定响应无效的事项</w:t>
            </w:r>
          </w:p>
        </w:tc>
        <w:tc>
          <w:tcPr>
            <w:tcW w:w="2081" w:type="pct"/>
            <w:vAlign w:val="center"/>
          </w:tcPr>
          <w:p w14:paraId="07DCD0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bCs/>
                <w:color w:val="auto"/>
                <w:kern w:val="0"/>
                <w:sz w:val="24"/>
                <w:szCs w:val="24"/>
                <w:highlight w:val="none"/>
              </w:rPr>
            </w:pPr>
            <w:r>
              <w:rPr>
                <w:rFonts w:hint="eastAsia" w:ascii="黑体" w:hAnsi="黑体" w:eastAsia="黑体" w:cs="黑体"/>
                <w:color w:val="auto"/>
                <w:sz w:val="24"/>
                <w:szCs w:val="24"/>
                <w:highlight w:val="none"/>
              </w:rPr>
              <w:t>没有不符合</w:t>
            </w:r>
            <w:r>
              <w:rPr>
                <w:rFonts w:hint="eastAsia" w:ascii="黑体" w:hAnsi="黑体" w:eastAsia="黑体" w:cs="黑体"/>
                <w:color w:val="auto"/>
                <w:sz w:val="24"/>
                <w:szCs w:val="24"/>
                <w:highlight w:val="none"/>
                <w:lang w:eastAsia="zh-CN"/>
              </w:rPr>
              <w:t>磋商文件</w:t>
            </w:r>
            <w:r>
              <w:rPr>
                <w:rFonts w:hint="eastAsia" w:ascii="黑体" w:hAnsi="黑体" w:eastAsia="黑体" w:cs="黑体"/>
                <w:color w:val="auto"/>
                <w:sz w:val="24"/>
                <w:szCs w:val="24"/>
                <w:highlight w:val="none"/>
              </w:rPr>
              <w:t>规定的被视为无效响应的其他条款。</w:t>
            </w:r>
          </w:p>
        </w:tc>
        <w:tc>
          <w:tcPr>
            <w:tcW w:w="509" w:type="pct"/>
            <w:vAlign w:val="center"/>
          </w:tcPr>
          <w:p w14:paraId="3FD0FEF8">
            <w:pPr>
              <w:spacing w:line="240" w:lineRule="auto"/>
              <w:jc w:val="center"/>
              <w:rPr>
                <w:rFonts w:hint="eastAsia" w:ascii="黑体" w:hAnsi="黑体" w:eastAsia="黑体" w:cs="黑体"/>
                <w:b/>
                <w:bCs/>
                <w:color w:val="auto"/>
                <w:kern w:val="0"/>
                <w:sz w:val="24"/>
                <w:szCs w:val="24"/>
                <w:highlight w:val="none"/>
              </w:rPr>
            </w:pPr>
          </w:p>
        </w:tc>
        <w:tc>
          <w:tcPr>
            <w:tcW w:w="620" w:type="pct"/>
            <w:vAlign w:val="center"/>
          </w:tcPr>
          <w:p w14:paraId="4877CB8F">
            <w:pPr>
              <w:spacing w:line="240" w:lineRule="auto"/>
              <w:jc w:val="center"/>
              <w:rPr>
                <w:rFonts w:hint="eastAsia" w:ascii="黑体" w:hAnsi="黑体" w:eastAsia="黑体" w:cs="黑体"/>
                <w:b/>
                <w:bCs/>
                <w:color w:val="auto"/>
                <w:kern w:val="0"/>
                <w:sz w:val="24"/>
                <w:szCs w:val="24"/>
                <w:highlight w:val="none"/>
              </w:rPr>
            </w:pPr>
          </w:p>
        </w:tc>
      </w:tr>
      <w:tr w14:paraId="69FB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000" w:type="pct"/>
            <w:gridSpan w:val="5"/>
            <w:vAlign w:val="center"/>
          </w:tcPr>
          <w:p w14:paraId="5F396D5D">
            <w:pPr>
              <w:spacing w:line="240" w:lineRule="auto"/>
              <w:rPr>
                <w:rFonts w:hint="eastAsia" w:ascii="黑体" w:hAnsi="黑体" w:eastAsia="黑体" w:cs="黑体"/>
                <w:b/>
                <w:bCs/>
                <w:color w:val="auto"/>
                <w:kern w:val="0"/>
                <w:sz w:val="24"/>
                <w:szCs w:val="24"/>
                <w:highlight w:val="none"/>
              </w:rPr>
            </w:pPr>
            <w:r>
              <w:rPr>
                <w:rFonts w:hint="eastAsia" w:ascii="黑体" w:hAnsi="黑体" w:eastAsia="黑体" w:cs="黑体"/>
                <w:b/>
                <w:bCs/>
                <w:color w:val="auto"/>
                <w:kern w:val="0"/>
                <w:sz w:val="24"/>
                <w:szCs w:val="24"/>
                <w:highlight w:val="none"/>
                <w:lang w:val="en-US" w:eastAsia="zh-CN"/>
              </w:rPr>
              <w:t>磋商小组成员</w:t>
            </w:r>
            <w:r>
              <w:rPr>
                <w:rFonts w:hint="eastAsia" w:ascii="黑体" w:hAnsi="黑体" w:eastAsia="黑体" w:cs="黑体"/>
                <w:b/>
                <w:bCs/>
                <w:color w:val="auto"/>
                <w:kern w:val="0"/>
                <w:sz w:val="24"/>
                <w:szCs w:val="24"/>
                <w:highlight w:val="none"/>
              </w:rPr>
              <w:t>（签字）：</w:t>
            </w:r>
          </w:p>
        </w:tc>
      </w:tr>
    </w:tbl>
    <w:p w14:paraId="63DC44E6">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19.1.2.6磋商文件规定的其他要求。</w:t>
      </w:r>
    </w:p>
    <w:p w14:paraId="5C057696">
      <w:pPr>
        <w:pStyle w:val="16"/>
        <w:numPr>
          <w:ilvl w:val="0"/>
          <w:numId w:val="26"/>
        </w:numPr>
        <w:tabs>
          <w:tab w:val="left" w:pos="10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4E4336E0">
      <w:pPr>
        <w:pStyle w:val="16"/>
        <w:numPr>
          <w:ilvl w:val="0"/>
          <w:numId w:val="28"/>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澄清文件将作为响应文件的一部分。</w:t>
      </w:r>
    </w:p>
    <w:p w14:paraId="346B5A4C">
      <w:pPr>
        <w:pStyle w:val="16"/>
        <w:numPr>
          <w:ilvl w:val="0"/>
          <w:numId w:val="28"/>
        </w:numPr>
        <w:tabs>
          <w:tab w:val="left" w:pos="120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算术错误将按以下方法更正：</w:t>
      </w:r>
    </w:p>
    <w:p w14:paraId="1970B7E7">
      <w:pPr>
        <w:pStyle w:val="16"/>
        <w:numPr>
          <w:ilvl w:val="0"/>
          <w:numId w:val="29"/>
        </w:numPr>
        <w:tabs>
          <w:tab w:val="left" w:pos="156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响应文件的大写金额和小写金额不一致的，以大写金额为准；</w:t>
      </w:r>
    </w:p>
    <w:p w14:paraId="5A3DACCB">
      <w:pPr>
        <w:pStyle w:val="16"/>
        <w:numPr>
          <w:ilvl w:val="0"/>
          <w:numId w:val="29"/>
        </w:numPr>
        <w:tabs>
          <w:tab w:val="left" w:pos="156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总价金额与按单价汇总金额不一致的，以单价金额计算结果为准；</w:t>
      </w:r>
    </w:p>
    <w:p w14:paraId="4EFAF0F5">
      <w:pPr>
        <w:pStyle w:val="16"/>
        <w:numPr>
          <w:ilvl w:val="0"/>
          <w:numId w:val="29"/>
        </w:numPr>
        <w:tabs>
          <w:tab w:val="left" w:pos="156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单价金额小数点有明显错位的，应当以总价为准，并修改单价；</w:t>
      </w:r>
    </w:p>
    <w:p w14:paraId="4AC21979">
      <w:pPr>
        <w:pStyle w:val="16"/>
        <w:numPr>
          <w:ilvl w:val="0"/>
          <w:numId w:val="29"/>
        </w:numPr>
        <w:tabs>
          <w:tab w:val="left" w:pos="156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对不同文字文本磋商响应文件的解释发生异议的，以中文文本为准；</w:t>
      </w:r>
    </w:p>
    <w:p w14:paraId="600E0B92">
      <w:pPr>
        <w:pStyle w:val="16"/>
        <w:numPr>
          <w:ilvl w:val="0"/>
          <w:numId w:val="29"/>
        </w:numPr>
        <w:tabs>
          <w:tab w:val="left" w:pos="156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对于供应商不接受对其错误的更改，其磋商属于无效磋商情形。</w:t>
      </w:r>
    </w:p>
    <w:p w14:paraId="4FF212E9">
      <w:pPr>
        <w:pStyle w:val="3"/>
        <w:numPr>
          <w:ilvl w:val="0"/>
          <w:numId w:val="23"/>
        </w:numPr>
        <w:tabs>
          <w:tab w:val="left" w:pos="962"/>
        </w:tabs>
        <w:topLinePunct w:val="0"/>
        <w:ind w:left="0" w:leftChars="0" w:firstLine="480" w:firstLineChars="200"/>
        <w:rPr>
          <w:rFonts w:hint="eastAsia" w:ascii="宋体" w:hAnsi="宋体" w:eastAsia="宋体" w:cs="宋体"/>
          <w:b/>
          <w:highlight w:val="none"/>
        </w:rPr>
      </w:pPr>
      <w:r>
        <w:rPr>
          <w:highlight w:val="none"/>
        </w:rPr>
        <w:t>磋商</w:t>
      </w:r>
    </w:p>
    <w:p w14:paraId="6FB7D199">
      <w:pPr>
        <w:pStyle w:val="16"/>
        <w:numPr>
          <w:ilvl w:val="0"/>
          <w:numId w:val="30"/>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磋商小组根据各磋商供应商响应文件响应情况决定是否与各供应商进行磋商，磋商方式为磋商小组所有成员集中与单一供应商分别进行磋商，并给与参加磋商的供应商平等的磋商机会。</w:t>
      </w:r>
    </w:p>
    <w:p w14:paraId="2E25E81E">
      <w:pPr>
        <w:pStyle w:val="16"/>
        <w:numPr>
          <w:ilvl w:val="0"/>
          <w:numId w:val="30"/>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1DB8ECBF">
      <w:pPr>
        <w:pStyle w:val="16"/>
        <w:numPr>
          <w:ilvl w:val="0"/>
          <w:numId w:val="30"/>
        </w:numPr>
        <w:tabs>
          <w:tab w:val="left" w:pos="1080"/>
          <w:tab w:val="clear" w:pos="210"/>
        </w:tabs>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39A74740">
      <w:pPr>
        <w:pStyle w:val="3"/>
        <w:numPr>
          <w:ilvl w:val="0"/>
          <w:numId w:val="23"/>
        </w:numPr>
        <w:tabs>
          <w:tab w:val="left" w:pos="962"/>
        </w:tabs>
        <w:topLinePunct w:val="0"/>
        <w:ind w:left="0" w:leftChars="0" w:firstLine="480" w:firstLineChars="200"/>
        <w:rPr>
          <w:rFonts w:hint="eastAsia" w:ascii="宋体" w:hAnsi="宋体" w:eastAsia="宋体" w:cs="宋体"/>
          <w:b/>
          <w:highlight w:val="none"/>
        </w:rPr>
      </w:pPr>
      <w:r>
        <w:rPr>
          <w:highlight w:val="none"/>
        </w:rPr>
        <w:t>评审方法</w:t>
      </w:r>
    </w:p>
    <w:p w14:paraId="078E671F">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21.1评审方法：磋商小组从质量和服务均能满足磋商文件实质性响应要求的供应商中，按照最后得分由高到低的顺序提出成交候选人。</w:t>
      </w:r>
    </w:p>
    <w:p w14:paraId="136DE205">
      <w:pPr>
        <w:pStyle w:val="2"/>
        <w:numPr>
          <w:ilvl w:val="0"/>
          <w:numId w:val="3"/>
        </w:numPr>
        <w:tabs>
          <w:tab w:val="left" w:pos="1202"/>
        </w:tabs>
        <w:topLinePunct w:val="0"/>
        <w:ind w:left="0" w:leftChars="0" w:firstLine="480" w:firstLineChars="200"/>
        <w:rPr>
          <w:b/>
          <w:highlight w:val="none"/>
        </w:rPr>
      </w:pPr>
      <w:r>
        <w:rPr>
          <w:highlight w:val="none"/>
        </w:rPr>
        <w:t>评分内容和评分方式</w:t>
      </w:r>
    </w:p>
    <w:p w14:paraId="12366932">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总分100分，每个供应商每项评分因素得分汇总即为最后得分，各项评分因素具体内容及打分标准如下：</w:t>
      </w:r>
    </w:p>
    <w:p w14:paraId="28372AC8">
      <w:pPr>
        <w:pStyle w:val="94"/>
        <w:ind w:left="0" w:leftChars="0" w:firstLine="480" w:firstLineChars="200"/>
        <w:outlineLvl w:val="0"/>
        <w:rPr>
          <w:highlight w:val="none"/>
        </w:rPr>
      </w:pPr>
      <w:bookmarkStart w:id="32" w:name="_Hlk48766848"/>
      <w:r>
        <w:rPr>
          <w:highlight w:val="none"/>
        </w:rPr>
        <w:t>《评审要素和分值分解表》</w:t>
      </w:r>
    </w:p>
    <w:bookmarkEnd w:id="32"/>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9"/>
        <w:gridCol w:w="6729"/>
        <w:gridCol w:w="816"/>
      </w:tblGrid>
      <w:tr w14:paraId="422B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39" w:type="pct"/>
            <w:noWrap w:val="0"/>
            <w:vAlign w:val="center"/>
          </w:tcPr>
          <w:p w14:paraId="5F51F7B5">
            <w:pPr>
              <w:spacing w:line="240" w:lineRule="auto"/>
              <w:jc w:val="center"/>
              <w:rPr>
                <w:rFonts w:hint="eastAsia" w:ascii="黑体" w:hAnsi="黑体" w:eastAsia="黑体" w:cs="黑体"/>
                <w:b/>
                <w:bCs/>
                <w:color w:val="auto"/>
                <w:sz w:val="24"/>
                <w:szCs w:val="24"/>
              </w:rPr>
            </w:pPr>
            <w:r>
              <w:rPr>
                <w:rFonts w:hint="eastAsia" w:ascii="黑体" w:hAnsi="黑体" w:eastAsia="黑体" w:cs="黑体"/>
                <w:b/>
                <w:bCs/>
                <w:color w:val="auto"/>
                <w:sz w:val="24"/>
                <w:szCs w:val="24"/>
              </w:rPr>
              <w:t>评审因素</w:t>
            </w:r>
          </w:p>
        </w:tc>
        <w:tc>
          <w:tcPr>
            <w:tcW w:w="3800" w:type="pct"/>
            <w:noWrap w:val="0"/>
            <w:vAlign w:val="center"/>
          </w:tcPr>
          <w:p w14:paraId="6085AFFE">
            <w:pPr>
              <w:spacing w:line="240" w:lineRule="auto"/>
              <w:ind w:firstLine="480" w:firstLineChars="200"/>
              <w:jc w:val="center"/>
              <w:rPr>
                <w:rFonts w:hint="eastAsia" w:ascii="黑体" w:hAnsi="黑体" w:eastAsia="黑体" w:cs="黑体"/>
                <w:b/>
                <w:bCs/>
                <w:color w:val="auto"/>
                <w:sz w:val="24"/>
                <w:szCs w:val="24"/>
              </w:rPr>
            </w:pPr>
            <w:r>
              <w:rPr>
                <w:rFonts w:hint="eastAsia" w:ascii="黑体" w:hAnsi="黑体" w:eastAsia="黑体" w:cs="黑体"/>
                <w:b/>
                <w:bCs/>
                <w:color w:val="auto"/>
                <w:sz w:val="24"/>
                <w:szCs w:val="24"/>
              </w:rPr>
              <w:t>内     容</w:t>
            </w:r>
          </w:p>
        </w:tc>
        <w:tc>
          <w:tcPr>
            <w:tcW w:w="460" w:type="pct"/>
            <w:noWrap w:val="0"/>
            <w:vAlign w:val="center"/>
          </w:tcPr>
          <w:p w14:paraId="47DE5119">
            <w:pPr>
              <w:spacing w:line="240" w:lineRule="auto"/>
              <w:jc w:val="center"/>
              <w:rPr>
                <w:rFonts w:hint="eastAsia" w:ascii="黑体" w:hAnsi="黑体" w:eastAsia="黑体" w:cs="黑体"/>
                <w:b/>
                <w:bCs/>
                <w:color w:val="auto"/>
                <w:sz w:val="24"/>
                <w:szCs w:val="24"/>
                <w:lang w:eastAsia="zh-CN"/>
              </w:rPr>
            </w:pPr>
            <w:r>
              <w:rPr>
                <w:rFonts w:hint="eastAsia" w:ascii="黑体" w:hAnsi="黑体" w:eastAsia="黑体" w:cs="黑体"/>
                <w:b/>
                <w:bCs/>
                <w:color w:val="auto"/>
                <w:sz w:val="24"/>
                <w:szCs w:val="24"/>
                <w:lang w:eastAsia="zh-CN"/>
              </w:rPr>
              <w:t>分值</w:t>
            </w:r>
          </w:p>
        </w:tc>
      </w:tr>
      <w:tr w14:paraId="461E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1" w:hRule="atLeast"/>
          <w:jc w:val="center"/>
        </w:trPr>
        <w:tc>
          <w:tcPr>
            <w:tcW w:w="739" w:type="pct"/>
            <w:noWrap w:val="0"/>
            <w:vAlign w:val="center"/>
          </w:tcPr>
          <w:p w14:paraId="56E195F5">
            <w:pPr>
              <w:spacing w:after="0" w:line="240" w:lineRule="auto"/>
              <w:ind w:firstLine="480" w:firstLineChars="200"/>
              <w:jc w:val="center"/>
              <w:rPr>
                <w:rFonts w:hint="eastAsia" w:ascii="黑体" w:hAnsi="黑体" w:eastAsia="黑体" w:cs="黑体"/>
                <w:b/>
                <w:bCs/>
                <w:color w:val="auto"/>
                <w:kern w:val="0"/>
                <w:sz w:val="24"/>
                <w:szCs w:val="24"/>
                <w:highlight w:val="none"/>
                <w:lang w:val="en-US" w:eastAsia="zh-CN"/>
              </w:rPr>
            </w:pPr>
          </w:p>
          <w:p w14:paraId="4752E341">
            <w:pPr>
              <w:spacing w:after="0" w:line="240" w:lineRule="auto"/>
              <w:jc w:val="center"/>
              <w:rPr>
                <w:rFonts w:hint="eastAsia" w:ascii="黑体" w:hAnsi="黑体" w:eastAsia="黑体" w:cs="黑体"/>
                <w:b/>
                <w:bCs/>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磋商报价</w:t>
            </w:r>
          </w:p>
          <w:p w14:paraId="069BECD8">
            <w:pPr>
              <w:spacing w:after="0" w:line="240" w:lineRule="auto"/>
              <w:ind w:firstLine="480" w:firstLineChars="200"/>
              <w:jc w:val="center"/>
              <w:rPr>
                <w:rFonts w:hint="eastAsia" w:ascii="黑体" w:hAnsi="黑体" w:eastAsia="黑体" w:cs="黑体"/>
                <w:b/>
                <w:bCs/>
                <w:color w:val="auto"/>
                <w:kern w:val="0"/>
                <w:sz w:val="24"/>
                <w:szCs w:val="24"/>
                <w:highlight w:val="none"/>
                <w:lang w:val="en-US" w:eastAsia="zh-CN"/>
              </w:rPr>
            </w:pPr>
          </w:p>
        </w:tc>
        <w:tc>
          <w:tcPr>
            <w:tcW w:w="3800" w:type="pct"/>
            <w:noWrap w:val="0"/>
            <w:vAlign w:val="center"/>
          </w:tcPr>
          <w:p w14:paraId="2483EA44">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价格分采用低价优先法计算，即满足磋商文件要求且报价最低的投标报价为评标基准价，其价格分为满分。其他供应商的价格分统一按照下列公式计算：</w:t>
            </w:r>
          </w:p>
          <w:p w14:paraId="3E08BE17">
            <w:pPr>
              <w:spacing w:after="0" w:line="240" w:lineRule="auto"/>
              <w:ind w:firstLine="480" w:firstLineChars="200"/>
              <w:rPr>
                <w:rFonts w:hint="default"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报价得分=（评标基准价/投标报价）×30</w:t>
            </w:r>
          </w:p>
          <w:p w14:paraId="1789AF3A">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委应当将其作为无效投标处理。</w:t>
            </w:r>
          </w:p>
        </w:tc>
        <w:tc>
          <w:tcPr>
            <w:tcW w:w="460" w:type="pct"/>
            <w:noWrap w:val="0"/>
            <w:vAlign w:val="center"/>
          </w:tcPr>
          <w:p w14:paraId="30A6FC0F">
            <w:pPr>
              <w:spacing w:after="0" w:line="240" w:lineRule="auto"/>
              <w:rPr>
                <w:rFonts w:hint="default" w:ascii="黑体" w:hAnsi="黑体" w:eastAsia="黑体" w:cs="黑体"/>
                <w:color w:val="auto"/>
                <w:kern w:val="0"/>
                <w:sz w:val="24"/>
                <w:szCs w:val="24"/>
                <w:highlight w:val="green"/>
                <w:lang w:val="en-US" w:eastAsia="zh-CN"/>
              </w:rPr>
            </w:pPr>
            <w:r>
              <w:rPr>
                <w:rFonts w:hint="eastAsia" w:ascii="黑体" w:hAnsi="黑体" w:eastAsia="黑体" w:cs="黑体"/>
                <w:color w:val="auto"/>
                <w:kern w:val="0"/>
                <w:sz w:val="24"/>
                <w:szCs w:val="24"/>
                <w:highlight w:val="none"/>
                <w:lang w:val="en-US" w:eastAsia="zh-CN"/>
              </w:rPr>
              <w:t>30分</w:t>
            </w:r>
          </w:p>
        </w:tc>
      </w:tr>
      <w:tr w14:paraId="1FC6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9" w:type="pct"/>
            <w:noWrap w:val="0"/>
            <w:vAlign w:val="center"/>
          </w:tcPr>
          <w:p w14:paraId="47D9E059">
            <w:pPr>
              <w:spacing w:after="0" w:line="240" w:lineRule="auto"/>
              <w:jc w:val="center"/>
              <w:rPr>
                <w:rFonts w:hint="eastAsia" w:ascii="黑体" w:hAnsi="黑体" w:eastAsia="黑体" w:cs="黑体"/>
                <w:b/>
                <w:bCs/>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服务方案</w:t>
            </w:r>
          </w:p>
        </w:tc>
        <w:tc>
          <w:tcPr>
            <w:tcW w:w="3800" w:type="pct"/>
            <w:noWrap w:val="0"/>
            <w:vAlign w:val="top"/>
          </w:tcPr>
          <w:p w14:paraId="51571077">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一、评审内容：服务方案包括但不限于①项目背景及相关政策解读；②区域现状概况、现状解读与分析；③编制思路及技术路线；④项目实施方案；⑤进度保障措施；⑥服务质量控制及保障措施。</w:t>
            </w:r>
          </w:p>
          <w:p w14:paraId="7A3BAE3E">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二、评审标准：1、完整性：方案必须全面，对评审内容中的各项要求有详细描述；2、可实施性：切合本项目实际情况，提出步骤清晰、合理的方案；3、针对性：方案能够紧扣项目实际情况，内容科学合理。</w:t>
            </w:r>
          </w:p>
          <w:p w14:paraId="42CF11D6">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三、赋分标准：以上六项评审内容无缺项，方案各部分内容全面详细、阐述条理清晰详尽符合本项需求得30分；以上评审内容每有一项内容缺失或者内容非针对本项目扣5分；以上评审内容每有一项缺陷扣1分，扣完为止。</w:t>
            </w:r>
          </w:p>
          <w:p w14:paraId="38C02363">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（缺陷是指：内容粗略、逻辑混乱、描述过于简单、与项目特点不匹配、凭空编造、逻辑漏洞、出现常识性错误、存在不适用项目实际情况的情形或只有标题没有实质性内容等）。</w:t>
            </w:r>
          </w:p>
        </w:tc>
        <w:tc>
          <w:tcPr>
            <w:tcW w:w="460" w:type="pct"/>
            <w:noWrap w:val="0"/>
            <w:vAlign w:val="center"/>
          </w:tcPr>
          <w:p w14:paraId="572A46C5">
            <w:pPr>
              <w:spacing w:after="0" w:line="240" w:lineRule="auto"/>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30分</w:t>
            </w:r>
          </w:p>
        </w:tc>
      </w:tr>
      <w:tr w14:paraId="01D96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1" w:hRule="atLeast"/>
          <w:jc w:val="center"/>
        </w:trPr>
        <w:tc>
          <w:tcPr>
            <w:tcW w:w="739" w:type="pct"/>
            <w:noWrap w:val="0"/>
            <w:vAlign w:val="center"/>
          </w:tcPr>
          <w:p w14:paraId="561C910C">
            <w:pPr>
              <w:spacing w:after="0" w:line="240" w:lineRule="auto"/>
              <w:jc w:val="center"/>
              <w:rPr>
                <w:rFonts w:hint="eastAsia" w:ascii="黑体" w:hAnsi="黑体" w:eastAsia="黑体" w:cs="黑体"/>
                <w:b/>
                <w:bCs/>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项目重点难点分析及合理化建议</w:t>
            </w:r>
          </w:p>
        </w:tc>
        <w:tc>
          <w:tcPr>
            <w:tcW w:w="3800" w:type="pct"/>
            <w:noWrap w:val="0"/>
            <w:vAlign w:val="top"/>
          </w:tcPr>
          <w:p w14:paraId="3B00368F">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评审内容：包括但不限于①重难点分析及解决方案；②合理化建议。</w:t>
            </w:r>
          </w:p>
          <w:p w14:paraId="4EE84307">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二、评审标准：1、完整性：工作流程条理、节点清晰，对评审内容中的各项要求有详细描述；2、可实施性：切合本项目实际情况，提出步骤清晰、合理的方案；3、针对性：措施能够紧扣项目实际情况，内容科学合理。</w:t>
            </w:r>
          </w:p>
          <w:p w14:paraId="791EB7EF">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三、赋分标准：以上二项评审内容无缺项，方案各部分内容全面详细、阐述条理清晰详尽符合本项需求得10分；以上评审内容每有一项内容缺失或者内容非针对本项目扣5分；以上评审内容每有一项缺陷扣1分，扣完为止。</w:t>
            </w:r>
          </w:p>
          <w:p w14:paraId="0266182D">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（缺陷是指：内容粗略、逻辑混乱、描述过于简单、与项目特点不匹配、凭空编造、逻辑漏洞、出现常识性错误、存在不适用项目实际情况的情形或只有标题没有实质性内容等）。</w:t>
            </w:r>
          </w:p>
        </w:tc>
        <w:tc>
          <w:tcPr>
            <w:tcW w:w="460" w:type="pct"/>
            <w:noWrap w:val="0"/>
            <w:vAlign w:val="center"/>
          </w:tcPr>
          <w:p w14:paraId="3210B0CA">
            <w:pPr>
              <w:spacing w:after="0" w:line="240" w:lineRule="auto"/>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10分</w:t>
            </w:r>
          </w:p>
        </w:tc>
      </w:tr>
      <w:tr w14:paraId="1C2D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739" w:type="pct"/>
            <w:noWrap w:val="0"/>
            <w:vAlign w:val="center"/>
          </w:tcPr>
          <w:p w14:paraId="436834AD">
            <w:pPr>
              <w:spacing w:after="0" w:line="240" w:lineRule="auto"/>
              <w:jc w:val="center"/>
              <w:rPr>
                <w:rFonts w:hint="eastAsia" w:ascii="黑体" w:hAnsi="黑体" w:eastAsia="黑体" w:cs="黑体"/>
                <w:b/>
                <w:bCs/>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人员配备</w:t>
            </w:r>
          </w:p>
        </w:tc>
        <w:tc>
          <w:tcPr>
            <w:tcW w:w="3800" w:type="pct"/>
            <w:noWrap w:val="0"/>
            <w:vAlign w:val="top"/>
          </w:tcPr>
          <w:p w14:paraId="14D8F909">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一、拟派项目负责人：</w:t>
            </w:r>
            <w:r>
              <w:rPr>
                <w:rFonts w:hint="eastAsia" w:ascii="黑体" w:hAnsi="黑体" w:eastAsia="黑体" w:cs="黑体"/>
                <w:color w:val="auto"/>
                <w:kern w:val="0"/>
                <w:sz w:val="24"/>
                <w:szCs w:val="24"/>
                <w:highlight w:val="none"/>
                <w:lang w:val="en-US" w:eastAsia="zh-CN"/>
              </w:rPr>
              <w:t>具有相关专业中级及以上职称得4分。</w:t>
            </w:r>
          </w:p>
          <w:p w14:paraId="7E51A014">
            <w:pPr>
              <w:spacing w:after="0" w:line="240" w:lineRule="auto"/>
              <w:ind w:firstLine="480" w:firstLineChars="200"/>
              <w:rPr>
                <w:rFonts w:hint="eastAsia" w:ascii="黑体" w:hAnsi="黑体" w:eastAsia="黑体" w:cs="黑体"/>
                <w:b/>
                <w:bCs/>
                <w:color w:val="auto"/>
                <w:kern w:val="0"/>
                <w:sz w:val="24"/>
                <w:szCs w:val="24"/>
                <w:highlight w:val="none"/>
                <w:lang w:val="en-US" w:eastAsia="zh-CN"/>
              </w:rPr>
            </w:pPr>
            <w:r>
              <w:rPr>
                <w:rFonts w:hint="eastAsia" w:ascii="黑体" w:hAnsi="黑体" w:eastAsia="黑体" w:cs="黑体"/>
                <w:b/>
                <w:bCs/>
                <w:color w:val="auto"/>
                <w:kern w:val="0"/>
                <w:sz w:val="24"/>
                <w:szCs w:val="24"/>
                <w:highlight w:val="none"/>
                <w:lang w:val="en-US" w:eastAsia="zh-CN"/>
              </w:rPr>
              <w:t>二、项目团队人员</w:t>
            </w:r>
          </w:p>
          <w:p w14:paraId="7F7E5E9C">
            <w:pPr>
              <w:spacing w:after="0" w:line="240" w:lineRule="auto"/>
              <w:ind w:firstLine="480" w:firstLineChars="200"/>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（1）项目拟投入人员满足采购需求及项目实施得5分。</w:t>
            </w:r>
          </w:p>
          <w:p w14:paraId="76B48143">
            <w:pPr>
              <w:spacing w:after="0" w:line="240" w:lineRule="auto"/>
              <w:ind w:firstLine="480" w:firstLineChars="200"/>
              <w:rPr>
                <w:rFonts w:hint="eastAsia" w:ascii="黑体" w:hAnsi="黑体" w:eastAsia="黑体" w:cs="黑体"/>
                <w:color w:val="auto"/>
                <w:kern w:val="0"/>
                <w:sz w:val="24"/>
                <w:szCs w:val="24"/>
                <w:highlight w:val="none"/>
                <w:lang w:val="zh-CN" w:eastAsia="zh-CN"/>
              </w:rPr>
            </w:pPr>
            <w:r>
              <w:rPr>
                <w:rFonts w:hint="eastAsia" w:ascii="黑体" w:hAnsi="黑体" w:eastAsia="黑体" w:cs="黑体"/>
                <w:color w:val="auto"/>
                <w:kern w:val="0"/>
                <w:sz w:val="24"/>
                <w:szCs w:val="24"/>
                <w:highlight w:val="none"/>
                <w:lang w:val="zh-CN" w:eastAsia="zh-CN"/>
              </w:rPr>
              <w:t>注：提供上述人员有效的证书、社保缴纳证明或劳动合同或其它在职证明材料，不提供或提供不全该项不得分。</w:t>
            </w:r>
          </w:p>
        </w:tc>
        <w:tc>
          <w:tcPr>
            <w:tcW w:w="460" w:type="pct"/>
            <w:noWrap w:val="0"/>
            <w:vAlign w:val="center"/>
          </w:tcPr>
          <w:p w14:paraId="21D0242B">
            <w:pPr>
              <w:spacing w:after="0" w:line="240" w:lineRule="auto"/>
              <w:rPr>
                <w:rFonts w:hint="eastAsia" w:ascii="黑体" w:hAnsi="黑体" w:eastAsia="黑体" w:cs="黑体"/>
                <w:color w:val="auto"/>
                <w:kern w:val="0"/>
                <w:sz w:val="24"/>
                <w:szCs w:val="24"/>
                <w:highlight w:val="none"/>
                <w:lang w:val="en-US" w:eastAsia="zh-CN"/>
              </w:rPr>
            </w:pPr>
            <w:r>
              <w:rPr>
                <w:rFonts w:hint="eastAsia" w:ascii="黑体" w:hAnsi="黑体" w:eastAsia="黑体" w:cs="黑体"/>
                <w:color w:val="auto"/>
                <w:kern w:val="0"/>
                <w:sz w:val="24"/>
                <w:szCs w:val="24"/>
                <w:highlight w:val="none"/>
                <w:lang w:val="en-US" w:eastAsia="zh-CN"/>
              </w:rPr>
              <w:t>9分</w:t>
            </w:r>
          </w:p>
        </w:tc>
      </w:tr>
      <w:tr w14:paraId="7CA7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39" w:type="pct"/>
            <w:noWrap w:val="0"/>
            <w:vAlign w:val="center"/>
          </w:tcPr>
          <w:p w14:paraId="100F45F1">
            <w:pPr>
              <w:pStyle w:val="86"/>
              <w:spacing w:line="240" w:lineRule="auto"/>
              <w:jc w:val="center"/>
              <w:rPr>
                <w:rFonts w:hint="eastAsia" w:ascii="黑体" w:hAnsi="黑体" w:eastAsia="黑体" w:cs="黑体"/>
                <w:b/>
                <w:bCs/>
                <w:color w:val="auto"/>
                <w:kern w:val="0"/>
                <w:sz w:val="24"/>
                <w:szCs w:val="24"/>
                <w:highlight w:val="none"/>
                <w:lang w:val="en-US" w:eastAsia="zh-CN" w:bidi="ar-SA"/>
              </w:rPr>
            </w:pPr>
            <w:r>
              <w:rPr>
                <w:rFonts w:hint="eastAsia" w:ascii="黑体" w:hAnsi="黑体" w:eastAsia="黑体" w:cs="黑体"/>
                <w:b/>
                <w:bCs/>
                <w:color w:val="auto"/>
                <w:kern w:val="0"/>
                <w:sz w:val="24"/>
                <w:szCs w:val="24"/>
                <w:highlight w:val="none"/>
                <w:lang w:val="en-US" w:eastAsia="zh-CN" w:bidi="ar-SA"/>
              </w:rPr>
              <w:t>业绩</w:t>
            </w:r>
          </w:p>
        </w:tc>
        <w:tc>
          <w:tcPr>
            <w:tcW w:w="3800" w:type="pct"/>
            <w:noWrap w:val="0"/>
            <w:vAlign w:val="top"/>
          </w:tcPr>
          <w:p w14:paraId="42838F9F">
            <w:pPr>
              <w:pStyle w:val="86"/>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供应商</w:t>
            </w:r>
            <w:r>
              <w:rPr>
                <w:rFonts w:hint="eastAsia" w:ascii="黑体" w:hAnsi="黑体" w:eastAsia="黑体" w:cs="黑体"/>
                <w:sz w:val="24"/>
                <w:szCs w:val="24"/>
                <w:lang w:val="zh-CN" w:eastAsia="zh-CN"/>
              </w:rPr>
              <w:t>具有20</w:t>
            </w:r>
            <w:r>
              <w:rPr>
                <w:rFonts w:hint="eastAsia" w:ascii="黑体" w:hAnsi="黑体" w:eastAsia="黑体" w:cs="黑体"/>
                <w:sz w:val="24"/>
                <w:szCs w:val="24"/>
                <w:lang w:val="en-US" w:eastAsia="zh-CN"/>
              </w:rPr>
              <w:t>23</w:t>
            </w:r>
            <w:r>
              <w:rPr>
                <w:rFonts w:hint="eastAsia" w:ascii="黑体" w:hAnsi="黑体" w:eastAsia="黑体" w:cs="黑体"/>
                <w:sz w:val="24"/>
                <w:szCs w:val="24"/>
                <w:lang w:val="zh-CN" w:eastAsia="zh-CN"/>
              </w:rPr>
              <w:t>年</w:t>
            </w:r>
            <w:r>
              <w:rPr>
                <w:rFonts w:hint="eastAsia" w:ascii="黑体" w:hAnsi="黑体" w:eastAsia="黑体" w:cs="黑体"/>
                <w:sz w:val="24"/>
                <w:szCs w:val="24"/>
                <w:highlight w:val="none"/>
                <w:lang w:val="en-US" w:eastAsia="zh-CN"/>
              </w:rPr>
              <w:t>7</w:t>
            </w:r>
            <w:r>
              <w:rPr>
                <w:rFonts w:hint="eastAsia" w:ascii="黑体" w:hAnsi="黑体" w:eastAsia="黑体" w:cs="黑体"/>
                <w:sz w:val="24"/>
                <w:szCs w:val="24"/>
                <w:highlight w:val="none"/>
                <w:lang w:val="zh-CN" w:eastAsia="zh-CN"/>
              </w:rPr>
              <w:t>月1日</w:t>
            </w:r>
            <w:r>
              <w:rPr>
                <w:rFonts w:hint="eastAsia" w:ascii="黑体" w:hAnsi="黑体" w:eastAsia="黑体" w:cs="黑体"/>
                <w:sz w:val="24"/>
                <w:szCs w:val="24"/>
                <w:lang w:val="zh-CN" w:eastAsia="zh-CN"/>
              </w:rPr>
              <w:t>至今</w:t>
            </w:r>
            <w:r>
              <w:rPr>
                <w:rFonts w:hint="eastAsia" w:ascii="黑体" w:hAnsi="黑体" w:eastAsia="黑体" w:cs="黑体"/>
                <w:sz w:val="24"/>
                <w:szCs w:val="24"/>
                <w:lang w:val="en-US" w:eastAsia="zh-CN"/>
              </w:rPr>
              <w:t>类似</w:t>
            </w:r>
            <w:r>
              <w:rPr>
                <w:rFonts w:hint="eastAsia" w:ascii="黑体" w:hAnsi="黑体" w:eastAsia="黑体" w:cs="黑体"/>
                <w:sz w:val="24"/>
                <w:szCs w:val="24"/>
                <w:lang w:val="zh-CN" w:eastAsia="zh-CN"/>
              </w:rPr>
              <w:t>项目业绩（以合同签订时间为准），响应文件中提供合同复印件加盖供应商公章,每提供一份得</w:t>
            </w:r>
            <w:r>
              <w:rPr>
                <w:rFonts w:hint="eastAsia" w:ascii="黑体" w:hAnsi="黑体" w:eastAsia="黑体" w:cs="黑体"/>
                <w:sz w:val="24"/>
                <w:szCs w:val="24"/>
                <w:lang w:val="en-US" w:eastAsia="zh-CN"/>
              </w:rPr>
              <w:t>2</w:t>
            </w:r>
            <w:r>
              <w:rPr>
                <w:rFonts w:hint="eastAsia" w:ascii="黑体" w:hAnsi="黑体" w:eastAsia="黑体" w:cs="黑体"/>
                <w:sz w:val="24"/>
                <w:szCs w:val="24"/>
                <w:lang w:val="zh-CN" w:eastAsia="zh-CN"/>
              </w:rPr>
              <w:t>分，满分</w:t>
            </w:r>
            <w:r>
              <w:rPr>
                <w:rFonts w:hint="eastAsia" w:ascii="黑体" w:hAnsi="黑体" w:eastAsia="黑体" w:cs="黑体"/>
                <w:sz w:val="24"/>
                <w:szCs w:val="24"/>
                <w:lang w:val="en-US" w:eastAsia="zh-CN"/>
              </w:rPr>
              <w:t>6</w:t>
            </w:r>
            <w:r>
              <w:rPr>
                <w:rFonts w:hint="eastAsia" w:ascii="黑体" w:hAnsi="黑体" w:eastAsia="黑体" w:cs="黑体"/>
                <w:sz w:val="24"/>
                <w:szCs w:val="24"/>
                <w:lang w:val="zh-CN" w:eastAsia="zh-CN"/>
              </w:rPr>
              <w:t>分，未提供不计分。</w:t>
            </w:r>
            <w:r>
              <w:rPr>
                <w:rFonts w:hint="eastAsia" w:ascii="黑体" w:hAnsi="黑体" w:eastAsia="黑体" w:cs="黑体"/>
                <w:sz w:val="24"/>
                <w:szCs w:val="24"/>
                <w:lang w:val="en-US" w:eastAsia="zh-CN"/>
              </w:rPr>
              <w:t xml:space="preserve">  </w:t>
            </w:r>
          </w:p>
        </w:tc>
        <w:tc>
          <w:tcPr>
            <w:tcW w:w="460" w:type="pct"/>
            <w:noWrap w:val="0"/>
            <w:vAlign w:val="center"/>
          </w:tcPr>
          <w:p w14:paraId="75C03403">
            <w:pPr>
              <w:spacing w:line="240" w:lineRule="auto"/>
              <w:jc w:val="center"/>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6分</w:t>
            </w:r>
          </w:p>
        </w:tc>
      </w:tr>
      <w:tr w14:paraId="0849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739" w:type="pct"/>
            <w:noWrap w:val="0"/>
            <w:vAlign w:val="center"/>
          </w:tcPr>
          <w:p w14:paraId="18BA3C4D">
            <w:pPr>
              <w:pStyle w:val="86"/>
              <w:spacing w:line="240" w:lineRule="auto"/>
              <w:jc w:val="center"/>
              <w:rPr>
                <w:rFonts w:hint="eastAsia" w:ascii="黑体" w:hAnsi="黑体" w:eastAsia="黑体" w:cs="黑体"/>
                <w:b/>
                <w:bCs/>
                <w:color w:val="auto"/>
                <w:kern w:val="0"/>
                <w:sz w:val="24"/>
                <w:szCs w:val="24"/>
                <w:highlight w:val="none"/>
                <w:lang w:val="en-US" w:eastAsia="zh-CN" w:bidi="ar-SA"/>
              </w:rPr>
            </w:pPr>
            <w:r>
              <w:rPr>
                <w:rFonts w:hint="eastAsia" w:ascii="黑体" w:hAnsi="黑体" w:eastAsia="黑体" w:cs="黑体"/>
                <w:b/>
                <w:bCs/>
                <w:color w:val="auto"/>
                <w:kern w:val="0"/>
                <w:sz w:val="24"/>
                <w:szCs w:val="24"/>
                <w:highlight w:val="none"/>
                <w:lang w:val="en-US" w:eastAsia="zh-CN" w:bidi="ar-SA"/>
              </w:rPr>
              <w:t>服务承诺</w:t>
            </w:r>
          </w:p>
        </w:tc>
        <w:tc>
          <w:tcPr>
            <w:tcW w:w="3800" w:type="pct"/>
            <w:noWrap w:val="0"/>
            <w:vAlign w:val="top"/>
          </w:tcPr>
          <w:p w14:paraId="003F5A7F">
            <w:pPr>
              <w:pStyle w:val="86"/>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包括但不限于①服务质量保证承诺；②服务进度保证承诺；③拟投入人员不更换承诺；④相关配合服务的承诺；⑤廉洁从业承诺及保密承诺。  每提供一个承诺得3分，满分15分。</w:t>
            </w:r>
          </w:p>
        </w:tc>
        <w:tc>
          <w:tcPr>
            <w:tcW w:w="460" w:type="pct"/>
            <w:noWrap w:val="0"/>
            <w:vAlign w:val="center"/>
          </w:tcPr>
          <w:p w14:paraId="66B05250">
            <w:pPr>
              <w:spacing w:line="240" w:lineRule="auto"/>
              <w:jc w:val="center"/>
              <w:rPr>
                <w:rFonts w:hint="eastAsia" w:ascii="黑体" w:hAnsi="黑体" w:eastAsia="黑体" w:cs="黑体"/>
                <w:color w:val="auto"/>
                <w:kern w:val="0"/>
                <w:sz w:val="24"/>
                <w:szCs w:val="24"/>
                <w:highlight w:val="none"/>
                <w:lang w:val="en-US" w:eastAsia="zh-CN" w:bidi="ar-SA"/>
              </w:rPr>
            </w:pPr>
          </w:p>
          <w:p w14:paraId="0EE5F116">
            <w:pPr>
              <w:spacing w:line="240" w:lineRule="auto"/>
              <w:jc w:val="center"/>
              <w:rPr>
                <w:rFonts w:hint="default"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15分</w:t>
            </w:r>
          </w:p>
        </w:tc>
      </w:tr>
      <w:tr w14:paraId="34D0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000" w:type="pct"/>
            <w:gridSpan w:val="3"/>
            <w:noWrap w:val="0"/>
            <w:vAlign w:val="center"/>
          </w:tcPr>
          <w:p w14:paraId="5FEB1F61">
            <w:pPr>
              <w:pStyle w:val="11"/>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firstLine="480"/>
              <w:textAlignment w:val="auto"/>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1.评标委员会各成员独立打分。</w:t>
            </w:r>
          </w:p>
          <w:p w14:paraId="652C232E">
            <w:pPr>
              <w:pStyle w:val="11"/>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firstLine="480"/>
              <w:textAlignment w:val="auto"/>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2.评委打分超过得分界限或未按本表规定赋分时，该评委的打分作废，不计入汇总分。</w:t>
            </w:r>
          </w:p>
          <w:p w14:paraId="7DB72237">
            <w:pPr>
              <w:pStyle w:val="11"/>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firstLine="480"/>
              <w:textAlignment w:val="auto"/>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3115A52E">
            <w:pPr>
              <w:pStyle w:val="11"/>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firstLine="480"/>
              <w:textAlignment w:val="auto"/>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4.各种计算采用插入法，数字均保留两位小数，第二位“四舍五入”。</w:t>
            </w:r>
          </w:p>
          <w:p w14:paraId="14EFD73A">
            <w:pPr>
              <w:spacing w:line="240" w:lineRule="auto"/>
              <w:rPr>
                <w:rFonts w:hint="eastAsia" w:ascii="黑体" w:hAnsi="黑体" w:eastAsia="黑体" w:cs="黑体"/>
                <w:color w:val="auto"/>
                <w:kern w:val="0"/>
                <w:sz w:val="24"/>
                <w:szCs w:val="24"/>
                <w:highlight w:val="none"/>
                <w:lang w:val="en-US" w:eastAsia="zh-CN" w:bidi="ar-SA"/>
              </w:rPr>
            </w:pPr>
            <w:r>
              <w:rPr>
                <w:rFonts w:hint="eastAsia" w:ascii="黑体" w:hAnsi="黑体" w:eastAsia="黑体" w:cs="黑体"/>
                <w:color w:val="auto"/>
                <w:kern w:val="0"/>
                <w:sz w:val="24"/>
                <w:szCs w:val="24"/>
                <w:highlight w:val="none"/>
                <w:lang w:val="en-US" w:eastAsia="zh-CN" w:bidi="ar-SA"/>
              </w:rPr>
              <w:t>5.评标过程中，若出现特殊情况时，由评标委员会决定暂停评标，并提出具体处理意见。</w:t>
            </w:r>
          </w:p>
        </w:tc>
      </w:tr>
    </w:tbl>
    <w:p w14:paraId="599E99B2">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b/>
          <w:color w:val="auto"/>
          <w:sz w:val="24"/>
          <w:highlight w:val="none"/>
        </w:rPr>
        <w:t>特殊情况处理</w:t>
      </w:r>
      <w:r>
        <w:rPr>
          <w:rFonts w:ascii="Times New Roman" w:hAnsi="Times New Roman" w:eastAsia="宋体" w:cs="Times New Roman"/>
          <w:color w:val="auto"/>
          <w:sz w:val="24"/>
          <w:highlight w:val="none"/>
        </w:rPr>
        <w:t>：</w:t>
      </w:r>
    </w:p>
    <w:p w14:paraId="59346E62">
      <w:pPr>
        <w:pStyle w:val="16"/>
        <w:numPr>
          <w:ilvl w:val="0"/>
          <w:numId w:val="31"/>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当供应商某评分项出现未报、漏报或零报价时，该分项得零分，并不参与投标报价分的计算。</w:t>
      </w:r>
    </w:p>
    <w:p w14:paraId="777D931F">
      <w:pPr>
        <w:pStyle w:val="16"/>
        <w:numPr>
          <w:ilvl w:val="0"/>
          <w:numId w:val="31"/>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若出现综合得分相同时，按投标报价由低到高顺序排列。得分且投标报价相同的并列。响应文件满足磋商文件全部实质性要求，且按照评审因素的量化指标评审得分最高的投标人为排名第一的成交候选人。</w:t>
      </w:r>
    </w:p>
    <w:p w14:paraId="1D48ED32">
      <w:pPr>
        <w:pStyle w:val="16"/>
        <w:numPr>
          <w:ilvl w:val="0"/>
          <w:numId w:val="31"/>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评标过程中，若出现本评标方法以外的特殊情况时，将暂停评标，待磋商小组商榷后再进行复会。</w:t>
      </w:r>
    </w:p>
    <w:p w14:paraId="34906EB6">
      <w:pPr>
        <w:pStyle w:val="2"/>
        <w:ind w:left="0" w:leftChars="0" w:firstLine="480" w:firstLineChars="200"/>
        <w:rPr>
          <w:highlight w:val="none"/>
        </w:rPr>
      </w:pPr>
      <w:r>
        <w:rPr>
          <w:highlight w:val="none"/>
        </w:rPr>
        <w:t>3-7、政府采购政策评分标准（以下政策为宣导，本项目不适用）</w:t>
      </w:r>
    </w:p>
    <w:p w14:paraId="4842E32A">
      <w:pPr>
        <w:pStyle w:val="3"/>
        <w:numPr>
          <w:ilvl w:val="0"/>
          <w:numId w:val="32"/>
        </w:numPr>
        <w:tabs>
          <w:tab w:val="left" w:pos="1325"/>
        </w:tabs>
        <w:topLinePunct w:val="0"/>
        <w:ind w:left="0" w:leftChars="0" w:firstLine="480" w:firstLineChars="200"/>
        <w:rPr>
          <w:rFonts w:hint="eastAsia" w:ascii="宋体" w:hAnsi="宋体" w:eastAsia="宋体" w:cs="宋体"/>
          <w:b/>
          <w:highlight w:val="none"/>
        </w:rPr>
      </w:pPr>
      <w:r>
        <w:rPr>
          <w:highlight w:val="none"/>
        </w:rPr>
        <w:t>小微企业的价格评分标准</w:t>
      </w:r>
    </w:p>
    <w:p w14:paraId="40923490">
      <w:pPr>
        <w:pStyle w:val="16"/>
        <w:numPr>
          <w:ilvl w:val="0"/>
          <w:numId w:val="3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对小型、微型企业产品的价格给予10%的扣除，用扣除后的价格参与评审，其评标价=投标报价×（1-10%）。</w:t>
      </w:r>
    </w:p>
    <w:p w14:paraId="3C87960B">
      <w:pPr>
        <w:pStyle w:val="16"/>
        <w:numPr>
          <w:ilvl w:val="0"/>
          <w:numId w:val="3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小微企业依照《中华人民共和国劳动合同法》订立劳动合同的从业人员，则参与政府采购活动时，享受中小企业扶持政策。</w:t>
      </w:r>
    </w:p>
    <w:p w14:paraId="5FA63C35">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在货物采购项目中，供应商提供的货物既有中小企业制造货物，也有大型企业制造货物的，不享受本办法规定的中小企业扶持政策。 </w:t>
      </w:r>
    </w:p>
    <w:p w14:paraId="6A50140E">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关于中小企业的判定，在货物采购项目中，不对其中涉及的服务的承接商作出要求；在工程采购项目中，不对其中涉及的货物的制造商和服务的承接商作出要求；在服务采购项目中，不对其中涉及的货物的制造商作出要求。</w:t>
      </w:r>
    </w:p>
    <w:p w14:paraId="5E0800A9">
      <w:pPr>
        <w:pStyle w:val="16"/>
        <w:ind w:left="0" w:leftChars="0" w:firstLine="480" w:firstLineChars="20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参加本项目的中小企业须提供《中小企业声明函》（附件），未提供的不视为中小企业。供应商须做出承诺，保证真实性，如有虚假，将依法承担相应责任。</w:t>
      </w:r>
    </w:p>
    <w:p w14:paraId="7028D5FB">
      <w:pPr>
        <w:pStyle w:val="16"/>
        <w:numPr>
          <w:ilvl w:val="0"/>
          <w:numId w:val="3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小微企业按《政府采购促进中小企业发展管理办法》（财库【2011】181号）和《工业和信息化部、国家统计局、国家发展和改革委员会、财政部关于印发&lt;中小企业划型标准规定&gt;的通知》（工信部联企业【2011】300号）文件规定标准确认。</w:t>
      </w:r>
    </w:p>
    <w:p w14:paraId="1143AF2B">
      <w:pPr>
        <w:pStyle w:val="3"/>
        <w:numPr>
          <w:ilvl w:val="0"/>
          <w:numId w:val="32"/>
        </w:numPr>
        <w:tabs>
          <w:tab w:val="left" w:pos="1325"/>
        </w:tabs>
        <w:topLinePunct w:val="0"/>
        <w:ind w:left="0" w:leftChars="0" w:firstLine="480" w:firstLineChars="200"/>
        <w:rPr>
          <w:rFonts w:hint="eastAsia" w:ascii="宋体" w:hAnsi="宋体" w:eastAsia="宋体" w:cs="宋体"/>
          <w:b/>
          <w:highlight w:val="none"/>
        </w:rPr>
      </w:pPr>
      <w:r>
        <w:rPr>
          <w:highlight w:val="none"/>
        </w:rPr>
        <w:t>监狱企业的价格评分标准</w:t>
      </w:r>
    </w:p>
    <w:p w14:paraId="01127353">
      <w:pPr>
        <w:pStyle w:val="16"/>
        <w:numPr>
          <w:ilvl w:val="0"/>
          <w:numId w:val="34"/>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在政府采购活动中，监狱企业视同小型、微型企业，享受预留份额、评审中价格扣除等政府采购促进中小企业发展的政府采购政策。对监狱企业产品的价格给予10%的扣除，用扣除后的价格参与评审，其评标价=投标报价×（1-10%）。</w:t>
      </w:r>
    </w:p>
    <w:p w14:paraId="04AB37D5">
      <w:pPr>
        <w:pStyle w:val="16"/>
        <w:numPr>
          <w:ilvl w:val="0"/>
          <w:numId w:val="34"/>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监狱企业属于小型、微型企业的，不重复享受政策。 </w:t>
      </w:r>
    </w:p>
    <w:p w14:paraId="68D1DD5A">
      <w:pPr>
        <w:pStyle w:val="16"/>
        <w:numPr>
          <w:ilvl w:val="0"/>
          <w:numId w:val="34"/>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监狱企业参加政府采购活动时，应当提供由省级以上监狱管理局、戒毒管理局（含新疆生产建设兵团）出具的属于监狱企业的证明文件。</w:t>
      </w:r>
    </w:p>
    <w:p w14:paraId="00D6EE8E">
      <w:pPr>
        <w:pStyle w:val="16"/>
        <w:numPr>
          <w:ilvl w:val="0"/>
          <w:numId w:val="34"/>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监狱企业按《财政部、司法部关于政府采购支持监狱企业发展有关问题的通知》（财库〔2014〕68号）文件规定标准执行。</w:t>
      </w:r>
    </w:p>
    <w:p w14:paraId="087EAF7E">
      <w:pPr>
        <w:pStyle w:val="3"/>
        <w:numPr>
          <w:ilvl w:val="0"/>
          <w:numId w:val="32"/>
        </w:numPr>
        <w:tabs>
          <w:tab w:val="left" w:pos="1325"/>
        </w:tabs>
        <w:topLinePunct w:val="0"/>
        <w:ind w:left="0" w:leftChars="0" w:firstLine="480" w:firstLineChars="200"/>
        <w:rPr>
          <w:rFonts w:hint="eastAsia" w:ascii="宋体" w:hAnsi="宋体" w:eastAsia="宋体" w:cs="宋体"/>
          <w:b/>
          <w:highlight w:val="none"/>
        </w:rPr>
      </w:pPr>
      <w:r>
        <w:rPr>
          <w:highlight w:val="none"/>
        </w:rPr>
        <w:t>残疾人福利性单位的价格评分标准</w:t>
      </w:r>
    </w:p>
    <w:p w14:paraId="12F1A137">
      <w:pPr>
        <w:pStyle w:val="16"/>
        <w:numPr>
          <w:ilvl w:val="0"/>
          <w:numId w:val="3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在政府采购活动中，残疾人福利性单位视同小型、微型企业，享受预留份额、评审中价格扣除等政府采购促进中小企业发展的政府采购政策。对残疾人福利性单位产品的价格给予10%的扣除，用扣除后的价格参与评审，其评标价=投标报价×（1-10%）。</w:t>
      </w:r>
    </w:p>
    <w:p w14:paraId="636C6E5D">
      <w:pPr>
        <w:pStyle w:val="16"/>
        <w:numPr>
          <w:ilvl w:val="0"/>
          <w:numId w:val="3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残疾人福利性单位属于小型、微型企业的，不重复享受政策。</w:t>
      </w:r>
    </w:p>
    <w:p w14:paraId="206D8D85">
      <w:pPr>
        <w:pStyle w:val="16"/>
        <w:numPr>
          <w:ilvl w:val="0"/>
          <w:numId w:val="3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符合条件的残疾人福利性单位在参加政府采购活动时，应当提供本通知规定的《残疾人福利性单位声明函》（见附件），并对声明的真实性负责，未提供的不视为残疾人福利性单位。 </w:t>
      </w:r>
    </w:p>
    <w:p w14:paraId="3BDFF9AD">
      <w:pPr>
        <w:pStyle w:val="3"/>
        <w:numPr>
          <w:ilvl w:val="0"/>
          <w:numId w:val="32"/>
        </w:numPr>
        <w:tabs>
          <w:tab w:val="left" w:pos="1325"/>
        </w:tabs>
        <w:topLinePunct w:val="0"/>
        <w:ind w:left="0" w:leftChars="0" w:firstLine="480" w:firstLineChars="200"/>
        <w:rPr>
          <w:rFonts w:hint="eastAsia" w:ascii="宋体" w:hAnsi="宋体" w:eastAsia="宋体" w:cs="宋体"/>
          <w:b/>
          <w:highlight w:val="none"/>
        </w:rPr>
      </w:pPr>
      <w:r>
        <w:rPr>
          <w:highlight w:val="none"/>
        </w:rPr>
        <w:t>节能产品、环境标志产品政策</w:t>
      </w:r>
    </w:p>
    <w:p w14:paraId="0D311F0C">
      <w:pPr>
        <w:pStyle w:val="16"/>
        <w:numPr>
          <w:ilvl w:val="0"/>
          <w:numId w:val="3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根据《关于调整优化节能产品、环境标志产品政府采购执行机制的通知》（财库〔2019〕9号）的规定，投标人为提供服务所伴随的货物属于节能产品、环境标志产品品目清单范围内，且投标人所投产品具有有效期内的产品认证证书，在评标时予以优先采购，具体见评审因素和指标内容。</w:t>
      </w:r>
    </w:p>
    <w:p w14:paraId="3ABB2A8E">
      <w:pPr>
        <w:pStyle w:val="16"/>
        <w:numPr>
          <w:ilvl w:val="0"/>
          <w:numId w:val="3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如投标人为提供服务所伴随的货物为政府强制采购的节能产品，投标人所投产品的品牌及型号必须为清单中有效期内产品并提供证明文件，否则其投标将作为无效投标被拒绝。</w:t>
      </w:r>
    </w:p>
    <w:p w14:paraId="642E6231">
      <w:pPr>
        <w:pStyle w:val="16"/>
        <w:numPr>
          <w:ilvl w:val="0"/>
          <w:numId w:val="3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若节能、环境标志清单内的产品仅是构成投标产品的部件、组件或零件的，则该投标产品不享受鼓励优惠政策。</w:t>
      </w:r>
    </w:p>
    <w:p w14:paraId="60B594A9">
      <w:pPr>
        <w:pStyle w:val="16"/>
        <w:numPr>
          <w:ilvl w:val="0"/>
          <w:numId w:val="3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对于同时列入环保清单和节能产品政府采购清单的产品，应当优先于只列入其中一个清单的产品。</w:t>
      </w:r>
    </w:p>
    <w:p w14:paraId="1C9CE021">
      <w:pPr>
        <w:pStyle w:val="16"/>
        <w:numPr>
          <w:ilvl w:val="0"/>
          <w:numId w:val="3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获得上述认证的产品在投标时应提供有效证明材料。以上所有证明文件复印件须加盖供应商公章并注明“与原件一致”，否则不予计分。</w:t>
      </w:r>
    </w:p>
    <w:p w14:paraId="6E4277F1">
      <w:pPr>
        <w:pStyle w:val="2"/>
        <w:numPr>
          <w:ilvl w:val="0"/>
          <w:numId w:val="37"/>
        </w:numPr>
        <w:tabs>
          <w:tab w:val="left" w:pos="841"/>
        </w:tabs>
        <w:topLinePunct w:val="0"/>
        <w:ind w:left="0" w:leftChars="0" w:firstLine="480" w:firstLineChars="200"/>
        <w:rPr>
          <w:b/>
          <w:highlight w:val="none"/>
        </w:rPr>
      </w:pPr>
      <w:r>
        <w:rPr>
          <w:highlight w:val="none"/>
        </w:rPr>
        <w:t>定标</w:t>
      </w:r>
    </w:p>
    <w:p w14:paraId="25A66113">
      <w:pPr>
        <w:pStyle w:val="16"/>
        <w:numPr>
          <w:ilvl w:val="0"/>
          <w:numId w:val="3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定标程序</w:t>
      </w:r>
    </w:p>
    <w:p w14:paraId="3B1C510E">
      <w:pPr>
        <w:pStyle w:val="16"/>
        <w:numPr>
          <w:ilvl w:val="0"/>
          <w:numId w:val="39"/>
        </w:numPr>
        <w:tabs>
          <w:tab w:val="left" w:pos="108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磋商小组依据评标办法，经过符合性审查、澄清、比较与评价等程序后，在最大限度满足磋商文件实质性要求前提下进行综合评审，以评标总得分最高到低的顺序推荐3名以上成交候选人，并编写</w:t>
      </w:r>
      <w:bookmarkStart w:id="33" w:name="OLE_LINK4"/>
      <w:r>
        <w:rPr>
          <w:rFonts w:ascii="Times New Roman" w:hAnsi="Times New Roman" w:eastAsia="宋体" w:cs="Times New Roman"/>
          <w:color w:val="auto"/>
          <w:sz w:val="24"/>
          <w:highlight w:val="none"/>
        </w:rPr>
        <w:t>评标</w:t>
      </w:r>
      <w:bookmarkEnd w:id="33"/>
      <w:r>
        <w:rPr>
          <w:rFonts w:ascii="Times New Roman" w:hAnsi="Times New Roman" w:eastAsia="宋体" w:cs="Times New Roman"/>
          <w:color w:val="auto"/>
          <w:sz w:val="24"/>
          <w:highlight w:val="none"/>
        </w:rPr>
        <w:t>报告。　</w:t>
      </w:r>
    </w:p>
    <w:p w14:paraId="7A8A17D6">
      <w:pPr>
        <w:pStyle w:val="16"/>
        <w:numPr>
          <w:ilvl w:val="0"/>
          <w:numId w:val="39"/>
        </w:numPr>
        <w:tabs>
          <w:tab w:val="left" w:pos="1080"/>
        </w:tabs>
        <w:topLinePunct w:val="0"/>
        <w:ind w:left="0" w:leftChars="0" w:firstLine="480" w:firstLineChars="200"/>
        <w:rPr>
          <w:rFonts w:ascii="Times New Roman" w:hAnsi="Times New Roman" w:eastAsia="宋体" w:cs="Times New Roman"/>
          <w:color w:val="auto"/>
          <w:sz w:val="24"/>
          <w:highlight w:val="none"/>
        </w:rPr>
      </w:pPr>
      <w:bookmarkStart w:id="34" w:name="OLE_LINK18"/>
      <w:r>
        <w:rPr>
          <w:rFonts w:ascii="Times New Roman" w:hAnsi="Times New Roman" w:eastAsia="宋体" w:cs="Times New Roman"/>
          <w:color w:val="auto"/>
          <w:sz w:val="24"/>
          <w:highlight w:val="none"/>
        </w:rPr>
        <w:t>磋商小组应当在评标报告上签字，对自己的评审意见承担法律责任。磋商小组成员对需要共同认定的事项存在争议的，应当按照少数服从多数的原则作出结论。持不同意见的磋商小组成员应当在评标报告上签署不同意见及理由，否则视为同意评标报告。</w:t>
      </w:r>
    </w:p>
    <w:bookmarkEnd w:id="34"/>
    <w:p w14:paraId="18C4807B">
      <w:pPr>
        <w:pStyle w:val="16"/>
        <w:numPr>
          <w:ilvl w:val="0"/>
          <w:numId w:val="39"/>
        </w:numPr>
        <w:tabs>
          <w:tab w:val="left" w:pos="108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采购代理机构应当自评审结束之日起2个工作日内将评标报告送交采购人。采购人在收到评审报告5个工作日内，从评审报告推荐的成交候选人中，按顺序确定成交人。成交候选人并列的，投标报价得分高者成为成交人，若投标报价得分相同，技术得分高者成为成交人。确定结果后，采购人向采购代理机构出具《成交复函》。采购人逾期未按评标报告推荐的中标候选人顺序确定成交人，又不能说明合法理由的，视同按评标报告推荐的顺序确定排名第一的中标候选人为成交人。</w:t>
      </w:r>
    </w:p>
    <w:p w14:paraId="11CA7F21">
      <w:pPr>
        <w:pStyle w:val="16"/>
        <w:numPr>
          <w:ilvl w:val="0"/>
          <w:numId w:val="39"/>
        </w:numPr>
        <w:tabs>
          <w:tab w:val="left" w:pos="1080"/>
        </w:tabs>
        <w:topLinePunct w:val="0"/>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采购代理机构接到采购人的《成交复函》后，在2个工作日内，将成交结果在网上进行公告。公告发布1个工作日，其他供应商若有异议，按《政府采购法》第52条执行。</w:t>
      </w:r>
    </w:p>
    <w:p w14:paraId="13A13A2B">
      <w:pPr>
        <w:pStyle w:val="16"/>
        <w:numPr>
          <w:ilvl w:val="0"/>
          <w:numId w:val="38"/>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成交人确定后，采购人和采购代理机构对未成交原因不作任何解释，响应文件不予退还（含纸质及电子版文件）。</w:t>
      </w:r>
    </w:p>
    <w:p w14:paraId="76EA87C7">
      <w:pPr>
        <w:pStyle w:val="2"/>
        <w:numPr>
          <w:ilvl w:val="0"/>
          <w:numId w:val="37"/>
        </w:numPr>
        <w:tabs>
          <w:tab w:val="left" w:pos="841"/>
        </w:tabs>
        <w:topLinePunct w:val="0"/>
        <w:ind w:left="0" w:leftChars="0" w:firstLine="480" w:firstLineChars="200"/>
        <w:rPr>
          <w:b/>
          <w:highlight w:val="none"/>
        </w:rPr>
      </w:pPr>
      <w:bookmarkStart w:id="35" w:name="_Toc458617461"/>
      <w:bookmarkStart w:id="36" w:name="_Toc458617738"/>
      <w:r>
        <w:rPr>
          <w:highlight w:val="none"/>
        </w:rPr>
        <w:t>投标无效的情形：</w:t>
      </w:r>
    </w:p>
    <w:p w14:paraId="2916070A">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响应文件未按磋商文件要求签署、盖章的；</w:t>
      </w:r>
    </w:p>
    <w:p w14:paraId="4F6205D0">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不具备磋商文件中规定的资格要求的；</w:t>
      </w:r>
    </w:p>
    <w:p w14:paraId="22DCCDAF">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报价超过磋商文件中规定的预算金额的；</w:t>
      </w:r>
    </w:p>
    <w:p w14:paraId="7566FF93">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响应文件含有采购人不能接受的附加条件的；</w:t>
      </w:r>
    </w:p>
    <w:p w14:paraId="043B2D02">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提供虚假材料谋取中标的；</w:t>
      </w:r>
    </w:p>
    <w:p w14:paraId="4463B24A">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采取不正当手段诋毁、排挤其他供应商的；</w:t>
      </w:r>
    </w:p>
    <w:p w14:paraId="26665179">
      <w:pPr>
        <w:pStyle w:val="16"/>
        <w:numPr>
          <w:ilvl w:val="0"/>
          <w:numId w:val="40"/>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法律、法规和磋商文件规定的其他无效情形。</w:t>
      </w:r>
    </w:p>
    <w:p w14:paraId="3F3E83DF">
      <w:pPr>
        <w:pStyle w:val="2"/>
        <w:numPr>
          <w:ilvl w:val="0"/>
          <w:numId w:val="37"/>
        </w:numPr>
        <w:tabs>
          <w:tab w:val="left" w:pos="841"/>
        </w:tabs>
        <w:topLinePunct w:val="0"/>
        <w:ind w:left="0" w:leftChars="0" w:firstLine="480" w:firstLineChars="200"/>
        <w:rPr>
          <w:b/>
          <w:highlight w:val="none"/>
        </w:rPr>
      </w:pPr>
      <w:r>
        <w:rPr>
          <w:highlight w:val="none"/>
        </w:rPr>
        <w:t>成交通知</w:t>
      </w:r>
      <w:bookmarkEnd w:id="35"/>
      <w:bookmarkEnd w:id="36"/>
      <w:r>
        <w:rPr>
          <w:highlight w:val="none"/>
        </w:rPr>
        <w:t>书及未成交通知书</w:t>
      </w:r>
    </w:p>
    <w:p w14:paraId="77FF78DE">
      <w:pPr>
        <w:pStyle w:val="16"/>
        <w:numPr>
          <w:ilvl w:val="0"/>
          <w:numId w:val="41"/>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成交通知书及未成交通知书将在成交公告发布的同时由采购代理机构发出。</w:t>
      </w:r>
    </w:p>
    <w:p w14:paraId="3468C88D">
      <w:pPr>
        <w:pStyle w:val="16"/>
        <w:numPr>
          <w:ilvl w:val="0"/>
          <w:numId w:val="41"/>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成交人应在接到采购代理机构通知之日起七日内领取中标通知书。</w:t>
      </w:r>
    </w:p>
    <w:p w14:paraId="2D18F6B6">
      <w:pPr>
        <w:pStyle w:val="16"/>
        <w:numPr>
          <w:ilvl w:val="0"/>
          <w:numId w:val="41"/>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成交通知书发出后，采购人不得违法改变成交结果，成交人无正当理由不得弃中标。</w:t>
      </w:r>
    </w:p>
    <w:p w14:paraId="44155A0E">
      <w:pPr>
        <w:pStyle w:val="2"/>
        <w:numPr>
          <w:ilvl w:val="0"/>
          <w:numId w:val="3"/>
        </w:numPr>
        <w:tabs>
          <w:tab w:val="left" w:pos="1202"/>
        </w:tabs>
        <w:topLinePunct w:val="0"/>
        <w:ind w:left="0" w:leftChars="0" w:firstLine="480" w:firstLineChars="200"/>
        <w:rPr>
          <w:b/>
          <w:highlight w:val="none"/>
        </w:rPr>
      </w:pPr>
      <w:r>
        <w:rPr>
          <w:highlight w:val="none"/>
        </w:rPr>
        <w:t>授予合同</w:t>
      </w:r>
    </w:p>
    <w:p w14:paraId="57D321CC">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bookmarkStart w:id="37" w:name="_Toc7215"/>
      <w:r>
        <w:rPr>
          <w:rFonts w:ascii="Times New Roman" w:hAnsi="Times New Roman" w:eastAsia="宋体" w:cs="Times New Roman"/>
          <w:color w:val="auto"/>
          <w:sz w:val="24"/>
          <w:highlight w:val="none"/>
        </w:rPr>
        <w:t>成交人在收到成交通知书后二十五（25）个日历日内，应按磋商文件的要求与采购人签订合同。</w:t>
      </w:r>
    </w:p>
    <w:p w14:paraId="2D18D15D">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人因自身原因不按规定与采购人签订施工合同或者拒绝与采购人签订合同的，则采购人将废除授标。给采购人造成损失的，还应当予以赔偿，并依法承担相应法律责任。同时，采购人可以按照评审报告推荐的成交候选人名单排序，确定下一候选人为成交人，以此类推，也可以重新开展政府采购活动。因自身原因拒绝签订政府采购合同的或者未按合同约定进行履约的，成交人不得参加对该项目重新开展的招标活动。</w:t>
      </w:r>
    </w:p>
    <w:p w14:paraId="62070FD8">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成交通知书将是合同的重要组成部分。磋商文件、成交人的响应文件及评议过程中有关的澄清文件均作为合同附件。</w:t>
      </w:r>
    </w:p>
    <w:p w14:paraId="1B32157A">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成交后，成交人应按照合同约定履行义务，完成招标项目的施工，经采购人同意，成交人可以依法采取分包方式履行合同。分包部分为成交项目的部分非主体、非关键性工作。接受分包的供应商应当具备相应的资格条件，并不得再次分包。分包履行的，成交人就采购项目和分包项目向采购人负责，分包供应商就分包项目承担责任。中小企业根据《政府采购促进中小企业发展管理办法》（财库﹝2020﹞46 号）规定的政策获取政府采购合同后，小型、微型企业不得分包或转包给大型、中型企业，中型企业不得分包或转包给大型企业。</w:t>
      </w:r>
    </w:p>
    <w:p w14:paraId="5E3B1B75">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所签订的合同不得对磋商文件确定的事项和成交人响应文件作实质性修</w:t>
      </w:r>
    </w:p>
    <w:p w14:paraId="43A237DF">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改。</w:t>
      </w:r>
    </w:p>
    <w:p w14:paraId="601A4D7D">
      <w:pPr>
        <w:pStyle w:val="16"/>
        <w:numPr>
          <w:ilvl w:val="0"/>
          <w:numId w:val="42"/>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采购人需追加与合同标的相同的货物、工程或服务的，在不改变合同其他条款的前提下，可以与成交人协商签订补充合同，但所有补充合同的采购金额不得超过原合同采购金额的百分之十。</w:t>
      </w:r>
    </w:p>
    <w:p w14:paraId="32B7FEA2">
      <w:pPr>
        <w:pStyle w:val="2"/>
        <w:numPr>
          <w:ilvl w:val="0"/>
          <w:numId w:val="3"/>
        </w:numPr>
        <w:tabs>
          <w:tab w:val="left" w:pos="1202"/>
        </w:tabs>
        <w:topLinePunct w:val="0"/>
        <w:ind w:left="0" w:leftChars="0" w:firstLine="480" w:firstLineChars="200"/>
        <w:rPr>
          <w:b/>
          <w:highlight w:val="none"/>
        </w:rPr>
      </w:pPr>
      <w:r>
        <w:rPr>
          <w:highlight w:val="none"/>
        </w:rPr>
        <w:t>合同的履约验收</w:t>
      </w:r>
      <w:bookmarkEnd w:id="37"/>
    </w:p>
    <w:p w14:paraId="147EED14">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采购人应按照政府采购合同约定的技术、服务、安全标准组织对供应商每一项技术、服务、安全标准的履约情况进行验收，并出具验收书。</w:t>
      </w:r>
    </w:p>
    <w:p w14:paraId="6285C784">
      <w:pPr>
        <w:pStyle w:val="2"/>
        <w:numPr>
          <w:ilvl w:val="0"/>
          <w:numId w:val="3"/>
        </w:numPr>
        <w:tabs>
          <w:tab w:val="left" w:pos="1202"/>
        </w:tabs>
        <w:topLinePunct w:val="0"/>
        <w:ind w:left="0" w:leftChars="0" w:firstLine="480" w:firstLineChars="200"/>
        <w:rPr>
          <w:b/>
          <w:highlight w:val="none"/>
        </w:rPr>
      </w:pPr>
      <w:bookmarkStart w:id="38" w:name="_Toc15528"/>
      <w:r>
        <w:rPr>
          <w:highlight w:val="none"/>
        </w:rPr>
        <w:t>招标服务费</w:t>
      </w:r>
      <w:bookmarkEnd w:id="38"/>
    </w:p>
    <w:p w14:paraId="5FB74778">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1.参照《国家计委关于印发&lt;招标代理服务收费管理暂行办法&gt;的通知》(计价格〔2002〕1980号)、《国家发展改革委员会办公厅关于招标代理服务收费有关问题的通知》（发改办价格〔2003〕857号）文件规定，</w:t>
      </w:r>
      <w:r>
        <w:rPr>
          <w:rFonts w:ascii="Times New Roman" w:hAnsi="Times New Roman" w:eastAsia="宋体" w:cs="Times New Roman"/>
          <w:b/>
          <w:color w:val="auto"/>
          <w:sz w:val="24"/>
          <w:highlight w:val="none"/>
        </w:rPr>
        <w:t>由成交供应商向 中恭鸿建项目管理有限公司缴纳招标服务费。</w:t>
      </w:r>
    </w:p>
    <w:p w14:paraId="5B3C6253">
      <w:pPr>
        <w:pStyle w:val="2"/>
        <w:numPr>
          <w:ilvl w:val="0"/>
          <w:numId w:val="3"/>
        </w:numPr>
        <w:tabs>
          <w:tab w:val="left" w:pos="1202"/>
        </w:tabs>
        <w:topLinePunct w:val="0"/>
        <w:ind w:left="0" w:leftChars="0" w:firstLine="480" w:firstLineChars="200"/>
        <w:rPr>
          <w:b/>
          <w:highlight w:val="none"/>
        </w:rPr>
      </w:pPr>
      <w:bookmarkStart w:id="39" w:name="_Toc13075"/>
      <w:bookmarkStart w:id="40" w:name="_Toc29809"/>
      <w:bookmarkStart w:id="41" w:name="_Toc4343"/>
      <w:bookmarkStart w:id="42" w:name="_Toc20748"/>
      <w:bookmarkStart w:id="43" w:name="_Toc20486"/>
      <w:bookmarkStart w:id="44" w:name="_Toc12257"/>
      <w:bookmarkStart w:id="45" w:name="_Toc25370"/>
      <w:bookmarkStart w:id="46" w:name="_Toc19437"/>
      <w:bookmarkStart w:id="47" w:name="_Toc31556"/>
      <w:bookmarkStart w:id="48" w:name="_Toc458617743"/>
      <w:bookmarkStart w:id="49" w:name="_Toc458617466"/>
      <w:r>
        <w:rPr>
          <w:highlight w:val="none"/>
        </w:rPr>
        <w:t>重新组织采购活动</w:t>
      </w:r>
      <w:bookmarkEnd w:id="39"/>
      <w:bookmarkEnd w:id="40"/>
      <w:bookmarkEnd w:id="41"/>
      <w:bookmarkEnd w:id="42"/>
      <w:bookmarkEnd w:id="43"/>
      <w:bookmarkEnd w:id="44"/>
      <w:bookmarkEnd w:id="45"/>
      <w:bookmarkEnd w:id="46"/>
    </w:p>
    <w:p w14:paraId="52B4ED9F">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如果发生下列情况之一，采购人和采购代理机构将按《政府采购法》、《政府采购货物和服务招标投标管理办法》（财政部第87号）等有关规定重新组织采购活动：</w:t>
      </w:r>
    </w:p>
    <w:p w14:paraId="503F9E81">
      <w:pPr>
        <w:pStyle w:val="16"/>
        <w:numPr>
          <w:ilvl w:val="0"/>
          <w:numId w:val="4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因重大变故，采购任务取消的；</w:t>
      </w:r>
    </w:p>
    <w:p w14:paraId="2A483BB9">
      <w:pPr>
        <w:pStyle w:val="16"/>
        <w:numPr>
          <w:ilvl w:val="0"/>
          <w:numId w:val="4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磋商文件存在不合理条款或者招标程序不符合规定的；</w:t>
      </w:r>
    </w:p>
    <w:p w14:paraId="54F32138">
      <w:pPr>
        <w:pStyle w:val="16"/>
        <w:numPr>
          <w:ilvl w:val="0"/>
          <w:numId w:val="4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出现影响采购公正的违法、违规行为的；</w:t>
      </w:r>
    </w:p>
    <w:p w14:paraId="131F0DA1">
      <w:pPr>
        <w:pStyle w:val="16"/>
        <w:numPr>
          <w:ilvl w:val="0"/>
          <w:numId w:val="4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投标截止后供应商不足3家或者通过资格审查或符合性审查的供应商不足3家的；</w:t>
      </w:r>
    </w:p>
    <w:p w14:paraId="7AD26525">
      <w:pPr>
        <w:pStyle w:val="16"/>
        <w:numPr>
          <w:ilvl w:val="0"/>
          <w:numId w:val="43"/>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所有供应商的报价均超出采购预算，采购人不能支付的；</w:t>
      </w:r>
    </w:p>
    <w:p w14:paraId="6C15EBD6">
      <w:pPr>
        <w:pStyle w:val="2"/>
        <w:numPr>
          <w:ilvl w:val="0"/>
          <w:numId w:val="3"/>
        </w:numPr>
        <w:tabs>
          <w:tab w:val="left" w:pos="1202"/>
        </w:tabs>
        <w:topLinePunct w:val="0"/>
        <w:ind w:left="0" w:leftChars="0" w:firstLine="480" w:firstLineChars="200"/>
        <w:rPr>
          <w:b/>
          <w:highlight w:val="none"/>
        </w:rPr>
      </w:pPr>
      <w:bookmarkStart w:id="50" w:name="_Toc3854"/>
      <w:bookmarkStart w:id="51" w:name="_Toc10781"/>
      <w:bookmarkStart w:id="52" w:name="_Toc30240"/>
      <w:bookmarkStart w:id="53" w:name="_Toc506109947"/>
      <w:bookmarkStart w:id="54" w:name="_Toc506112137"/>
      <w:bookmarkStart w:id="55" w:name="_Toc10030"/>
      <w:bookmarkStart w:id="56" w:name="_Toc6734"/>
      <w:bookmarkStart w:id="57" w:name="_Toc19026"/>
      <w:bookmarkStart w:id="58" w:name="_Toc14358"/>
      <w:bookmarkStart w:id="59" w:name="_Toc6481"/>
      <w:bookmarkStart w:id="60" w:name="_Toc12909"/>
      <w:bookmarkStart w:id="61" w:name="_Toc1956"/>
      <w:r>
        <w:rPr>
          <w:highlight w:val="none"/>
        </w:rPr>
        <w:t>特殊情况处理</w:t>
      </w:r>
      <w:bookmarkEnd w:id="50"/>
      <w:bookmarkEnd w:id="51"/>
      <w:bookmarkEnd w:id="52"/>
      <w:bookmarkEnd w:id="53"/>
      <w:bookmarkEnd w:id="54"/>
      <w:bookmarkEnd w:id="55"/>
      <w:bookmarkEnd w:id="56"/>
      <w:bookmarkEnd w:id="57"/>
      <w:bookmarkEnd w:id="58"/>
      <w:bookmarkEnd w:id="59"/>
      <w:bookmarkEnd w:id="60"/>
      <w:bookmarkEnd w:id="61"/>
    </w:p>
    <w:p w14:paraId="0E826729">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陕西省财政厅关于政府采购信息公告有关事项的通知（陕财办采资〔2018〕26号），公开招标数额标准以上的政府采购项目，公开招标后参加投标或实质响应竞争性磋商的供应商只有一家，经财政部门审批同意采用单一来源方式采购的，其公示内容和期限按照财政部《政府采购非招标采购方式管理办法》第三十八条规定办理。</w:t>
      </w:r>
    </w:p>
    <w:p w14:paraId="2A71D809">
      <w:pPr>
        <w:pStyle w:val="2"/>
        <w:numPr>
          <w:ilvl w:val="0"/>
          <w:numId w:val="3"/>
        </w:numPr>
        <w:tabs>
          <w:tab w:val="left" w:pos="1202"/>
        </w:tabs>
        <w:topLinePunct w:val="0"/>
        <w:ind w:left="0" w:leftChars="0" w:firstLine="480" w:firstLineChars="200"/>
        <w:rPr>
          <w:b/>
          <w:highlight w:val="none"/>
        </w:rPr>
      </w:pPr>
      <w:r>
        <w:rPr>
          <w:highlight w:val="none"/>
        </w:rPr>
        <w:t>询问、质疑与投诉(按照中华人民共和国财政部令第94号执行)</w:t>
      </w:r>
      <w:bookmarkEnd w:id="47"/>
    </w:p>
    <w:p w14:paraId="0D7C38C2">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询问</w:t>
      </w:r>
    </w:p>
    <w:p w14:paraId="653A6555">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供应商对政府采购活动事项有疑问的，可以向采购人、采购代理机构提出询问。</w:t>
      </w:r>
    </w:p>
    <w:p w14:paraId="4B3127A3">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质疑</w:t>
      </w:r>
    </w:p>
    <w:p w14:paraId="17C703C1">
      <w:pPr>
        <w:pStyle w:val="16"/>
        <w:numPr>
          <w:ilvl w:val="0"/>
          <w:numId w:val="4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供应商认为采购文件、采购过程、中标或者成交结果使自己的权益受到损害的，可以再知道或者应知其权益受到损害之日起7个工作日内，以书面形式向采购人、采购代理机构提出质疑。</w:t>
      </w:r>
    </w:p>
    <w:p w14:paraId="58F7575F">
      <w:pPr>
        <w:pStyle w:val="16"/>
        <w:numPr>
          <w:ilvl w:val="0"/>
          <w:numId w:val="4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供应商须在法定质疑期内一次性提出针对同一采购程序环节的质疑。</w:t>
      </w:r>
    </w:p>
    <w:p w14:paraId="35534E63">
      <w:pPr>
        <w:pStyle w:val="16"/>
        <w:numPr>
          <w:ilvl w:val="0"/>
          <w:numId w:val="4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供应商必须按照财政部发布的《政府采购供应商质疑函范本》及其制作说明提出质疑。</w:t>
      </w:r>
    </w:p>
    <w:p w14:paraId="495918BB">
      <w:pPr>
        <w:pStyle w:val="16"/>
        <w:numPr>
          <w:ilvl w:val="0"/>
          <w:numId w:val="45"/>
        </w:numPr>
        <w:tabs>
          <w:tab w:val="left" w:pos="1080"/>
        </w:tabs>
        <w:topLinePunct w:val="0"/>
        <w:ind w:left="0" w:leftChars="0" w:firstLine="480" w:firstLineChars="200"/>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供应商应在法定期限内以书面形式提出质疑，联系人： </w:t>
      </w:r>
      <w:r>
        <w:rPr>
          <w:rFonts w:hint="eastAsia" w:cs="Times New Roman"/>
          <w:color w:val="auto"/>
          <w:sz w:val="24"/>
          <w:highlight w:val="none"/>
          <w:lang w:val="en-US" w:eastAsia="zh-CN"/>
        </w:rPr>
        <w:t>张先生</w:t>
      </w:r>
      <w:r>
        <w:rPr>
          <w:rFonts w:ascii="Times New Roman" w:hAnsi="Times New Roman" w:eastAsia="宋体" w:cs="Times New Roman"/>
          <w:color w:val="auto"/>
          <w:sz w:val="24"/>
          <w:highlight w:val="none"/>
        </w:rPr>
        <w:t xml:space="preserve"> ，联系方式：</w:t>
      </w:r>
      <w:r>
        <w:rPr>
          <w:rFonts w:hint="eastAsia" w:cs="Times New Roman"/>
          <w:color w:val="auto"/>
          <w:sz w:val="24"/>
          <w:highlight w:val="none"/>
          <w:lang w:val="en-US" w:eastAsia="zh-CN"/>
        </w:rPr>
        <w:t>13891555542</w:t>
      </w:r>
      <w:r>
        <w:rPr>
          <w:rFonts w:ascii="Times New Roman" w:hAnsi="Times New Roman" w:eastAsia="宋体" w:cs="Times New Roman"/>
          <w:color w:val="auto"/>
          <w:sz w:val="24"/>
          <w:highlight w:val="none"/>
        </w:rPr>
        <w:t xml:space="preserve"> ，地址： 陕西省西安市经济技术开发区凤城十路智慧国际中心1幢11504 室。</w:t>
      </w:r>
    </w:p>
    <w:p w14:paraId="34E9A311">
      <w:pPr>
        <w:pStyle w:val="16"/>
        <w:numPr>
          <w:ilvl w:val="0"/>
          <w:numId w:val="45"/>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供应商提出质疑应当提交质疑函和必要的证明材料。质疑函应当包括下列内容：</w:t>
      </w:r>
    </w:p>
    <w:p w14:paraId="05ADD935">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供应商的姓名或者名称、地址、邮编、联系人及联系电话；</w:t>
      </w:r>
    </w:p>
    <w:p w14:paraId="4E4C6EFA">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质疑项目的名称、编号；</w:t>
      </w:r>
    </w:p>
    <w:p w14:paraId="7EC70FAE">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具体、明确的质疑事项和与质疑事项相关的请求；</w:t>
      </w:r>
    </w:p>
    <w:p w14:paraId="5C6F85CA">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事实依据；</w:t>
      </w:r>
    </w:p>
    <w:p w14:paraId="69C6E020">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必要的法律依据；</w:t>
      </w:r>
    </w:p>
    <w:p w14:paraId="479D0A01">
      <w:pPr>
        <w:pStyle w:val="16"/>
        <w:numPr>
          <w:ilvl w:val="0"/>
          <w:numId w:val="46"/>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提出质疑的日期。</w:t>
      </w:r>
    </w:p>
    <w:p w14:paraId="69DFDF40">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有下列情形之一的，属于无效质疑， 中恭鸿建项目管理有限公司和采购人不予受理：</w:t>
      </w:r>
    </w:p>
    <w:p w14:paraId="34B47706">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质疑人不是参与本次政府采购项目的供应商或潜在供应商；</w:t>
      </w:r>
    </w:p>
    <w:p w14:paraId="73135A24">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质疑人与质疑事项不存在利害关系的；</w:t>
      </w:r>
    </w:p>
    <w:p w14:paraId="19E87092">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未在法定期限内提出质疑的；</w:t>
      </w:r>
    </w:p>
    <w:p w14:paraId="350D9118">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质疑未以书面形式提出，或质疑函主要内容构成不完整的，或缺乏必要的证明材料及证明材料不完整的；</w:t>
      </w:r>
    </w:p>
    <w:p w14:paraId="360DCBFC">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质疑函没有合法有效的签字、盖章或授权的；</w:t>
      </w:r>
    </w:p>
    <w:p w14:paraId="2D23BAB1">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以非法手段取得证据、材料的；</w:t>
      </w:r>
    </w:p>
    <w:p w14:paraId="550A1E7E">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质疑答复后，同一质疑人就同一事项再次提出质疑的；</w:t>
      </w:r>
    </w:p>
    <w:p w14:paraId="26187246">
      <w:pPr>
        <w:pStyle w:val="16"/>
        <w:numPr>
          <w:ilvl w:val="0"/>
          <w:numId w:val="47"/>
        </w:numPr>
        <w:tabs>
          <w:tab w:val="left" w:pos="108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不符合法律、法规、规章和政府采购监管机构规定的其他条件的。</w:t>
      </w:r>
    </w:p>
    <w:p w14:paraId="1E5D4A52">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供应商投诉的事项不得超出已质疑事项的范围。</w:t>
      </w:r>
    </w:p>
    <w:p w14:paraId="009FE7E6">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对捏造事实、提供虚假材料进行质疑、投诉的行为予以严肃处理：</w:t>
      </w:r>
    </w:p>
    <w:p w14:paraId="3D8400BA">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依据《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ascii="Times New Roman" w:hAnsi="Times New Roman" w:eastAsia="宋体" w:cs="Times New Roman"/>
          <w:b/>
          <w:color w:val="auto"/>
          <w:sz w:val="24"/>
          <w:highlight w:val="none"/>
        </w:rPr>
        <w:t>投诉人在全国范围内十二个月内三次以上投诉查无实据的，由财政部门列入不良行为记录名单。</w:t>
      </w:r>
      <w:r>
        <w:rPr>
          <w:rFonts w:ascii="Times New Roman" w:hAnsi="Times New Roman" w:eastAsia="宋体" w:cs="Times New Roman"/>
          <w:color w:val="auto"/>
          <w:sz w:val="24"/>
          <w:highlight w:val="none"/>
        </w:rPr>
        <w:t>对于捏造事实、提供虚假材料或者以非法手段取得证明材料进行投诉的，财政部门应当予以驳回，并将其列入不良行为记录名单，禁止其一至三年内参加政府采购活动。</w:t>
      </w:r>
    </w:p>
    <w:p w14:paraId="3F2876FF">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对捏造事实诬告陷害他人、诽谤他人的法律适用：</w:t>
      </w:r>
    </w:p>
    <w:p w14:paraId="03F7A878">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629F6838">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《中华人民共和国刑法》第246条【侮辱罪、诽谤罪】以暴力或者其他方法公然侮辱他人或者捏造事实诽谤他人，情节严重的，处三年以下有期徒刑、拘役、管制或者剥夺政治权利。</w:t>
      </w:r>
    </w:p>
    <w:p w14:paraId="723686FE">
      <w:pPr>
        <w:pStyle w:val="3"/>
        <w:numPr>
          <w:ilvl w:val="0"/>
          <w:numId w:val="44"/>
        </w:numPr>
        <w:tabs>
          <w:tab w:val="left" w:pos="841"/>
        </w:tabs>
        <w:topLinePunct w:val="0"/>
        <w:ind w:left="0" w:leftChars="0" w:firstLine="480" w:firstLineChars="200"/>
        <w:rPr>
          <w:rFonts w:hint="eastAsia" w:ascii="宋体" w:hAnsi="宋体" w:eastAsia="宋体" w:cs="宋体"/>
          <w:b/>
          <w:highlight w:val="none"/>
        </w:rPr>
      </w:pPr>
      <w:r>
        <w:rPr>
          <w:highlight w:val="none"/>
        </w:rPr>
        <w:t>投诉</w:t>
      </w:r>
    </w:p>
    <w:p w14:paraId="3B724D5F">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质疑供应商对采购人、采购代理机构的答复不满意或者采购人、采购代理机构未在规定的时间内作出答复的，可按《政府采购法》第55条和《政府采购质疑和投诉办法》（财政部令第94号）第17条等有关规定执行。</w:t>
      </w:r>
    </w:p>
    <w:p w14:paraId="7DE5B76A">
      <w:pPr>
        <w:pStyle w:val="2"/>
        <w:numPr>
          <w:ilvl w:val="0"/>
          <w:numId w:val="3"/>
        </w:numPr>
        <w:tabs>
          <w:tab w:val="left" w:pos="1202"/>
        </w:tabs>
        <w:topLinePunct w:val="0"/>
        <w:ind w:left="0" w:leftChars="0" w:firstLine="480" w:firstLineChars="200"/>
        <w:rPr>
          <w:b/>
          <w:highlight w:val="none"/>
        </w:rPr>
      </w:pPr>
      <w:bookmarkStart w:id="62" w:name="_Toc16414"/>
      <w:r>
        <w:rPr>
          <w:highlight w:val="none"/>
        </w:rPr>
        <w:t>拒绝商业贿赂</w:t>
      </w:r>
      <w:bookmarkEnd w:id="48"/>
      <w:bookmarkEnd w:id="49"/>
      <w:bookmarkEnd w:id="62"/>
    </w:p>
    <w:p w14:paraId="7325DBE1">
      <w:pPr>
        <w:pStyle w:val="16"/>
        <w:numPr>
          <w:ilvl w:val="0"/>
          <w:numId w:val="48"/>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遵照陕西省财政厅的规定，采购人、采购代理机构、供应商和评审专家在招投标活动中，都要签订相应的《拒绝政府采购领域商业贿赂承诺书》，并对违反承诺的行为承担全部责任。</w:t>
      </w:r>
    </w:p>
    <w:p w14:paraId="1886E816">
      <w:pPr>
        <w:pStyle w:val="16"/>
        <w:numPr>
          <w:ilvl w:val="0"/>
          <w:numId w:val="48"/>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供应商必须填写《拒绝政府采购领域商业贿赂承诺书》（附件）并附在响应文件中，同时应保证响应文件正、副本中一致。</w:t>
      </w:r>
    </w:p>
    <w:p w14:paraId="0E0CE725">
      <w:pPr>
        <w:pStyle w:val="2"/>
        <w:numPr>
          <w:ilvl w:val="0"/>
          <w:numId w:val="3"/>
        </w:numPr>
        <w:tabs>
          <w:tab w:val="left" w:pos="1202"/>
        </w:tabs>
        <w:topLinePunct w:val="0"/>
        <w:ind w:left="0" w:leftChars="0" w:firstLine="480" w:firstLineChars="200"/>
        <w:rPr>
          <w:b/>
          <w:highlight w:val="none"/>
        </w:rPr>
      </w:pPr>
      <w:bookmarkStart w:id="63" w:name="_Toc10358"/>
      <w:bookmarkStart w:id="64" w:name="_Toc30141"/>
      <w:r>
        <w:rPr>
          <w:highlight w:val="none"/>
        </w:rPr>
        <w:t>其他</w:t>
      </w:r>
      <w:bookmarkEnd w:id="63"/>
      <w:bookmarkEnd w:id="64"/>
    </w:p>
    <w:p w14:paraId="5D9136EF">
      <w:pPr>
        <w:pStyle w:val="16"/>
        <w:ind w:left="0" w:leftChars="0" w:firstLine="480" w:firstLineChars="200"/>
        <w:rPr>
          <w:rFonts w:ascii="Times New Roman" w:hAnsi="Times New Roman" w:eastAsia="宋体" w:cs="Times New Roman"/>
          <w:color w:val="auto"/>
          <w:sz w:val="24"/>
          <w:highlight w:val="none"/>
        </w:rPr>
      </w:pPr>
      <w:bookmarkStart w:id="65" w:name="_Toc26118"/>
      <w:r>
        <w:rPr>
          <w:rFonts w:ascii="Times New Roman" w:hAnsi="Times New Roman" w:eastAsia="宋体" w:cs="Times New Roman"/>
          <w:color w:val="auto"/>
          <w:sz w:val="24"/>
          <w:highlight w:val="none"/>
        </w:rPr>
        <w:t>1、本磋商文件的解释权归采购人及采购代理机构所有。</w:t>
      </w:r>
      <w:bookmarkEnd w:id="65"/>
    </w:p>
    <w:p w14:paraId="4FFD3F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黑体"/>
          <w:color w:val="auto"/>
          <w:szCs w:val="24"/>
          <w:highlight w:val="none"/>
          <w:lang w:val="en-US" w:eastAsia="zh-CN"/>
        </w:rPr>
      </w:pPr>
      <w:r>
        <w:rPr>
          <w:rFonts w:hint="eastAsia" w:ascii="黑体" w:hAnsi="黑体" w:eastAsia="黑体" w:cs="黑体"/>
          <w:color w:val="auto"/>
          <w:szCs w:val="24"/>
          <w:highlight w:val="none"/>
          <w:lang w:val="en-US" w:eastAsia="zh-CN"/>
        </w:rPr>
        <w:br w:type="page"/>
      </w:r>
    </w:p>
    <w:p w14:paraId="2F547468">
      <w:pPr>
        <w:pStyle w:val="91"/>
        <w:numPr>
          <w:ilvl w:val="0"/>
          <w:numId w:val="1"/>
        </w:numPr>
        <w:tabs>
          <w:tab w:val="left" w:pos="1600"/>
          <w:tab w:val="clear" w:pos="210"/>
        </w:tabs>
        <w:ind w:left="0" w:leftChars="0" w:firstLine="640" w:firstLineChars="200"/>
        <w:outlineLvl w:val="0"/>
        <w:rPr>
          <w:highlight w:val="none"/>
        </w:rPr>
      </w:pPr>
      <w:r>
        <w:rPr>
          <w:highlight w:val="none"/>
        </w:rPr>
        <w:t>合同条款及格式</w:t>
      </w:r>
      <w:bookmarkEnd w:id="28"/>
    </w:p>
    <w:p w14:paraId="7ED28BA5"/>
    <w:p w14:paraId="7E868F87">
      <w:pPr>
        <w:pStyle w:val="24"/>
        <w:rPr>
          <w:highlight w:val="none"/>
        </w:rPr>
      </w:pPr>
      <w:r>
        <w:rPr>
          <w:highlight w:val="none"/>
        </w:rPr>
        <w:t>（此合同为参考合同，具体以甲乙双方协商为准）</w:t>
      </w:r>
    </w:p>
    <w:p w14:paraId="721351F5">
      <w:pPr>
        <w:rPr>
          <w:rFonts w:hint="eastAsia" w:ascii="黑体" w:hAnsi="黑体" w:eastAsia="黑体" w:cs="黑体"/>
          <w:kern w:val="0"/>
          <w:sz w:val="24"/>
          <w:szCs w:val="24"/>
        </w:rPr>
      </w:pPr>
      <w:bookmarkStart w:id="66" w:name="_Toc25206"/>
    </w:p>
    <w:p w14:paraId="61BF71F5">
      <w:pPr>
        <w:spacing w:before="120" w:after="120" w:line="360" w:lineRule="auto"/>
        <w:jc w:val="right"/>
        <w:rPr>
          <w:rFonts w:hint="eastAsia" w:ascii="黑体" w:hAnsi="黑体" w:eastAsia="黑体" w:cs="黑体"/>
          <w:sz w:val="22"/>
          <w:szCs w:val="22"/>
        </w:rPr>
      </w:pPr>
    </w:p>
    <w:p w14:paraId="50BE2E52">
      <w:pPr>
        <w:spacing w:before="120" w:after="120" w:line="360" w:lineRule="auto"/>
        <w:jc w:val="right"/>
        <w:rPr>
          <w:rFonts w:hint="eastAsia" w:ascii="黑体" w:hAnsi="黑体" w:eastAsia="黑体" w:cs="黑体"/>
          <w:sz w:val="22"/>
          <w:szCs w:val="22"/>
        </w:rPr>
      </w:pPr>
    </w:p>
    <w:p w14:paraId="4373394C">
      <w:pPr>
        <w:spacing w:before="120" w:after="120" w:line="360" w:lineRule="auto"/>
        <w:jc w:val="right"/>
        <w:rPr>
          <w:rFonts w:hint="eastAsia" w:ascii="黑体" w:hAnsi="黑体" w:eastAsia="黑体" w:cs="黑体"/>
          <w:sz w:val="22"/>
          <w:szCs w:val="22"/>
        </w:rPr>
      </w:pPr>
    </w:p>
    <w:p w14:paraId="085C83A0">
      <w:pPr>
        <w:spacing w:before="120" w:after="120" w:line="360" w:lineRule="auto"/>
        <w:jc w:val="right"/>
        <w:rPr>
          <w:rFonts w:hint="eastAsia" w:ascii="黑体" w:hAnsi="黑体" w:eastAsia="黑体" w:cs="黑体"/>
          <w:sz w:val="22"/>
          <w:szCs w:val="22"/>
        </w:rPr>
      </w:pPr>
      <w:r>
        <w:rPr>
          <w:rFonts w:hint="eastAsia" w:ascii="黑体" w:hAnsi="黑体" w:eastAsia="黑体" w:cs="黑体"/>
          <w:sz w:val="22"/>
          <w:szCs w:val="22"/>
        </w:rPr>
        <w:t xml:space="preserve">       </w:t>
      </w:r>
    </w:p>
    <w:p w14:paraId="765759F9">
      <w:pPr>
        <w:spacing w:line="360" w:lineRule="auto"/>
        <w:jc w:val="center"/>
        <w:rPr>
          <w:rFonts w:hint="eastAsia" w:ascii="黑体" w:hAnsi="黑体" w:eastAsia="黑体" w:cs="黑体"/>
          <w:b/>
          <w:bCs/>
          <w:sz w:val="56"/>
          <w:szCs w:val="56"/>
        </w:rPr>
      </w:pPr>
      <w:r>
        <w:rPr>
          <w:rFonts w:hint="eastAsia" w:ascii="黑体" w:hAnsi="黑体" w:eastAsia="黑体" w:cs="黑体"/>
          <w:b/>
          <w:bCs/>
          <w:sz w:val="56"/>
          <w:szCs w:val="56"/>
        </w:rPr>
        <w:t>设计合同书</w:t>
      </w:r>
    </w:p>
    <w:p w14:paraId="772FE4CC">
      <w:pPr>
        <w:spacing w:line="360" w:lineRule="auto"/>
        <w:ind w:firstLine="826" w:firstLineChars="295"/>
        <w:rPr>
          <w:rFonts w:hint="eastAsia" w:ascii="黑体" w:hAnsi="黑体" w:eastAsia="黑体" w:cs="黑体"/>
          <w:b/>
          <w:sz w:val="28"/>
          <w:szCs w:val="28"/>
        </w:rPr>
      </w:pPr>
      <w:bookmarkStart w:id="67" w:name="_Toc339975995"/>
      <w:bookmarkStart w:id="68" w:name="_Toc339976559"/>
      <w:bookmarkStart w:id="69" w:name="_Toc339976331"/>
    </w:p>
    <w:p w14:paraId="76B22B7F">
      <w:pPr>
        <w:spacing w:line="360" w:lineRule="auto"/>
        <w:ind w:firstLine="826" w:firstLineChars="295"/>
        <w:rPr>
          <w:rFonts w:hint="eastAsia" w:ascii="黑体" w:hAnsi="黑体" w:eastAsia="黑体" w:cs="黑体"/>
          <w:b/>
          <w:sz w:val="28"/>
          <w:szCs w:val="28"/>
        </w:rPr>
      </w:pPr>
    </w:p>
    <w:p w14:paraId="6B678383">
      <w:pPr>
        <w:spacing w:line="360" w:lineRule="auto"/>
        <w:ind w:firstLine="826" w:firstLineChars="295"/>
        <w:rPr>
          <w:rFonts w:hint="eastAsia" w:ascii="黑体" w:hAnsi="黑体" w:eastAsia="黑体" w:cs="黑体"/>
          <w:b/>
          <w:sz w:val="28"/>
          <w:szCs w:val="28"/>
        </w:rPr>
      </w:pPr>
    </w:p>
    <w:p w14:paraId="0065F3A6">
      <w:pPr>
        <w:spacing w:line="360" w:lineRule="auto"/>
        <w:ind w:firstLine="826" w:firstLineChars="295"/>
        <w:rPr>
          <w:rFonts w:hint="eastAsia" w:ascii="黑体" w:hAnsi="黑体" w:eastAsia="黑体" w:cs="黑体"/>
          <w:b/>
          <w:sz w:val="28"/>
          <w:szCs w:val="28"/>
        </w:rPr>
      </w:pPr>
    </w:p>
    <w:p w14:paraId="54632DDE">
      <w:pPr>
        <w:spacing w:line="360" w:lineRule="auto"/>
        <w:ind w:firstLine="826" w:firstLineChars="295"/>
        <w:rPr>
          <w:rFonts w:hint="eastAsia" w:ascii="黑体" w:hAnsi="黑体" w:eastAsia="黑体" w:cs="黑体"/>
          <w:b/>
          <w:sz w:val="28"/>
          <w:szCs w:val="28"/>
        </w:rPr>
      </w:pPr>
    </w:p>
    <w:p w14:paraId="05F78E16">
      <w:pPr>
        <w:spacing w:line="360" w:lineRule="auto"/>
        <w:ind w:firstLine="826" w:firstLineChars="295"/>
        <w:rPr>
          <w:rFonts w:hint="eastAsia" w:ascii="黑体" w:hAnsi="黑体" w:eastAsia="黑体" w:cs="黑体"/>
          <w:b/>
          <w:sz w:val="28"/>
          <w:szCs w:val="28"/>
        </w:rPr>
      </w:pPr>
    </w:p>
    <w:p w14:paraId="6540B4CC">
      <w:pPr>
        <w:spacing w:line="360" w:lineRule="auto"/>
        <w:ind w:firstLine="826" w:firstLineChars="295"/>
        <w:rPr>
          <w:rFonts w:hint="eastAsia" w:ascii="黑体" w:hAnsi="黑体" w:eastAsia="黑体" w:cs="黑体"/>
          <w:b/>
          <w:sz w:val="28"/>
          <w:szCs w:val="28"/>
        </w:rPr>
      </w:pPr>
    </w:p>
    <w:p w14:paraId="2BCB87E5">
      <w:pPr>
        <w:spacing w:line="360" w:lineRule="auto"/>
        <w:rPr>
          <w:rFonts w:hint="eastAsia" w:ascii="黑体" w:hAnsi="黑体" w:eastAsia="黑体" w:cs="黑体"/>
          <w:b/>
          <w:sz w:val="28"/>
          <w:u w:val="single"/>
        </w:rPr>
      </w:pPr>
      <w:r>
        <w:rPr>
          <w:rFonts w:hint="eastAsia" w:ascii="黑体" w:hAnsi="黑体" w:eastAsia="黑体" w:cs="黑体"/>
          <w:b/>
          <w:sz w:val="28"/>
          <w:szCs w:val="28"/>
        </w:rPr>
        <w:t>项目名称：</w:t>
      </w:r>
      <w:bookmarkEnd w:id="67"/>
      <w:bookmarkEnd w:id="68"/>
      <w:bookmarkEnd w:id="69"/>
      <w:r>
        <w:rPr>
          <w:rFonts w:hint="eastAsia" w:ascii="黑体" w:hAnsi="黑体" w:eastAsia="黑体" w:cs="黑体"/>
          <w:b/>
          <w:sz w:val="28"/>
          <w:u w:val="single"/>
        </w:rPr>
        <w:t xml:space="preserve"> </w:t>
      </w:r>
      <w:bookmarkStart w:id="70" w:name="_Hlk235783143"/>
      <w:r>
        <w:rPr>
          <w:rFonts w:hint="eastAsia" w:ascii="黑体" w:hAnsi="黑体" w:eastAsia="黑体" w:cs="黑体"/>
          <w:b/>
          <w:sz w:val="28"/>
          <w:u w:val="single"/>
        </w:rPr>
        <w:t>岚皋县中心城区导视标识系统规划设计项目</w:t>
      </w:r>
      <w:bookmarkEnd w:id="70"/>
      <w:r>
        <w:rPr>
          <w:rFonts w:hint="eastAsia" w:ascii="黑体" w:hAnsi="黑体" w:eastAsia="黑体" w:cs="黑体"/>
          <w:b/>
          <w:sz w:val="28"/>
          <w:u w:val="single"/>
        </w:rPr>
        <w:t xml:space="preserve"> </w:t>
      </w:r>
    </w:p>
    <w:p w14:paraId="2AB2CC13">
      <w:pPr>
        <w:snapToGrid w:val="0"/>
        <w:spacing w:line="360" w:lineRule="auto"/>
        <w:rPr>
          <w:rFonts w:hint="eastAsia" w:ascii="黑体" w:hAnsi="黑体" w:eastAsia="黑体" w:cs="黑体"/>
          <w:b/>
          <w:sz w:val="28"/>
          <w:u w:val="single"/>
        </w:rPr>
      </w:pPr>
      <w:r>
        <w:rPr>
          <w:rFonts w:hint="eastAsia" w:ascii="黑体" w:hAnsi="黑体" w:eastAsia="黑体" w:cs="黑体"/>
          <w:b/>
          <w:sz w:val="28"/>
        </w:rPr>
        <w:t xml:space="preserve">发包方（甲方）： </w:t>
      </w:r>
      <w:r>
        <w:rPr>
          <w:rFonts w:hint="eastAsia" w:ascii="黑体" w:hAnsi="黑体" w:eastAsia="黑体" w:cs="黑体"/>
          <w:b/>
          <w:sz w:val="28"/>
          <w:u w:val="single"/>
        </w:rPr>
        <w:t xml:space="preserve"> 岚皋县住房和城乡建设局</w:t>
      </w:r>
    </w:p>
    <w:p w14:paraId="0ADF22C8">
      <w:pPr>
        <w:pStyle w:val="88"/>
        <w:spacing w:line="360" w:lineRule="auto"/>
        <w:ind w:firstLine="0" w:firstLineChars="0"/>
        <w:rPr>
          <w:rFonts w:hint="eastAsia" w:ascii="黑体" w:hAnsi="黑体" w:eastAsia="黑体" w:cs="黑体"/>
          <w:b/>
          <w:kern w:val="0"/>
          <w:sz w:val="28"/>
          <w:szCs w:val="20"/>
          <w:u w:val="single"/>
        </w:rPr>
      </w:pPr>
      <w:bookmarkStart w:id="71" w:name="_Toc339975996"/>
      <w:bookmarkStart w:id="72" w:name="_Toc339976332"/>
      <w:bookmarkStart w:id="73" w:name="_Toc339976560"/>
      <w:r>
        <w:rPr>
          <w:rFonts w:hint="eastAsia" w:ascii="黑体" w:hAnsi="黑体" w:eastAsia="黑体" w:cs="黑体"/>
          <w:b/>
          <w:sz w:val="28"/>
          <w:szCs w:val="28"/>
        </w:rPr>
        <w:t>设计方（乙方）：</w:t>
      </w:r>
      <w:bookmarkEnd w:id="71"/>
      <w:bookmarkEnd w:id="72"/>
      <w:bookmarkEnd w:id="73"/>
      <w:r>
        <w:rPr>
          <w:rFonts w:hint="eastAsia" w:ascii="黑体" w:hAnsi="黑体" w:eastAsia="黑体" w:cs="黑体"/>
          <w:b/>
          <w:sz w:val="28"/>
          <w:szCs w:val="28"/>
          <w:u w:val="single"/>
        </w:rPr>
        <w:t xml:space="preserve">                 </w:t>
      </w:r>
    </w:p>
    <w:p w14:paraId="11B05B14">
      <w:pPr>
        <w:spacing w:line="360" w:lineRule="auto"/>
        <w:rPr>
          <w:rFonts w:hint="eastAsia" w:ascii="黑体" w:hAnsi="黑体" w:eastAsia="黑体" w:cs="黑体"/>
          <w:sz w:val="28"/>
          <w:szCs w:val="28"/>
        </w:rPr>
      </w:pPr>
      <w:r>
        <w:rPr>
          <w:rFonts w:hint="eastAsia" w:ascii="黑体" w:hAnsi="黑体" w:eastAsia="黑体" w:cs="黑体"/>
          <w:b/>
          <w:sz w:val="28"/>
        </w:rPr>
        <w:t>签订日期：</w:t>
      </w:r>
      <w:r>
        <w:rPr>
          <w:rFonts w:hint="eastAsia" w:ascii="黑体" w:hAnsi="黑体" w:eastAsia="黑体" w:cs="黑体"/>
          <w:b/>
          <w:sz w:val="28"/>
          <w:u w:val="single"/>
        </w:rPr>
        <w:t xml:space="preserve">  </w:t>
      </w:r>
      <w:r>
        <w:rPr>
          <w:rFonts w:hint="eastAsia" w:ascii="黑体" w:hAnsi="黑体" w:eastAsia="黑体" w:cs="黑体"/>
          <w:b/>
          <w:sz w:val="28"/>
        </w:rPr>
        <w:t>年</w:t>
      </w:r>
      <w:r>
        <w:rPr>
          <w:rFonts w:hint="eastAsia" w:ascii="黑体" w:hAnsi="黑体" w:eastAsia="黑体" w:cs="黑体"/>
          <w:b/>
          <w:sz w:val="28"/>
          <w:u w:val="single"/>
        </w:rPr>
        <w:t xml:space="preserve">  </w:t>
      </w:r>
      <w:r>
        <w:rPr>
          <w:rFonts w:hint="eastAsia" w:ascii="黑体" w:hAnsi="黑体" w:eastAsia="黑体" w:cs="黑体"/>
          <w:b/>
          <w:sz w:val="28"/>
        </w:rPr>
        <w:t>月</w:t>
      </w:r>
      <w:r>
        <w:rPr>
          <w:rFonts w:hint="eastAsia" w:ascii="黑体" w:hAnsi="黑体" w:eastAsia="黑体" w:cs="黑体"/>
          <w:b/>
          <w:sz w:val="28"/>
          <w:u w:val="single"/>
        </w:rPr>
        <w:t xml:space="preserve">  </w:t>
      </w:r>
      <w:r>
        <w:rPr>
          <w:rFonts w:hint="eastAsia" w:ascii="黑体" w:hAnsi="黑体" w:eastAsia="黑体" w:cs="黑体"/>
          <w:b/>
          <w:sz w:val="28"/>
        </w:rPr>
        <w:t>日</w:t>
      </w:r>
    </w:p>
    <w:p w14:paraId="0418635A">
      <w:pPr>
        <w:spacing w:before="120" w:after="120" w:line="360" w:lineRule="auto"/>
        <w:ind w:firstLine="2896" w:firstLineChars="905"/>
        <w:rPr>
          <w:rFonts w:hint="eastAsia" w:ascii="黑体" w:hAnsi="黑体" w:eastAsia="黑体" w:cs="黑体"/>
          <w:b/>
          <w:bCs/>
          <w:sz w:val="32"/>
          <w:szCs w:val="32"/>
        </w:rPr>
        <w:sectPr>
          <w:footerReference r:id="rId3" w:type="default"/>
          <w:footerReference r:id="rId4" w:type="even"/>
          <w:type w:val="continuous"/>
          <w:pgSz w:w="11906" w:h="16838"/>
          <w:pgMar w:top="1156" w:right="1633" w:bottom="1156" w:left="1633" w:header="720" w:footer="720" w:gutter="0"/>
          <w:cols w:space="720" w:num="1"/>
          <w:docGrid w:type="linesAndChars" w:linePitch="360" w:charSpace="0"/>
        </w:sectPr>
      </w:pPr>
    </w:p>
    <w:p w14:paraId="5EF67447">
      <w:pPr>
        <w:pStyle w:val="29"/>
      </w:pPr>
      <w:r>
        <w:t>设计合同书</w:t>
      </w:r>
    </w:p>
    <w:tbl>
      <w:tblPr>
        <w:tblStyle w:val="32"/>
        <w:tblW w:w="5000" w:type="pct"/>
        <w:tblInd w:w="0" w:type="dxa"/>
        <w:tblLayout w:type="autofit"/>
        <w:tblCellMar>
          <w:top w:w="0" w:type="dxa"/>
          <w:left w:w="108" w:type="dxa"/>
          <w:bottom w:w="0" w:type="dxa"/>
          <w:right w:w="108" w:type="dxa"/>
        </w:tblCellMar>
      </w:tblPr>
      <w:tblGrid>
        <w:gridCol w:w="8536"/>
      </w:tblGrid>
      <w:tr w14:paraId="26A8760C">
        <w:tblPrEx>
          <w:tblCellMar>
            <w:top w:w="0" w:type="dxa"/>
            <w:left w:w="108" w:type="dxa"/>
            <w:bottom w:w="0" w:type="dxa"/>
            <w:right w:w="108" w:type="dxa"/>
          </w:tblCellMar>
        </w:tblPrEx>
        <w:trPr>
          <w:trHeight w:val="1222" w:hRule="atLeast"/>
        </w:trPr>
        <w:tc>
          <w:tcPr>
            <w:tcW w:w="5000" w:type="pct"/>
            <w:noWrap w:val="0"/>
            <w:vAlign w:val="top"/>
          </w:tcPr>
          <w:p w14:paraId="536DAF1C">
            <w:pPr>
              <w:spacing w:before="120" w:after="120" w:line="360" w:lineRule="exact"/>
              <w:jc w:val="left"/>
              <w:rPr>
                <w:rFonts w:hint="eastAsia" w:ascii="黑体" w:hAnsi="黑体" w:eastAsia="黑体" w:cs="黑体"/>
                <w:b/>
                <w:szCs w:val="21"/>
                <w:u w:val="single"/>
              </w:rPr>
            </w:pPr>
            <w:r>
              <w:rPr>
                <w:rFonts w:hint="eastAsia" w:ascii="黑体" w:hAnsi="黑体" w:eastAsia="黑体" w:cs="黑体"/>
                <w:b/>
                <w:szCs w:val="21"/>
              </w:rPr>
              <w:t>甲方：</w:t>
            </w:r>
            <w:r>
              <w:rPr>
                <w:rFonts w:hint="eastAsia" w:ascii="黑体" w:hAnsi="黑体" w:eastAsia="黑体" w:cs="黑体"/>
                <w:b/>
                <w:szCs w:val="21"/>
                <w:u w:val="single"/>
              </w:rPr>
              <w:t xml:space="preserve"> 岚皋县住房和城乡建设局         </w:t>
            </w:r>
          </w:p>
          <w:p w14:paraId="0D7681D1">
            <w:pPr>
              <w:spacing w:before="120" w:after="120" w:line="360" w:lineRule="exact"/>
              <w:jc w:val="left"/>
              <w:rPr>
                <w:rFonts w:hint="eastAsia" w:ascii="黑体" w:hAnsi="黑体" w:eastAsia="黑体" w:cs="黑体"/>
                <w:szCs w:val="21"/>
              </w:rPr>
            </w:pPr>
            <w:r>
              <w:rPr>
                <w:rFonts w:hint="eastAsia" w:ascii="黑体" w:hAnsi="黑体" w:eastAsia="黑体" w:cs="黑体"/>
                <w:b/>
                <w:szCs w:val="21"/>
              </w:rPr>
              <w:t>乙方：</w:t>
            </w:r>
            <w:r>
              <w:rPr>
                <w:rFonts w:hint="eastAsia" w:ascii="黑体" w:hAnsi="黑体" w:eastAsia="黑体" w:cs="黑体"/>
                <w:b/>
                <w:szCs w:val="21"/>
                <w:u w:val="single"/>
              </w:rPr>
              <w:t xml:space="preserve">                                </w:t>
            </w:r>
          </w:p>
        </w:tc>
      </w:tr>
    </w:tbl>
    <w:p w14:paraId="5668B06A">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 xml:space="preserve">依照《中华人民共和国民典法》、《中华人民共和国建筑法》及其他有关法律、行政法规，遵循平等、自愿、公平和诚实信用的原则，就甲方委托乙方对 </w:t>
      </w:r>
      <w:r>
        <w:rPr>
          <w:rFonts w:ascii="Times New Roman" w:hAnsi="Times New Roman" w:eastAsia="宋体" w:cs="Times New Roman"/>
          <w:color w:val="000000"/>
          <w:sz w:val="24"/>
          <w:u w:val="single"/>
        </w:rPr>
        <w:t xml:space="preserve">岚皋县中心城区导视标识系统规划设计项目 </w:t>
      </w:r>
      <w:r>
        <w:rPr>
          <w:rFonts w:ascii="Times New Roman" w:hAnsi="Times New Roman" w:eastAsia="宋体" w:cs="Times New Roman"/>
          <w:sz w:val="24"/>
        </w:rPr>
        <w:t>相关事宜，经双方友好协商，在平等、自愿、守法的原则下，订立如下合同：</w:t>
      </w:r>
    </w:p>
    <w:p w14:paraId="0D8C049B">
      <w:pPr>
        <w:pStyle w:val="2"/>
        <w:numPr>
          <w:ilvl w:val="0"/>
          <w:numId w:val="49"/>
        </w:numPr>
        <w:tabs>
          <w:tab w:val="left" w:pos="482"/>
          <w:tab w:val="clear" w:pos="210"/>
        </w:tabs>
        <w:ind w:left="1327" w:leftChars="0" w:hanging="845" w:firstLineChars="0"/>
        <w:rPr>
          <w:b/>
        </w:rPr>
      </w:pPr>
      <w:r>
        <w:t>项目概况：</w:t>
      </w:r>
    </w:p>
    <w:p w14:paraId="22E49407">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本次设计紧扣岚皋县住建十五五规划发展目标，围绕中心城区构建“点－线－面”协同的全域导视网络。通过交通流线的系统梳理、标识体系的分级构建、文化元素的符号转译、智慧交互的技术植入等手段，构建功能实用性与视觉美感兼具、地域文脉与现代科技和谐共生的高品质导视环境。</w:t>
      </w:r>
    </w:p>
    <w:p w14:paraId="3D212E03">
      <w:pPr>
        <w:pStyle w:val="2"/>
        <w:tabs>
          <w:tab w:val="left" w:pos="482"/>
        </w:tabs>
        <w:ind w:left="0" w:leftChars="0" w:firstLine="482" w:firstLineChars="200"/>
        <w:rPr>
          <w:b/>
        </w:rPr>
      </w:pPr>
      <w:r>
        <w:t>第二条　</w:t>
      </w:r>
      <w:bookmarkStart w:id="74" w:name="_Toc40758907"/>
      <w:bookmarkStart w:id="75" w:name="_Toc191810297"/>
      <w:bookmarkStart w:id="76" w:name="_Toc40756920"/>
      <w:r>
        <w:t>设计工作内容与要求</w:t>
      </w:r>
      <w:bookmarkEnd w:id="74"/>
      <w:bookmarkEnd w:id="75"/>
      <w:bookmarkEnd w:id="76"/>
    </w:p>
    <w:p w14:paraId="45A9EF4B">
      <w:pPr>
        <w:pStyle w:val="3"/>
        <w:numPr>
          <w:ilvl w:val="0"/>
          <w:numId w:val="50"/>
        </w:numPr>
        <w:tabs>
          <w:tab w:val="left" w:pos="482"/>
          <w:tab w:val="clear" w:pos="210"/>
        </w:tabs>
        <w:ind w:left="901" w:leftChars="0" w:hanging="420" w:firstLineChars="0"/>
        <w:rPr>
          <w:b/>
        </w:rPr>
      </w:pPr>
      <w:r>
        <w:t>服务阶段及成果内容</w:t>
      </w:r>
    </w:p>
    <w:p w14:paraId="46C587BE">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设计阶段成果包括：</w:t>
      </w:r>
    </w:p>
    <w:p w14:paraId="48D13C5D">
      <w:pPr>
        <w:pStyle w:val="16"/>
        <w:numPr>
          <w:ilvl w:val="0"/>
          <w:numId w:val="51"/>
        </w:numPr>
        <w:tabs>
          <w:tab w:val="left" w:pos="840"/>
        </w:tabs>
        <w:topLinePunct w:val="0"/>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道路街巷标识（导视）</w:t>
      </w:r>
    </w:p>
    <w:p w14:paraId="5E9C176C">
      <w:pPr>
        <w:pStyle w:val="16"/>
        <w:numPr>
          <w:ilvl w:val="0"/>
          <w:numId w:val="51"/>
        </w:numPr>
        <w:tabs>
          <w:tab w:val="left" w:pos="840"/>
        </w:tabs>
        <w:topLinePunct w:val="0"/>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现场服务</w:t>
      </w:r>
    </w:p>
    <w:p w14:paraId="2B143910">
      <w:pPr>
        <w:pStyle w:val="3"/>
        <w:numPr>
          <w:ilvl w:val="0"/>
          <w:numId w:val="50"/>
        </w:numPr>
        <w:tabs>
          <w:tab w:val="left" w:pos="482"/>
          <w:tab w:val="clear" w:pos="210"/>
        </w:tabs>
        <w:ind w:left="901" w:leftChars="0" w:hanging="420" w:firstLineChars="0"/>
        <w:rPr>
          <w:b/>
        </w:rPr>
      </w:pPr>
      <w:r>
        <w:t>乙方应按照下表约定向甲方交付的设计资料及文件（设计深度见设计文件）：</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906"/>
        <w:gridCol w:w="2717"/>
        <w:gridCol w:w="2367"/>
        <w:gridCol w:w="853"/>
      </w:tblGrid>
      <w:tr w14:paraId="14D4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6" w:type="pct"/>
            <w:noWrap w:val="0"/>
            <w:vAlign w:val="center"/>
          </w:tcPr>
          <w:p w14:paraId="3FD15A77">
            <w:pPr>
              <w:snapToGrid w:val="0"/>
              <w:spacing w:line="360" w:lineRule="exact"/>
              <w:jc w:val="center"/>
              <w:rPr>
                <w:rFonts w:hint="eastAsia" w:ascii="黑体" w:hAnsi="黑体" w:eastAsia="黑体" w:cs="黑体"/>
                <w:szCs w:val="21"/>
              </w:rPr>
            </w:pPr>
            <w:r>
              <w:rPr>
                <w:rFonts w:hint="eastAsia" w:ascii="黑体" w:hAnsi="黑体" w:eastAsia="黑体" w:cs="黑体"/>
                <w:szCs w:val="21"/>
              </w:rPr>
              <w:t>序号</w:t>
            </w:r>
          </w:p>
        </w:tc>
        <w:tc>
          <w:tcPr>
            <w:tcW w:w="1116" w:type="pct"/>
            <w:noWrap w:val="0"/>
            <w:vAlign w:val="center"/>
          </w:tcPr>
          <w:p w14:paraId="0F6E18AD">
            <w:pPr>
              <w:snapToGrid w:val="0"/>
              <w:spacing w:line="360" w:lineRule="exact"/>
              <w:jc w:val="center"/>
              <w:rPr>
                <w:rFonts w:hint="eastAsia" w:ascii="黑体" w:hAnsi="黑体" w:eastAsia="黑体" w:cs="黑体"/>
                <w:szCs w:val="21"/>
              </w:rPr>
            </w:pPr>
            <w:r>
              <w:rPr>
                <w:rFonts w:hint="eastAsia" w:ascii="黑体" w:hAnsi="黑体" w:eastAsia="黑体" w:cs="黑体"/>
                <w:szCs w:val="21"/>
              </w:rPr>
              <w:t>资料及文件名称</w:t>
            </w:r>
          </w:p>
        </w:tc>
        <w:tc>
          <w:tcPr>
            <w:tcW w:w="1591" w:type="pct"/>
            <w:noWrap w:val="0"/>
            <w:vAlign w:val="center"/>
          </w:tcPr>
          <w:p w14:paraId="5748567E">
            <w:pPr>
              <w:snapToGrid w:val="0"/>
              <w:spacing w:line="360" w:lineRule="exact"/>
              <w:jc w:val="center"/>
              <w:rPr>
                <w:rFonts w:hint="eastAsia" w:ascii="黑体" w:hAnsi="黑体" w:eastAsia="黑体" w:cs="黑体"/>
                <w:szCs w:val="21"/>
              </w:rPr>
            </w:pPr>
            <w:r>
              <w:rPr>
                <w:rFonts w:hint="eastAsia" w:ascii="黑体" w:hAnsi="黑体" w:eastAsia="黑体" w:cs="黑体"/>
                <w:szCs w:val="21"/>
              </w:rPr>
              <w:t>提交日期</w:t>
            </w:r>
          </w:p>
        </w:tc>
        <w:tc>
          <w:tcPr>
            <w:tcW w:w="1386" w:type="pct"/>
            <w:noWrap w:val="0"/>
            <w:vAlign w:val="center"/>
          </w:tcPr>
          <w:p w14:paraId="05E457ED">
            <w:pPr>
              <w:snapToGrid w:val="0"/>
              <w:spacing w:line="360" w:lineRule="exact"/>
              <w:jc w:val="center"/>
              <w:rPr>
                <w:rFonts w:hint="eastAsia" w:ascii="黑体" w:hAnsi="黑体" w:eastAsia="黑体" w:cs="黑体"/>
                <w:szCs w:val="21"/>
              </w:rPr>
            </w:pPr>
            <w:r>
              <w:rPr>
                <w:rFonts w:hint="eastAsia" w:ascii="黑体" w:hAnsi="黑体" w:eastAsia="黑体" w:cs="黑体"/>
                <w:szCs w:val="21"/>
              </w:rPr>
              <w:t>成果形式</w:t>
            </w:r>
          </w:p>
        </w:tc>
        <w:tc>
          <w:tcPr>
            <w:tcW w:w="499" w:type="pct"/>
            <w:noWrap w:val="0"/>
            <w:vAlign w:val="center"/>
          </w:tcPr>
          <w:p w14:paraId="67F912E0">
            <w:pPr>
              <w:snapToGrid w:val="0"/>
              <w:spacing w:line="360" w:lineRule="exact"/>
              <w:jc w:val="center"/>
              <w:rPr>
                <w:rFonts w:hint="eastAsia" w:ascii="黑体" w:hAnsi="黑体" w:eastAsia="黑体" w:cs="黑体"/>
                <w:szCs w:val="21"/>
              </w:rPr>
            </w:pPr>
            <w:r>
              <w:rPr>
                <w:rFonts w:hint="eastAsia" w:ascii="黑体" w:hAnsi="黑体" w:eastAsia="黑体" w:cs="黑体"/>
                <w:szCs w:val="21"/>
              </w:rPr>
              <w:t>备注</w:t>
            </w:r>
          </w:p>
        </w:tc>
      </w:tr>
      <w:tr w14:paraId="1C1B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6" w:type="pct"/>
            <w:noWrap w:val="0"/>
            <w:vAlign w:val="center"/>
          </w:tcPr>
          <w:p w14:paraId="367B6EAB">
            <w:pPr>
              <w:snapToGrid w:val="0"/>
              <w:spacing w:line="360" w:lineRule="exact"/>
              <w:jc w:val="center"/>
              <w:rPr>
                <w:rFonts w:hint="eastAsia" w:ascii="黑体" w:hAnsi="黑体" w:eastAsia="黑体" w:cs="黑体"/>
                <w:szCs w:val="21"/>
              </w:rPr>
            </w:pPr>
            <w:r>
              <w:rPr>
                <w:rFonts w:hint="eastAsia" w:ascii="黑体" w:hAnsi="黑体" w:eastAsia="黑体" w:cs="黑体"/>
                <w:szCs w:val="21"/>
              </w:rPr>
              <w:t>1</w:t>
            </w:r>
          </w:p>
        </w:tc>
        <w:tc>
          <w:tcPr>
            <w:tcW w:w="1116" w:type="pct"/>
            <w:noWrap w:val="0"/>
            <w:vAlign w:val="center"/>
          </w:tcPr>
          <w:p w14:paraId="788521EF">
            <w:pPr>
              <w:snapToGrid w:val="0"/>
              <w:spacing w:line="360" w:lineRule="exact"/>
              <w:rPr>
                <w:rFonts w:hint="eastAsia" w:ascii="黑体" w:hAnsi="黑体" w:eastAsia="黑体" w:cs="黑体"/>
                <w:szCs w:val="21"/>
              </w:rPr>
            </w:pPr>
            <w:r>
              <w:rPr>
                <w:rFonts w:hint="eastAsia" w:ascii="黑体" w:hAnsi="黑体" w:eastAsia="黑体" w:cs="黑体"/>
                <w:szCs w:val="21"/>
              </w:rPr>
              <w:t>中期设计成果</w:t>
            </w:r>
          </w:p>
        </w:tc>
        <w:tc>
          <w:tcPr>
            <w:tcW w:w="1591" w:type="pct"/>
            <w:noWrap w:val="0"/>
            <w:vAlign w:val="center"/>
          </w:tcPr>
          <w:p w14:paraId="6C96B223">
            <w:pPr>
              <w:snapToGrid w:val="0"/>
              <w:spacing w:line="360" w:lineRule="exact"/>
              <w:rPr>
                <w:rFonts w:hint="eastAsia" w:ascii="黑体" w:hAnsi="黑体" w:eastAsia="黑体" w:cs="黑体"/>
                <w:szCs w:val="21"/>
              </w:rPr>
            </w:pPr>
            <w:r>
              <w:rPr>
                <w:rFonts w:hint="eastAsia" w:ascii="黑体" w:hAnsi="黑体" w:eastAsia="黑体" w:cs="黑体"/>
                <w:szCs w:val="21"/>
              </w:rPr>
              <w:t>合同签订后</w:t>
            </w:r>
            <w:r>
              <w:rPr>
                <w:rFonts w:hint="eastAsia" w:ascii="黑体" w:hAnsi="黑体" w:eastAsia="黑体" w:cs="黑体"/>
                <w:szCs w:val="21"/>
                <w:u w:val="single"/>
              </w:rPr>
              <w:t xml:space="preserve"> 30 </w:t>
            </w:r>
            <w:r>
              <w:rPr>
                <w:rFonts w:hint="eastAsia" w:ascii="黑体" w:hAnsi="黑体" w:eastAsia="黑体" w:cs="黑体"/>
                <w:szCs w:val="21"/>
              </w:rPr>
              <w:t>天内</w:t>
            </w:r>
          </w:p>
        </w:tc>
        <w:tc>
          <w:tcPr>
            <w:tcW w:w="1386" w:type="pct"/>
            <w:noWrap w:val="0"/>
            <w:vAlign w:val="center"/>
          </w:tcPr>
          <w:p w14:paraId="59A4671A">
            <w:pPr>
              <w:pStyle w:val="14"/>
              <w:spacing w:line="360" w:lineRule="exact"/>
              <w:rPr>
                <w:rFonts w:hint="eastAsia" w:ascii="黑体" w:hAnsi="黑体" w:eastAsia="黑体" w:cs="黑体"/>
                <w:szCs w:val="21"/>
              </w:rPr>
            </w:pPr>
            <w:r>
              <w:rPr>
                <w:rFonts w:hint="eastAsia" w:ascii="黑体" w:hAnsi="黑体" w:eastAsia="黑体" w:cs="黑体"/>
                <w:szCs w:val="21"/>
              </w:rPr>
              <w:t>电子版PPT文件</w:t>
            </w:r>
          </w:p>
        </w:tc>
        <w:tc>
          <w:tcPr>
            <w:tcW w:w="499" w:type="pct"/>
            <w:vMerge w:val="restart"/>
            <w:noWrap w:val="0"/>
            <w:vAlign w:val="center"/>
          </w:tcPr>
          <w:p w14:paraId="78BA4C8C">
            <w:pPr>
              <w:snapToGrid w:val="0"/>
              <w:spacing w:line="360" w:lineRule="exact"/>
              <w:jc w:val="center"/>
              <w:rPr>
                <w:rFonts w:hint="eastAsia" w:ascii="黑体" w:hAnsi="黑体" w:eastAsia="黑体" w:cs="黑体"/>
                <w:szCs w:val="21"/>
              </w:rPr>
            </w:pPr>
            <w:r>
              <w:rPr>
                <w:rFonts w:hint="eastAsia" w:ascii="黑体" w:hAnsi="黑体" w:eastAsia="黑体" w:cs="黑体"/>
                <w:szCs w:val="21"/>
              </w:rPr>
              <w:t>/</w:t>
            </w:r>
          </w:p>
        </w:tc>
      </w:tr>
      <w:tr w14:paraId="5EB49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406" w:type="pct"/>
            <w:noWrap w:val="0"/>
            <w:vAlign w:val="center"/>
          </w:tcPr>
          <w:p w14:paraId="0F6805AD">
            <w:pPr>
              <w:snapToGrid w:val="0"/>
              <w:spacing w:line="360" w:lineRule="exact"/>
              <w:jc w:val="center"/>
              <w:rPr>
                <w:rFonts w:hint="eastAsia" w:ascii="黑体" w:hAnsi="黑体" w:eastAsia="黑体" w:cs="黑体"/>
                <w:szCs w:val="21"/>
              </w:rPr>
            </w:pPr>
            <w:r>
              <w:rPr>
                <w:rFonts w:hint="eastAsia" w:ascii="黑体" w:hAnsi="黑体" w:eastAsia="黑体" w:cs="黑体"/>
                <w:szCs w:val="21"/>
              </w:rPr>
              <w:t>2</w:t>
            </w:r>
          </w:p>
        </w:tc>
        <w:tc>
          <w:tcPr>
            <w:tcW w:w="1116" w:type="pct"/>
            <w:noWrap w:val="0"/>
            <w:vAlign w:val="center"/>
          </w:tcPr>
          <w:p w14:paraId="4A4C764D">
            <w:pPr>
              <w:snapToGrid w:val="0"/>
              <w:spacing w:line="360" w:lineRule="exact"/>
              <w:rPr>
                <w:rFonts w:hint="eastAsia" w:ascii="黑体" w:hAnsi="黑体" w:eastAsia="黑体" w:cs="黑体"/>
                <w:szCs w:val="21"/>
              </w:rPr>
            </w:pPr>
            <w:r>
              <w:rPr>
                <w:rFonts w:hint="eastAsia" w:ascii="黑体" w:hAnsi="黑体" w:eastAsia="黑体" w:cs="黑体"/>
                <w:szCs w:val="21"/>
              </w:rPr>
              <w:t>最终设计成果册</w:t>
            </w:r>
          </w:p>
        </w:tc>
        <w:tc>
          <w:tcPr>
            <w:tcW w:w="1591" w:type="pct"/>
            <w:noWrap w:val="0"/>
            <w:vAlign w:val="center"/>
          </w:tcPr>
          <w:p w14:paraId="56F355A9">
            <w:pPr>
              <w:snapToGrid w:val="0"/>
              <w:spacing w:line="360" w:lineRule="exact"/>
              <w:rPr>
                <w:rFonts w:hint="eastAsia" w:ascii="黑体" w:hAnsi="黑体" w:eastAsia="黑体" w:cs="黑体"/>
                <w:szCs w:val="21"/>
              </w:rPr>
            </w:pPr>
            <w:r>
              <w:rPr>
                <w:rFonts w:hint="eastAsia" w:ascii="黑体" w:hAnsi="黑体" w:eastAsia="黑体" w:cs="黑体"/>
                <w:szCs w:val="21"/>
              </w:rPr>
              <w:t>中期成果确认后</w:t>
            </w:r>
            <w:r>
              <w:rPr>
                <w:rFonts w:hint="eastAsia" w:ascii="黑体" w:hAnsi="黑体" w:eastAsia="黑体" w:cs="黑体"/>
                <w:szCs w:val="21"/>
                <w:u w:val="single"/>
              </w:rPr>
              <w:t>20</w:t>
            </w:r>
            <w:r>
              <w:rPr>
                <w:rFonts w:hint="eastAsia" w:ascii="黑体" w:hAnsi="黑体" w:eastAsia="黑体" w:cs="黑体"/>
                <w:szCs w:val="21"/>
              </w:rPr>
              <w:t>天内</w:t>
            </w:r>
          </w:p>
        </w:tc>
        <w:tc>
          <w:tcPr>
            <w:tcW w:w="1386" w:type="pct"/>
            <w:noWrap w:val="0"/>
            <w:vAlign w:val="center"/>
          </w:tcPr>
          <w:p w14:paraId="3F736C63">
            <w:pPr>
              <w:snapToGrid w:val="0"/>
              <w:spacing w:line="360" w:lineRule="exact"/>
              <w:rPr>
                <w:rFonts w:hint="eastAsia" w:ascii="黑体" w:hAnsi="黑体" w:eastAsia="黑体" w:cs="黑体"/>
                <w:szCs w:val="21"/>
              </w:rPr>
            </w:pPr>
            <w:r>
              <w:rPr>
                <w:rFonts w:hint="eastAsia" w:ascii="黑体" w:hAnsi="黑体" w:eastAsia="黑体" w:cs="黑体"/>
                <w:szCs w:val="21"/>
              </w:rPr>
              <w:t>文本4套、电子版设计文件</w:t>
            </w:r>
          </w:p>
        </w:tc>
        <w:tc>
          <w:tcPr>
            <w:tcW w:w="499" w:type="pct"/>
            <w:vMerge w:val="continue"/>
            <w:noWrap w:val="0"/>
            <w:vAlign w:val="center"/>
          </w:tcPr>
          <w:p w14:paraId="4B05C66E">
            <w:pPr>
              <w:snapToGrid w:val="0"/>
              <w:spacing w:line="360" w:lineRule="exact"/>
              <w:jc w:val="center"/>
              <w:rPr>
                <w:rFonts w:hint="eastAsia" w:ascii="黑体" w:hAnsi="黑体" w:eastAsia="黑体" w:cs="黑体"/>
                <w:szCs w:val="21"/>
              </w:rPr>
            </w:pPr>
          </w:p>
        </w:tc>
      </w:tr>
    </w:tbl>
    <w:p w14:paraId="45C1E608">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备注：</w:t>
      </w:r>
    </w:p>
    <w:p w14:paraId="01C29E33">
      <w:pPr>
        <w:pStyle w:val="16"/>
        <w:numPr>
          <w:ilvl w:val="0"/>
          <w:numId w:val="52"/>
        </w:numPr>
        <w:tabs>
          <w:tab w:val="left" w:pos="482"/>
        </w:tabs>
        <w:topLinePunct w:val="0"/>
        <w:ind w:left="845" w:leftChars="0" w:hanging="363" w:firstLineChars="0"/>
        <w:rPr>
          <w:rFonts w:hint="eastAsia" w:ascii="宋体" w:hAnsi="宋体" w:eastAsia="宋体" w:cs="宋体"/>
          <w:b w:val="0"/>
          <w:sz w:val="24"/>
        </w:rPr>
      </w:pPr>
      <w:r>
        <w:rPr>
          <w:rFonts w:ascii="Times New Roman" w:hAnsi="Times New Roman" w:eastAsia="宋体" w:cs="Times New Roman"/>
          <w:sz w:val="24"/>
        </w:rPr>
        <w:t>具体时间节点以甲方工作联系单要求的时间为准；</w:t>
      </w:r>
    </w:p>
    <w:p w14:paraId="16C23910">
      <w:pPr>
        <w:pStyle w:val="16"/>
        <w:numPr>
          <w:ilvl w:val="0"/>
          <w:numId w:val="52"/>
        </w:numPr>
        <w:tabs>
          <w:tab w:val="left" w:pos="482"/>
        </w:tabs>
        <w:topLinePunct w:val="0"/>
        <w:ind w:left="845" w:leftChars="0" w:hanging="363" w:firstLineChars="0"/>
        <w:rPr>
          <w:rFonts w:hint="eastAsia" w:ascii="宋体" w:hAnsi="宋体" w:eastAsia="宋体" w:cs="宋体"/>
          <w:b w:val="0"/>
          <w:sz w:val="24"/>
        </w:rPr>
      </w:pPr>
      <w:r>
        <w:rPr>
          <w:rFonts w:ascii="Times New Roman" w:hAnsi="Times New Roman" w:eastAsia="宋体" w:cs="Times New Roman"/>
          <w:sz w:val="24"/>
        </w:rPr>
        <w:t>乙方应在收到甲方各阶段设计费后提供相应阶段的设计成果电子文档一份给甲方。</w:t>
      </w:r>
    </w:p>
    <w:p w14:paraId="6FAD8767">
      <w:pPr>
        <w:pStyle w:val="16"/>
        <w:numPr>
          <w:ilvl w:val="0"/>
          <w:numId w:val="52"/>
        </w:numPr>
        <w:tabs>
          <w:tab w:val="left" w:pos="482"/>
        </w:tabs>
        <w:topLinePunct w:val="0"/>
        <w:ind w:left="845" w:leftChars="0" w:hanging="363" w:firstLineChars="0"/>
        <w:rPr>
          <w:rFonts w:hint="eastAsia" w:ascii="宋体" w:hAnsi="宋体" w:eastAsia="宋体" w:cs="宋体"/>
          <w:b w:val="0"/>
          <w:sz w:val="24"/>
        </w:rPr>
      </w:pPr>
      <w:r>
        <w:rPr>
          <w:rFonts w:ascii="Times New Roman" w:hAnsi="Times New Roman" w:eastAsia="宋体" w:cs="Times New Roman"/>
          <w:sz w:val="24"/>
        </w:rPr>
        <w:t>如因甲方决策原因延误时间的，乙方的实际成果提交日期相应顺延。</w:t>
      </w:r>
    </w:p>
    <w:p w14:paraId="72D4F922">
      <w:pPr>
        <w:pStyle w:val="2"/>
        <w:tabs>
          <w:tab w:val="left" w:pos="0"/>
        </w:tabs>
        <w:ind w:left="0" w:leftChars="0" w:firstLine="0" w:firstLineChars="0"/>
      </w:pPr>
      <w:r>
        <w:t>第三条  设计服务费用和支付方式</w:t>
      </w:r>
    </w:p>
    <w:p w14:paraId="45BC2B49">
      <w:pPr>
        <w:pStyle w:val="16"/>
        <w:numPr>
          <w:ilvl w:val="0"/>
          <w:numId w:val="53"/>
        </w:numPr>
        <w:tabs>
          <w:tab w:val="left" w:pos="482"/>
          <w:tab w:val="clear" w:pos="210"/>
        </w:tabs>
        <w:ind w:left="901" w:leftChars="0" w:hanging="420" w:firstLineChars="0"/>
        <w:rPr>
          <w:rFonts w:ascii="Times New Roman" w:hAnsi="Times New Roman" w:eastAsia="宋体" w:cs="Times New Roman"/>
          <w:b w:val="0"/>
          <w:color w:val="auto"/>
          <w:sz w:val="24"/>
        </w:rPr>
      </w:pPr>
      <w:r>
        <w:rPr>
          <w:rFonts w:ascii="Times New Roman" w:hAnsi="Times New Roman" w:eastAsia="宋体" w:cs="Times New Roman"/>
          <w:color w:val="000000"/>
          <w:sz w:val="24"/>
        </w:rPr>
        <w:t xml:space="preserve">本项目的设计费用（含税）¥ </w:t>
      </w:r>
      <w:r>
        <w:rPr>
          <w:rFonts w:ascii="Times New Roman" w:hAnsi="Times New Roman" w:eastAsia="宋体" w:cs="Times New Roman"/>
          <w:color w:val="000000"/>
          <w:sz w:val="24"/>
          <w:u w:val="single"/>
        </w:rPr>
        <w:t xml:space="preserve">       （大写：人民币     ）</w:t>
      </w:r>
      <w:r>
        <w:rPr>
          <w:rFonts w:ascii="Times New Roman" w:hAnsi="Times New Roman" w:eastAsia="宋体" w:cs="Times New Roman"/>
          <w:color w:val="000000"/>
          <w:sz w:val="24"/>
        </w:rPr>
        <w:t>。</w:t>
      </w:r>
    </w:p>
    <w:p w14:paraId="64AACE6C">
      <w:pPr>
        <w:pStyle w:val="16"/>
        <w:numPr>
          <w:ilvl w:val="0"/>
          <w:numId w:val="53"/>
        </w:numPr>
        <w:tabs>
          <w:tab w:val="left" w:pos="482"/>
          <w:tab w:val="clear" w:pos="210"/>
        </w:tabs>
        <w:ind w:left="901" w:leftChars="0" w:hanging="420" w:firstLineChars="0"/>
        <w:rPr>
          <w:rFonts w:ascii="Times New Roman" w:hAnsi="Times New Roman" w:eastAsia="宋体" w:cs="Times New Roman"/>
          <w:b w:val="0"/>
          <w:sz w:val="24"/>
          <w:vertAlign w:val="superscript"/>
        </w:rPr>
      </w:pPr>
      <w:r>
        <w:rPr>
          <w:rFonts w:ascii="Times New Roman" w:hAnsi="Times New Roman" w:eastAsia="宋体" w:cs="Times New Roman"/>
          <w:sz w:val="24"/>
        </w:rPr>
        <w:t>付款方式：</w:t>
      </w:r>
    </w:p>
    <w:p w14:paraId="48D8F5AD">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甲方应按照如下时间节点向乙方支付设计费用。</w:t>
      </w:r>
    </w:p>
    <w:tbl>
      <w:tblPr>
        <w:tblStyle w:val="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7"/>
        <w:gridCol w:w="4271"/>
        <w:gridCol w:w="748"/>
        <w:gridCol w:w="2078"/>
      </w:tblGrid>
      <w:tr w14:paraId="4286C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344" w:type="pct"/>
            <w:gridSpan w:val="2"/>
            <w:tcBorders>
              <w:top w:val="single" w:color="auto" w:sz="4" w:space="0"/>
              <w:left w:val="single" w:color="auto" w:sz="4" w:space="0"/>
            </w:tcBorders>
            <w:noWrap w:val="0"/>
            <w:vAlign w:val="center"/>
          </w:tcPr>
          <w:p w14:paraId="6389A769">
            <w:pPr>
              <w:tabs>
                <w:tab w:val="left" w:pos="960"/>
                <w:tab w:val="left" w:pos="2400"/>
                <w:tab w:val="left" w:pos="5520"/>
                <w:tab w:val="right" w:pos="6120"/>
                <w:tab w:val="right" w:pos="8100"/>
              </w:tabs>
              <w:spacing w:line="360" w:lineRule="exact"/>
              <w:jc w:val="center"/>
              <w:rPr>
                <w:rFonts w:hint="eastAsia" w:ascii="黑体" w:hAnsi="黑体" w:eastAsia="黑体" w:cs="黑体"/>
                <w:color w:val="000000"/>
                <w:szCs w:val="21"/>
              </w:rPr>
            </w:pPr>
            <w:r>
              <w:rPr>
                <w:rFonts w:hint="eastAsia" w:ascii="黑体" w:hAnsi="黑体" w:eastAsia="黑体" w:cs="黑体"/>
                <w:color w:val="000000"/>
                <w:szCs w:val="21"/>
              </w:rPr>
              <w:t>付款阶段</w:t>
            </w:r>
          </w:p>
        </w:tc>
        <w:tc>
          <w:tcPr>
            <w:tcW w:w="1655" w:type="pct"/>
            <w:gridSpan w:val="2"/>
            <w:vMerge w:val="restart"/>
            <w:tcBorders>
              <w:top w:val="single" w:color="auto" w:sz="4" w:space="0"/>
              <w:right w:val="single" w:color="auto" w:sz="4" w:space="0"/>
            </w:tcBorders>
            <w:noWrap w:val="0"/>
            <w:vAlign w:val="center"/>
          </w:tcPr>
          <w:p w14:paraId="0377549E">
            <w:pPr>
              <w:tabs>
                <w:tab w:val="left" w:pos="960"/>
                <w:tab w:val="left" w:pos="2400"/>
                <w:tab w:val="left" w:pos="5520"/>
                <w:tab w:val="right" w:pos="6120"/>
                <w:tab w:val="right" w:pos="8100"/>
              </w:tabs>
              <w:spacing w:line="360" w:lineRule="exact"/>
              <w:jc w:val="center"/>
              <w:rPr>
                <w:rFonts w:hint="eastAsia" w:ascii="黑体" w:hAnsi="黑体" w:eastAsia="黑体" w:cs="黑体"/>
                <w:color w:val="000000"/>
                <w:szCs w:val="21"/>
              </w:rPr>
            </w:pPr>
            <w:r>
              <w:rPr>
                <w:rFonts w:hint="eastAsia" w:ascii="黑体" w:hAnsi="黑体" w:eastAsia="黑体" w:cs="黑体"/>
                <w:color w:val="000000"/>
                <w:szCs w:val="21"/>
              </w:rPr>
              <w:t>设计费付款比例及金额</w:t>
            </w:r>
          </w:p>
        </w:tc>
      </w:tr>
      <w:tr w14:paraId="6D35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42" w:type="pct"/>
            <w:tcBorders>
              <w:left w:val="single" w:color="auto" w:sz="4" w:space="0"/>
            </w:tcBorders>
            <w:noWrap w:val="0"/>
            <w:vAlign w:val="center"/>
          </w:tcPr>
          <w:p w14:paraId="6936A632">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付款节点</w:t>
            </w:r>
          </w:p>
        </w:tc>
        <w:tc>
          <w:tcPr>
            <w:tcW w:w="2501" w:type="pct"/>
            <w:noWrap w:val="0"/>
            <w:vAlign w:val="bottom"/>
          </w:tcPr>
          <w:p w14:paraId="161174B3">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付款时间</w:t>
            </w:r>
          </w:p>
        </w:tc>
        <w:tc>
          <w:tcPr>
            <w:tcW w:w="1655" w:type="pct"/>
            <w:gridSpan w:val="2"/>
            <w:vMerge w:val="continue"/>
            <w:tcBorders>
              <w:right w:val="single" w:color="auto" w:sz="4" w:space="0"/>
            </w:tcBorders>
            <w:noWrap w:val="0"/>
            <w:vAlign w:val="bottom"/>
          </w:tcPr>
          <w:p w14:paraId="0CDC0946">
            <w:pPr>
              <w:tabs>
                <w:tab w:val="left" w:pos="960"/>
                <w:tab w:val="left" w:pos="2400"/>
                <w:tab w:val="left" w:pos="5520"/>
                <w:tab w:val="right" w:pos="6120"/>
                <w:tab w:val="right" w:pos="8100"/>
              </w:tabs>
              <w:spacing w:line="360" w:lineRule="exact"/>
              <w:ind w:left="67" w:leftChars="28"/>
              <w:rPr>
                <w:rFonts w:hint="eastAsia" w:ascii="黑体" w:hAnsi="黑体" w:eastAsia="黑体" w:cs="黑体"/>
                <w:szCs w:val="21"/>
              </w:rPr>
            </w:pPr>
          </w:p>
        </w:tc>
      </w:tr>
      <w:tr w14:paraId="06C8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2" w:type="pct"/>
            <w:tcBorders>
              <w:left w:val="single" w:color="auto" w:sz="4" w:space="0"/>
            </w:tcBorders>
            <w:noWrap w:val="0"/>
            <w:vAlign w:val="center"/>
          </w:tcPr>
          <w:p w14:paraId="39386F7A">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第一次付款</w:t>
            </w:r>
          </w:p>
        </w:tc>
        <w:tc>
          <w:tcPr>
            <w:tcW w:w="2501" w:type="pct"/>
            <w:noWrap w:val="0"/>
            <w:vAlign w:val="bottom"/>
          </w:tcPr>
          <w:p w14:paraId="0B8A89D6">
            <w:pPr>
              <w:tabs>
                <w:tab w:val="left" w:pos="960"/>
                <w:tab w:val="left" w:pos="2400"/>
                <w:tab w:val="left" w:pos="5520"/>
                <w:tab w:val="right" w:pos="6120"/>
                <w:tab w:val="right" w:pos="8100"/>
              </w:tabs>
              <w:spacing w:line="360" w:lineRule="exact"/>
              <w:jc w:val="left"/>
              <w:rPr>
                <w:rFonts w:hint="eastAsia" w:ascii="黑体" w:hAnsi="黑体" w:eastAsia="黑体" w:cs="黑体"/>
                <w:szCs w:val="21"/>
              </w:rPr>
            </w:pPr>
            <w:r>
              <w:rPr>
                <w:rFonts w:hint="eastAsia" w:ascii="黑体" w:hAnsi="黑体" w:eastAsia="黑体" w:cs="黑体"/>
                <w:szCs w:val="21"/>
              </w:rPr>
              <w:t>合同签订后7个日历日内（启动金）</w:t>
            </w:r>
          </w:p>
        </w:tc>
        <w:tc>
          <w:tcPr>
            <w:tcW w:w="438" w:type="pct"/>
            <w:noWrap w:val="0"/>
            <w:vAlign w:val="center"/>
          </w:tcPr>
          <w:p w14:paraId="7C8CEF37">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lang w:val="en-US" w:eastAsia="zh-CN"/>
              </w:rPr>
              <w:t>40</w:t>
            </w:r>
            <w:r>
              <w:rPr>
                <w:rFonts w:hint="eastAsia" w:ascii="黑体" w:hAnsi="黑体" w:eastAsia="黑体" w:cs="黑体"/>
                <w:szCs w:val="21"/>
              </w:rPr>
              <w:t>%</w:t>
            </w:r>
          </w:p>
        </w:tc>
        <w:tc>
          <w:tcPr>
            <w:tcW w:w="1217" w:type="pct"/>
            <w:noWrap w:val="0"/>
            <w:vAlign w:val="center"/>
          </w:tcPr>
          <w:p w14:paraId="43314A45">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元</w:t>
            </w:r>
          </w:p>
        </w:tc>
      </w:tr>
      <w:tr w14:paraId="3E39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42" w:type="pct"/>
            <w:tcBorders>
              <w:left w:val="single" w:color="auto" w:sz="4" w:space="0"/>
            </w:tcBorders>
            <w:noWrap w:val="0"/>
            <w:vAlign w:val="center"/>
          </w:tcPr>
          <w:p w14:paraId="6E417978">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第二次付款</w:t>
            </w:r>
          </w:p>
        </w:tc>
        <w:tc>
          <w:tcPr>
            <w:tcW w:w="2501" w:type="pct"/>
            <w:noWrap w:val="0"/>
            <w:vAlign w:val="bottom"/>
          </w:tcPr>
          <w:p w14:paraId="20533B2B">
            <w:pPr>
              <w:tabs>
                <w:tab w:val="left" w:pos="960"/>
                <w:tab w:val="left" w:pos="2400"/>
                <w:tab w:val="left" w:pos="5520"/>
                <w:tab w:val="right" w:pos="6120"/>
                <w:tab w:val="right" w:pos="8100"/>
              </w:tabs>
              <w:spacing w:line="360" w:lineRule="exact"/>
              <w:jc w:val="left"/>
              <w:rPr>
                <w:rFonts w:hint="eastAsia" w:ascii="黑体" w:hAnsi="黑体" w:eastAsia="黑体" w:cs="黑体"/>
                <w:szCs w:val="21"/>
              </w:rPr>
            </w:pPr>
            <w:r>
              <w:rPr>
                <w:rFonts w:hint="eastAsia" w:ascii="黑体" w:hAnsi="黑体" w:eastAsia="黑体" w:cs="黑体"/>
                <w:szCs w:val="21"/>
              </w:rPr>
              <w:t>中期成果提交甲方讨论修改后7个日历日内</w:t>
            </w:r>
          </w:p>
        </w:tc>
        <w:tc>
          <w:tcPr>
            <w:tcW w:w="438" w:type="pct"/>
            <w:noWrap w:val="0"/>
            <w:vAlign w:val="center"/>
          </w:tcPr>
          <w:p w14:paraId="49C37AC8">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lang w:val="en-US" w:eastAsia="zh-CN"/>
              </w:rPr>
              <w:t>50</w:t>
            </w:r>
            <w:r>
              <w:rPr>
                <w:rFonts w:hint="eastAsia" w:ascii="黑体" w:hAnsi="黑体" w:eastAsia="黑体" w:cs="黑体"/>
                <w:szCs w:val="21"/>
              </w:rPr>
              <w:t>%</w:t>
            </w:r>
          </w:p>
        </w:tc>
        <w:tc>
          <w:tcPr>
            <w:tcW w:w="1217" w:type="pct"/>
            <w:noWrap w:val="0"/>
            <w:vAlign w:val="center"/>
          </w:tcPr>
          <w:p w14:paraId="4A6DC009">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元</w:t>
            </w:r>
          </w:p>
        </w:tc>
      </w:tr>
      <w:tr w14:paraId="391D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42" w:type="pct"/>
            <w:tcBorders>
              <w:left w:val="single" w:color="auto" w:sz="4" w:space="0"/>
            </w:tcBorders>
            <w:noWrap w:val="0"/>
            <w:vAlign w:val="center"/>
          </w:tcPr>
          <w:p w14:paraId="101A002D">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第三次付款</w:t>
            </w:r>
          </w:p>
        </w:tc>
        <w:tc>
          <w:tcPr>
            <w:tcW w:w="2501" w:type="pct"/>
            <w:noWrap w:val="0"/>
            <w:vAlign w:val="bottom"/>
          </w:tcPr>
          <w:p w14:paraId="28551017">
            <w:pPr>
              <w:tabs>
                <w:tab w:val="left" w:pos="960"/>
                <w:tab w:val="left" w:pos="2400"/>
                <w:tab w:val="left" w:pos="5520"/>
                <w:tab w:val="right" w:pos="6120"/>
                <w:tab w:val="right" w:pos="8100"/>
              </w:tabs>
              <w:spacing w:line="360" w:lineRule="exact"/>
              <w:jc w:val="left"/>
              <w:rPr>
                <w:rFonts w:hint="eastAsia" w:ascii="黑体" w:hAnsi="黑体" w:eastAsia="黑体" w:cs="黑体"/>
                <w:szCs w:val="21"/>
              </w:rPr>
            </w:pPr>
            <w:r>
              <w:rPr>
                <w:rFonts w:hint="eastAsia" w:ascii="黑体" w:hAnsi="黑体" w:eastAsia="黑体" w:cs="黑体"/>
                <w:szCs w:val="21"/>
              </w:rPr>
              <w:t>最终成果提交规委会审议后7个日历日内</w:t>
            </w:r>
          </w:p>
        </w:tc>
        <w:tc>
          <w:tcPr>
            <w:tcW w:w="438" w:type="pct"/>
            <w:noWrap w:val="0"/>
            <w:vAlign w:val="center"/>
          </w:tcPr>
          <w:p w14:paraId="32825811">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10%</w:t>
            </w:r>
          </w:p>
        </w:tc>
        <w:tc>
          <w:tcPr>
            <w:tcW w:w="1217" w:type="pct"/>
            <w:noWrap w:val="0"/>
            <w:vAlign w:val="center"/>
          </w:tcPr>
          <w:p w14:paraId="7EE140D3">
            <w:pPr>
              <w:tabs>
                <w:tab w:val="left" w:pos="960"/>
                <w:tab w:val="left" w:pos="2400"/>
                <w:tab w:val="left" w:pos="5520"/>
                <w:tab w:val="right" w:pos="6120"/>
                <w:tab w:val="right" w:pos="8100"/>
              </w:tabs>
              <w:spacing w:line="360" w:lineRule="exact"/>
              <w:jc w:val="center"/>
              <w:rPr>
                <w:rFonts w:hint="eastAsia" w:ascii="黑体" w:hAnsi="黑体" w:eastAsia="黑体" w:cs="黑体"/>
                <w:szCs w:val="21"/>
              </w:rPr>
            </w:pPr>
            <w:r>
              <w:rPr>
                <w:rFonts w:hint="eastAsia" w:ascii="黑体" w:hAnsi="黑体" w:eastAsia="黑体" w:cs="黑体"/>
                <w:szCs w:val="21"/>
              </w:rPr>
              <w:t>元</w:t>
            </w:r>
          </w:p>
        </w:tc>
      </w:tr>
      <w:tr w14:paraId="6549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42" w:type="pct"/>
            <w:tcBorders>
              <w:left w:val="single" w:color="auto" w:sz="4" w:space="0"/>
              <w:bottom w:val="single" w:color="auto" w:sz="4" w:space="0"/>
            </w:tcBorders>
            <w:noWrap w:val="0"/>
            <w:vAlign w:val="bottom"/>
          </w:tcPr>
          <w:p w14:paraId="7EAEBF1E">
            <w:pPr>
              <w:tabs>
                <w:tab w:val="left" w:pos="960"/>
                <w:tab w:val="left" w:pos="2400"/>
                <w:tab w:val="left" w:pos="5520"/>
                <w:tab w:val="right" w:pos="6120"/>
                <w:tab w:val="right" w:pos="8100"/>
              </w:tabs>
              <w:spacing w:line="360" w:lineRule="exact"/>
              <w:rPr>
                <w:rFonts w:hint="eastAsia" w:ascii="黑体" w:hAnsi="黑体" w:eastAsia="黑体" w:cs="黑体"/>
                <w:color w:val="000000"/>
                <w:szCs w:val="21"/>
              </w:rPr>
            </w:pPr>
            <w:r>
              <w:rPr>
                <w:rFonts w:hint="eastAsia" w:ascii="黑体" w:hAnsi="黑体" w:eastAsia="黑体" w:cs="黑体"/>
                <w:color w:val="000000"/>
                <w:szCs w:val="21"/>
              </w:rPr>
              <w:t>合计（含税）</w:t>
            </w:r>
          </w:p>
        </w:tc>
        <w:tc>
          <w:tcPr>
            <w:tcW w:w="4157" w:type="pct"/>
            <w:gridSpan w:val="3"/>
            <w:tcBorders>
              <w:bottom w:val="single" w:color="auto" w:sz="4" w:space="0"/>
            </w:tcBorders>
            <w:noWrap w:val="0"/>
            <w:vAlign w:val="bottom"/>
          </w:tcPr>
          <w:p w14:paraId="4149E1EA">
            <w:pPr>
              <w:tabs>
                <w:tab w:val="left" w:pos="960"/>
                <w:tab w:val="left" w:pos="2400"/>
                <w:tab w:val="left" w:pos="5520"/>
                <w:tab w:val="right" w:pos="6120"/>
                <w:tab w:val="right" w:pos="8100"/>
              </w:tabs>
              <w:spacing w:line="360" w:lineRule="exact"/>
              <w:rPr>
                <w:rFonts w:hint="eastAsia" w:ascii="黑体" w:hAnsi="黑体" w:eastAsia="黑体" w:cs="黑体"/>
                <w:color w:val="000000"/>
                <w:szCs w:val="21"/>
              </w:rPr>
            </w:pPr>
            <w:r>
              <w:rPr>
                <w:rFonts w:hint="eastAsia" w:ascii="黑体" w:hAnsi="黑体" w:eastAsia="黑体" w:cs="黑体"/>
                <w:color w:val="000000"/>
                <w:szCs w:val="21"/>
              </w:rPr>
              <w:t>人民币           （小写：    元）</w:t>
            </w:r>
          </w:p>
        </w:tc>
      </w:tr>
    </w:tbl>
    <w:p w14:paraId="60231FCF">
      <w:pPr>
        <w:pStyle w:val="16"/>
        <w:ind w:left="0" w:leftChars="0"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备注：每次付款前乙方需向甲方提供</w:t>
      </w:r>
      <w:r>
        <w:rPr>
          <w:rFonts w:ascii="Times New Roman" w:hAnsi="Times New Roman" w:eastAsia="宋体" w:cs="Times New Roman"/>
          <w:color w:val="000000"/>
          <w:sz w:val="24"/>
          <w:u w:val="single"/>
        </w:rPr>
        <w:t>电子发票普票</w:t>
      </w:r>
      <w:r>
        <w:rPr>
          <w:rFonts w:ascii="Times New Roman" w:hAnsi="Times New Roman" w:eastAsia="宋体" w:cs="Times New Roman"/>
          <w:color w:val="000000"/>
          <w:sz w:val="24"/>
        </w:rPr>
        <w:t>。</w:t>
      </w:r>
    </w:p>
    <w:p w14:paraId="204A023D">
      <w:pPr>
        <w:pStyle w:val="16"/>
        <w:numPr>
          <w:ilvl w:val="0"/>
          <w:numId w:val="53"/>
        </w:numPr>
        <w:tabs>
          <w:tab w:val="left" w:pos="482"/>
          <w:tab w:val="clear" w:pos="210"/>
        </w:tabs>
        <w:ind w:left="901" w:leftChars="0" w:hanging="420" w:firstLineChars="0"/>
        <w:rPr>
          <w:rFonts w:hint="eastAsia" w:ascii="宋体" w:hAnsi="宋体" w:eastAsia="宋体" w:cs="宋体"/>
          <w:b w:val="0"/>
          <w:color w:val="000000"/>
          <w:sz w:val="24"/>
        </w:rPr>
      </w:pPr>
      <w:r>
        <w:rPr>
          <w:rFonts w:ascii="Times New Roman" w:hAnsi="Times New Roman" w:eastAsia="宋体" w:cs="Times New Roman"/>
          <w:color w:val="000000"/>
          <w:sz w:val="24"/>
        </w:rPr>
        <w:t>以上费用不包含地形测绘费。</w:t>
      </w:r>
    </w:p>
    <w:p w14:paraId="46A954C8">
      <w:pPr>
        <w:pStyle w:val="16"/>
        <w:numPr>
          <w:ilvl w:val="0"/>
          <w:numId w:val="53"/>
        </w:numPr>
        <w:tabs>
          <w:tab w:val="left" w:pos="482"/>
          <w:tab w:val="clear" w:pos="210"/>
        </w:tabs>
        <w:ind w:left="901" w:leftChars="0" w:hanging="420" w:firstLineChars="0"/>
        <w:rPr>
          <w:rFonts w:hint="eastAsia" w:ascii="宋体" w:hAnsi="宋体" w:eastAsia="宋体" w:cs="宋体"/>
          <w:b w:val="0"/>
          <w:sz w:val="24"/>
        </w:rPr>
      </w:pPr>
      <w:r>
        <w:rPr>
          <w:rFonts w:ascii="Times New Roman" w:hAnsi="Times New Roman" w:eastAsia="宋体" w:cs="Times New Roman"/>
          <w:sz w:val="24"/>
        </w:rPr>
        <w:t>甲方未支付乙方上一阶段节点费用，乙方有权拒绝提交当前阶段设计成果。如因乙方原因导致甲方延迟付款的，乙方不得以此怠于或拒绝履行合同义务。</w:t>
      </w:r>
    </w:p>
    <w:p w14:paraId="43722BBD">
      <w:pPr>
        <w:pStyle w:val="16"/>
        <w:numPr>
          <w:ilvl w:val="0"/>
          <w:numId w:val="53"/>
        </w:numPr>
        <w:tabs>
          <w:tab w:val="left" w:pos="482"/>
          <w:tab w:val="clear" w:pos="210"/>
        </w:tabs>
        <w:ind w:left="901" w:leftChars="0" w:hanging="420" w:firstLineChars="0"/>
        <w:rPr>
          <w:rFonts w:hint="eastAsia" w:ascii="宋体" w:hAnsi="宋体" w:eastAsia="宋体" w:cs="宋体"/>
          <w:b w:val="0"/>
          <w:sz w:val="24"/>
        </w:rPr>
      </w:pPr>
      <w:r>
        <w:rPr>
          <w:rFonts w:ascii="Times New Roman" w:hAnsi="Times New Roman" w:eastAsia="宋体" w:cs="Times New Roman"/>
          <w:sz w:val="24"/>
        </w:rPr>
        <w:t>本合同约定的设计费只包含乙方整体一次性提交设计成果的设计费用。</w:t>
      </w:r>
    </w:p>
    <w:p w14:paraId="7FC5922F">
      <w:pPr>
        <w:pStyle w:val="16"/>
        <w:numPr>
          <w:ilvl w:val="0"/>
          <w:numId w:val="53"/>
        </w:numPr>
        <w:tabs>
          <w:tab w:val="left" w:pos="482"/>
          <w:tab w:val="clear" w:pos="210"/>
        </w:tabs>
        <w:ind w:left="901" w:leftChars="0" w:hanging="420" w:firstLineChars="0"/>
        <w:rPr>
          <w:rFonts w:hint="eastAsia" w:ascii="宋体" w:hAnsi="宋体" w:eastAsia="宋体" w:cs="宋体"/>
          <w:b w:val="0"/>
          <w:sz w:val="24"/>
        </w:rPr>
      </w:pPr>
      <w:r>
        <w:rPr>
          <w:rFonts w:ascii="Times New Roman" w:hAnsi="Times New Roman" w:eastAsia="宋体" w:cs="Times New Roman"/>
          <w:sz w:val="24"/>
        </w:rPr>
        <w:t>本设计费总额是在本合同约定设计面积范围内的总设计费，如甲方需要增加乙方服务内容，则需要按实际增加内容另行计费并签订补充协议。</w:t>
      </w:r>
    </w:p>
    <w:p w14:paraId="05619438">
      <w:pPr>
        <w:pStyle w:val="16"/>
        <w:numPr>
          <w:ilvl w:val="0"/>
          <w:numId w:val="53"/>
        </w:numPr>
        <w:tabs>
          <w:tab w:val="left" w:pos="482"/>
          <w:tab w:val="clear" w:pos="210"/>
        </w:tabs>
        <w:ind w:left="901" w:leftChars="0" w:hanging="420" w:firstLineChars="0"/>
        <w:rPr>
          <w:rFonts w:ascii="Times New Roman" w:hAnsi="Times New Roman" w:eastAsia="宋体" w:cs="Times New Roman"/>
          <w:b w:val="0"/>
          <w:sz w:val="24"/>
        </w:rPr>
      </w:pPr>
      <w:r>
        <w:rPr>
          <w:rFonts w:ascii="Times New Roman" w:hAnsi="Times New Roman" w:eastAsia="宋体" w:cs="Times New Roman"/>
          <w:sz w:val="24"/>
        </w:rPr>
        <w:t>其他费用：</w:t>
      </w:r>
    </w:p>
    <w:p w14:paraId="515B0A8E">
      <w:pPr>
        <w:pStyle w:val="16"/>
        <w:numPr>
          <w:ilvl w:val="0"/>
          <w:numId w:val="54"/>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乙方有义务进行现场踏勘、方案汇报、设计交底等必要的技术到场工作，有限次数差旅费用自理；</w:t>
      </w:r>
    </w:p>
    <w:p w14:paraId="5522297F">
      <w:pPr>
        <w:pStyle w:val="16"/>
        <w:numPr>
          <w:ilvl w:val="0"/>
          <w:numId w:val="54"/>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甲方委托乙方承担本合同内容之外的工作服务，甲方应向乙方增补费用。</w:t>
      </w:r>
    </w:p>
    <w:p w14:paraId="79E22869">
      <w:pPr>
        <w:pStyle w:val="2"/>
        <w:tabs>
          <w:tab w:val="left" w:pos="482"/>
        </w:tabs>
        <w:ind w:left="0" w:leftChars="0" w:firstLine="482" w:firstLineChars="200"/>
      </w:pPr>
      <w:r>
        <w:t>第四条 双方权利义务</w:t>
      </w:r>
    </w:p>
    <w:p w14:paraId="56734C72">
      <w:pPr>
        <w:pStyle w:val="3"/>
        <w:numPr>
          <w:ilvl w:val="0"/>
          <w:numId w:val="55"/>
        </w:numPr>
        <w:tabs>
          <w:tab w:val="left" w:pos="482"/>
          <w:tab w:val="clear" w:pos="210"/>
        </w:tabs>
        <w:ind w:left="964" w:leftChars="0" w:hanging="482" w:firstLineChars="0"/>
        <w:rPr>
          <w:rFonts w:hint="eastAsia" w:ascii="宋体" w:hAnsi="宋体" w:eastAsia="宋体" w:cs="宋体"/>
          <w:b/>
        </w:rPr>
      </w:pPr>
      <w:r>
        <w:t>甲方权利义务</w:t>
      </w:r>
    </w:p>
    <w:p w14:paraId="7F46A222">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甲方应向乙方提供必要的设计条件，如DWG格式实测地形图、电力进出线方向等。</w:t>
      </w:r>
    </w:p>
    <w:p w14:paraId="56BF6EF6">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甲方应为派赴现场有关乙方人员，提供必要的工作生活及交通食宿便利。</w:t>
      </w:r>
    </w:p>
    <w:p w14:paraId="711685CF">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甲方负责协调各政府部门，在设计上的整体配合。</w:t>
      </w:r>
    </w:p>
    <w:p w14:paraId="27AF29D1">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甲方负责本项目的所有报批、报建手续及费用。</w:t>
      </w:r>
    </w:p>
    <w:p w14:paraId="1BAF9E51">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甲方应保护乙方的设计方案、文件、资料图纸、数据，乙方受甲方委托完成的设计成果的知识产权双方共有，未经甲方书面同意，乙方不得以任何形式用作任何其他用途。</w:t>
      </w:r>
    </w:p>
    <w:p w14:paraId="70E3E560">
      <w:pPr>
        <w:pStyle w:val="16"/>
        <w:numPr>
          <w:ilvl w:val="0"/>
          <w:numId w:val="56"/>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甲方以书面形式所提出问题乙方须在七个日历天之内作出答复（设计方案重大变动及重大调整的问题除外）。乙方每阶段工作完成提交成果给甲方后，甲方应在七个日历天内对该阶段成果予以确认或答复，若甲方在七个日历天内未予以确认或发出修改意见，则视为甲方已经认可乙方提交的该阶段成果。</w:t>
      </w:r>
    </w:p>
    <w:p w14:paraId="25FBDF51">
      <w:pPr>
        <w:pStyle w:val="3"/>
        <w:numPr>
          <w:ilvl w:val="0"/>
          <w:numId w:val="55"/>
        </w:numPr>
        <w:tabs>
          <w:tab w:val="left" w:pos="482"/>
          <w:tab w:val="clear" w:pos="210"/>
        </w:tabs>
        <w:ind w:left="964" w:leftChars="0" w:hanging="482" w:firstLineChars="0"/>
        <w:rPr>
          <w:b/>
        </w:rPr>
      </w:pPr>
      <w:r>
        <w:t>乙方权利义务</w:t>
      </w:r>
    </w:p>
    <w:p w14:paraId="07A15775">
      <w:pPr>
        <w:pStyle w:val="16"/>
        <w:numPr>
          <w:ilvl w:val="0"/>
          <w:numId w:val="57"/>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乙方应按国家技术规范、标准、规程、本合同约定及甲方提出的设计要求进行设计，按合同约定的进度要求提交质量合格的设计资料，并对其负责。</w:t>
      </w:r>
    </w:p>
    <w:p w14:paraId="443D7F6B">
      <w:pPr>
        <w:pStyle w:val="16"/>
        <w:numPr>
          <w:ilvl w:val="0"/>
          <w:numId w:val="57"/>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乙方收到甲方支付的首次款后即开始进行设计工作，并按合同约定的内容、进度及份数向甲方交付设计资料、文件及最终的设计成果。</w:t>
      </w:r>
    </w:p>
    <w:p w14:paraId="38AB3DE5">
      <w:pPr>
        <w:pStyle w:val="16"/>
        <w:numPr>
          <w:ilvl w:val="0"/>
          <w:numId w:val="57"/>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乙方应及时回应处理甲方对设计所提建议及要求，并对设计及时进行调整及修改。解释所提供之设计图纸，并进行一定的效果设计说明。</w:t>
      </w:r>
    </w:p>
    <w:p w14:paraId="24AB5BBE">
      <w:pPr>
        <w:pStyle w:val="16"/>
        <w:numPr>
          <w:ilvl w:val="0"/>
          <w:numId w:val="57"/>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sz w:val="24"/>
        </w:rPr>
        <w:t>乙方承诺并保证，提交的全部资料、文件、数据、最终成果的全部内容，均不得侵犯任何第三方的合法权益。</w:t>
      </w:r>
    </w:p>
    <w:p w14:paraId="7E83104A">
      <w:pPr>
        <w:pStyle w:val="16"/>
        <w:numPr>
          <w:ilvl w:val="0"/>
          <w:numId w:val="57"/>
        </w:numPr>
        <w:tabs>
          <w:tab w:val="left" w:pos="482"/>
          <w:tab w:val="clear" w:pos="210"/>
        </w:tabs>
        <w:ind w:left="1202" w:leftChars="0" w:hanging="720" w:firstLineChars="0"/>
        <w:rPr>
          <w:rFonts w:hint="eastAsia" w:ascii="宋体" w:hAnsi="宋体" w:eastAsia="宋体" w:cs="宋体"/>
          <w:b w:val="0"/>
          <w:sz w:val="24"/>
        </w:rPr>
      </w:pPr>
      <w:r>
        <w:rPr>
          <w:rFonts w:ascii="Times New Roman" w:hAnsi="Times New Roman" w:eastAsia="宋体" w:cs="Times New Roman"/>
          <w:color w:val="000000"/>
          <w:sz w:val="24"/>
        </w:rPr>
        <w:t>乙方在履行合同过程中获取的甲方及甲方项目信息应承担保密责任。</w:t>
      </w:r>
    </w:p>
    <w:p w14:paraId="6DDE4761">
      <w:pPr>
        <w:pStyle w:val="2"/>
        <w:tabs>
          <w:tab w:val="left" w:pos="482"/>
        </w:tabs>
        <w:ind w:left="0" w:leftChars="0" w:firstLine="482" w:firstLineChars="200"/>
      </w:pPr>
      <w:r>
        <w:t>第五条 设计变更</w:t>
      </w:r>
    </w:p>
    <w:p w14:paraId="388F52BE">
      <w:pPr>
        <w:pStyle w:val="16"/>
        <w:numPr>
          <w:ilvl w:val="0"/>
          <w:numId w:val="58"/>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各阶段设计成果经甲方书面确认后，如甲方提出重大变更而使设计造成严重返工，则进度时限的推迟由双方通过协议确定，额外设计费用以所需完成的重新设计部分进行计算，设计量以甲乙双方书面确认为准。</w:t>
      </w:r>
    </w:p>
    <w:p w14:paraId="5FE453DA">
      <w:pPr>
        <w:pStyle w:val="16"/>
        <w:numPr>
          <w:ilvl w:val="0"/>
          <w:numId w:val="58"/>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方案设计现场需要修改或变更，须经乙方详细核准并由甲、乙双方签订确认同意修改通知单后方可变更，否则，任意一方擅自单方修改方案而影响本项目的设计效果，由违约方承担全部责任。</w:t>
      </w:r>
    </w:p>
    <w:p w14:paraId="02F70EFA">
      <w:pPr>
        <w:pStyle w:val="2"/>
        <w:tabs>
          <w:tab w:val="left" w:pos="482"/>
        </w:tabs>
        <w:ind w:left="0" w:leftChars="0" w:firstLine="482" w:firstLineChars="200"/>
      </w:pPr>
      <w:r>
        <w:t>第六条 终止合同</w:t>
      </w:r>
    </w:p>
    <w:p w14:paraId="27980583">
      <w:pPr>
        <w:pStyle w:val="16"/>
        <w:ind w:left="499" w:leftChars="0" w:hanging="17" w:firstLineChars="0"/>
        <w:rPr>
          <w:rFonts w:ascii="Times New Roman" w:hAnsi="Times New Roman" w:eastAsia="宋体" w:cs="Times New Roman"/>
          <w:sz w:val="24"/>
        </w:rPr>
      </w:pPr>
      <w:r>
        <w:rPr>
          <w:rFonts w:ascii="Times New Roman" w:hAnsi="Times New Roman" w:eastAsia="宋体" w:cs="Times New Roman"/>
          <w:sz w:val="24"/>
        </w:rPr>
        <w:t>6.1 在合同履行期间，甲方有权解除本合同，但应以书面形式通知乙方。甲方要求终止或解除合同，乙方未开始设计工作的，不退还甲方已付的启动金；已开始设计工作的，甲方应根据乙方已进行的实际工作量，不足一半时，按该阶段设计费的一半支付；超过一半时，按该阶段的实际设计量计算。</w:t>
      </w:r>
    </w:p>
    <w:p w14:paraId="50F6509A">
      <w:pPr>
        <w:pStyle w:val="2"/>
        <w:tabs>
          <w:tab w:val="left" w:pos="482"/>
        </w:tabs>
        <w:ind w:left="0" w:leftChars="0" w:firstLine="482" w:firstLineChars="200"/>
      </w:pPr>
      <w:r>
        <w:t>第七条 违约责任</w:t>
      </w:r>
    </w:p>
    <w:p w14:paraId="640C5115">
      <w:pPr>
        <w:pStyle w:val="16"/>
        <w:numPr>
          <w:ilvl w:val="0"/>
          <w:numId w:val="59"/>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乙方各阶段的设计成果经甲方书面确认后，如果甲方不履行付款义务，每延误一天，应支付乙方该阶段应收设计费的</w:t>
      </w:r>
      <w:r>
        <w:rPr>
          <w:rFonts w:ascii="Times New Roman" w:hAnsi="Times New Roman" w:eastAsia="宋体" w:cs="Times New Roman"/>
          <w:sz w:val="24"/>
          <w:u w:val="single"/>
        </w:rPr>
        <w:t>千分之二</w:t>
      </w:r>
      <w:r>
        <w:rPr>
          <w:rFonts w:ascii="Times New Roman" w:hAnsi="Times New Roman" w:eastAsia="宋体" w:cs="Times New Roman"/>
          <w:sz w:val="24"/>
        </w:rPr>
        <w:t>作为违约金，经协商后甲方仍未履行付款义务的，则乙方有权提出停止执行合同并保留向甲方收取已完成设计工作和正在进行的设计阶段的设计费的权利。</w:t>
      </w:r>
    </w:p>
    <w:p w14:paraId="23EC4DE2">
      <w:pPr>
        <w:pStyle w:val="16"/>
        <w:numPr>
          <w:ilvl w:val="0"/>
          <w:numId w:val="59"/>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合同生效且乙方收到甲方支付的启动后，乙方无故要求终止或解除合同，乙方应退还已收取的全部设计费用。</w:t>
      </w:r>
    </w:p>
    <w:p w14:paraId="736EB857">
      <w:pPr>
        <w:pStyle w:val="2"/>
        <w:tabs>
          <w:tab w:val="left" w:pos="482"/>
        </w:tabs>
        <w:ind w:left="0" w:leftChars="0" w:firstLine="482" w:firstLineChars="200"/>
      </w:pPr>
      <w:r>
        <w:t>第八条　 附则</w:t>
      </w:r>
    </w:p>
    <w:p w14:paraId="1C1F2215">
      <w:pPr>
        <w:pStyle w:val="16"/>
        <w:numPr>
          <w:ilvl w:val="0"/>
          <w:numId w:val="60"/>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双方同意如对本合同内之工程引起或涉及其他有关事项之争议，将通过友好协商的办法解决；若协商不成，任何一方均可向</w:t>
      </w:r>
      <w:r>
        <w:rPr>
          <w:rFonts w:ascii="Times New Roman" w:hAnsi="Times New Roman" w:eastAsia="宋体" w:cs="Times New Roman"/>
          <w:sz w:val="24"/>
          <w:u w:val="single"/>
        </w:rPr>
        <w:t>甲方所在地</w:t>
      </w:r>
      <w:r>
        <w:rPr>
          <w:rFonts w:ascii="Times New Roman" w:hAnsi="Times New Roman" w:eastAsia="宋体" w:cs="Times New Roman"/>
          <w:sz w:val="24"/>
        </w:rPr>
        <w:t>人民法院提起诉讼。</w:t>
      </w:r>
    </w:p>
    <w:p w14:paraId="0720E2EA">
      <w:pPr>
        <w:pStyle w:val="16"/>
        <w:numPr>
          <w:ilvl w:val="0"/>
          <w:numId w:val="60"/>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本合同及合同条款正文如需增订、修删，必须由双方协商；经甲乙双方协商签订盖章后的补充协议应按顺序编号，本合同与补充协议不一致时，应按补充协议的最新约定执行。</w:t>
      </w:r>
    </w:p>
    <w:p w14:paraId="64D19989">
      <w:pPr>
        <w:pStyle w:val="16"/>
        <w:numPr>
          <w:ilvl w:val="0"/>
          <w:numId w:val="60"/>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本合同自双方签字盖章之日起生效，合同有效期为自本合同签字盖章之日起至项目竣工验收完毕为止。</w:t>
      </w:r>
    </w:p>
    <w:p w14:paraId="443ED21B">
      <w:pPr>
        <w:pStyle w:val="16"/>
        <w:numPr>
          <w:ilvl w:val="0"/>
          <w:numId w:val="60"/>
        </w:numPr>
        <w:tabs>
          <w:tab w:val="left" w:pos="482"/>
          <w:tab w:val="clear" w:pos="210"/>
        </w:tabs>
        <w:ind w:left="964" w:leftChars="0" w:hanging="482" w:firstLineChars="0"/>
        <w:rPr>
          <w:rFonts w:hint="eastAsia" w:ascii="宋体" w:hAnsi="宋体" w:eastAsia="宋体" w:cs="宋体"/>
          <w:b w:val="0"/>
          <w:sz w:val="24"/>
        </w:rPr>
      </w:pPr>
      <w:r>
        <w:rPr>
          <w:rFonts w:ascii="Times New Roman" w:hAnsi="Times New Roman" w:eastAsia="宋体" w:cs="Times New Roman"/>
          <w:sz w:val="24"/>
        </w:rPr>
        <w:t>本合同</w:t>
      </w:r>
      <w:r>
        <w:rPr>
          <w:rFonts w:ascii="Times New Roman" w:hAnsi="Times New Roman" w:eastAsia="宋体" w:cs="Times New Roman"/>
          <w:sz w:val="24"/>
          <w:u w:val="single"/>
        </w:rPr>
        <w:t>一式肆份</w:t>
      </w:r>
      <w:r>
        <w:rPr>
          <w:rFonts w:ascii="Times New Roman" w:hAnsi="Times New Roman" w:eastAsia="宋体" w:cs="Times New Roman"/>
          <w:sz w:val="24"/>
        </w:rPr>
        <w:t>，甲方</w:t>
      </w:r>
      <w:r>
        <w:rPr>
          <w:rFonts w:ascii="Times New Roman" w:hAnsi="Times New Roman" w:eastAsia="宋体" w:cs="Times New Roman"/>
          <w:sz w:val="24"/>
          <w:u w:val="single"/>
        </w:rPr>
        <w:t>贰份</w:t>
      </w:r>
      <w:r>
        <w:rPr>
          <w:rFonts w:ascii="Times New Roman" w:hAnsi="Times New Roman" w:eastAsia="宋体" w:cs="Times New Roman"/>
          <w:sz w:val="24"/>
        </w:rPr>
        <w:t>、乙方</w:t>
      </w:r>
      <w:r>
        <w:rPr>
          <w:rFonts w:ascii="Times New Roman" w:hAnsi="Times New Roman" w:eastAsia="宋体" w:cs="Times New Roman"/>
          <w:sz w:val="24"/>
          <w:u w:val="single"/>
        </w:rPr>
        <w:t>贰份</w:t>
      </w:r>
      <w:r>
        <w:rPr>
          <w:rFonts w:ascii="Times New Roman" w:hAnsi="Times New Roman" w:eastAsia="宋体" w:cs="Times New Roman"/>
          <w:sz w:val="24"/>
        </w:rPr>
        <w:t>，具有同等法律效力。</w:t>
      </w:r>
    </w:p>
    <w:tbl>
      <w:tblPr>
        <w:tblStyle w:val="32"/>
        <w:tblpPr w:leftFromText="180" w:rightFromText="180" w:vertAnchor="text" w:horzAnchor="margin" w:tblpY="136"/>
        <w:tblW w:w="5019" w:type="pct"/>
        <w:tblInd w:w="0" w:type="dxa"/>
        <w:tblLayout w:type="autofit"/>
        <w:tblCellMar>
          <w:top w:w="0" w:type="dxa"/>
          <w:left w:w="108" w:type="dxa"/>
          <w:bottom w:w="0" w:type="dxa"/>
          <w:right w:w="108" w:type="dxa"/>
        </w:tblCellMar>
      </w:tblPr>
      <w:tblGrid>
        <w:gridCol w:w="4442"/>
        <w:gridCol w:w="4126"/>
      </w:tblGrid>
      <w:tr w14:paraId="0BCE0D8E">
        <w:tblPrEx>
          <w:tblCellMar>
            <w:top w:w="0" w:type="dxa"/>
            <w:left w:w="108" w:type="dxa"/>
            <w:bottom w:w="0" w:type="dxa"/>
            <w:right w:w="108" w:type="dxa"/>
          </w:tblCellMar>
        </w:tblPrEx>
        <w:trPr>
          <w:trHeight w:val="624" w:hRule="atLeast"/>
        </w:trPr>
        <w:tc>
          <w:tcPr>
            <w:tcW w:w="2592" w:type="pct"/>
            <w:noWrap w:val="0"/>
            <w:vAlign w:val="top"/>
          </w:tcPr>
          <w:p w14:paraId="7F483D57">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 xml:space="preserve">甲方： </w:t>
            </w:r>
          </w:p>
        </w:tc>
        <w:tc>
          <w:tcPr>
            <w:tcW w:w="2408" w:type="pct"/>
            <w:noWrap w:val="0"/>
            <w:vAlign w:val="top"/>
          </w:tcPr>
          <w:p w14:paraId="34BB1E1B">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 xml:space="preserve">乙方： </w:t>
            </w:r>
          </w:p>
        </w:tc>
      </w:tr>
      <w:tr w14:paraId="59FA659C">
        <w:tblPrEx>
          <w:tblCellMar>
            <w:top w:w="0" w:type="dxa"/>
            <w:left w:w="108" w:type="dxa"/>
            <w:bottom w:w="0" w:type="dxa"/>
            <w:right w:w="108" w:type="dxa"/>
          </w:tblCellMar>
        </w:tblPrEx>
        <w:trPr>
          <w:trHeight w:val="624" w:hRule="atLeast"/>
        </w:trPr>
        <w:tc>
          <w:tcPr>
            <w:tcW w:w="2592" w:type="pct"/>
            <w:noWrap w:val="0"/>
            <w:vAlign w:val="top"/>
          </w:tcPr>
          <w:p w14:paraId="6E76748D">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法人或代理人签字：</w:t>
            </w:r>
          </w:p>
        </w:tc>
        <w:tc>
          <w:tcPr>
            <w:tcW w:w="2408" w:type="pct"/>
            <w:noWrap w:val="0"/>
            <w:vAlign w:val="top"/>
          </w:tcPr>
          <w:p w14:paraId="70A0A614">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法人或代理人签字：</w:t>
            </w:r>
          </w:p>
        </w:tc>
      </w:tr>
      <w:tr w14:paraId="1C5CB454">
        <w:tblPrEx>
          <w:tblCellMar>
            <w:top w:w="0" w:type="dxa"/>
            <w:left w:w="108" w:type="dxa"/>
            <w:bottom w:w="0" w:type="dxa"/>
            <w:right w:w="108" w:type="dxa"/>
          </w:tblCellMar>
        </w:tblPrEx>
        <w:trPr>
          <w:trHeight w:val="624" w:hRule="atLeast"/>
        </w:trPr>
        <w:tc>
          <w:tcPr>
            <w:tcW w:w="2592" w:type="pct"/>
            <w:noWrap w:val="0"/>
            <w:vAlign w:val="top"/>
          </w:tcPr>
          <w:p w14:paraId="70064988">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地址：</w:t>
            </w:r>
          </w:p>
        </w:tc>
        <w:tc>
          <w:tcPr>
            <w:tcW w:w="2408" w:type="pct"/>
            <w:noWrap w:val="0"/>
            <w:vAlign w:val="top"/>
          </w:tcPr>
          <w:p w14:paraId="03F2549D">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 xml:space="preserve">地址： </w:t>
            </w:r>
          </w:p>
        </w:tc>
      </w:tr>
      <w:tr w14:paraId="22093B9D">
        <w:tblPrEx>
          <w:tblCellMar>
            <w:top w:w="0" w:type="dxa"/>
            <w:left w:w="108" w:type="dxa"/>
            <w:bottom w:w="0" w:type="dxa"/>
            <w:right w:w="108" w:type="dxa"/>
          </w:tblCellMar>
        </w:tblPrEx>
        <w:trPr>
          <w:trHeight w:val="624" w:hRule="atLeast"/>
        </w:trPr>
        <w:tc>
          <w:tcPr>
            <w:tcW w:w="2592" w:type="pct"/>
            <w:noWrap w:val="0"/>
            <w:vAlign w:val="top"/>
          </w:tcPr>
          <w:p w14:paraId="0BBD2CEA">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税号：</w:t>
            </w:r>
          </w:p>
        </w:tc>
        <w:tc>
          <w:tcPr>
            <w:tcW w:w="2408" w:type="pct"/>
            <w:noWrap w:val="0"/>
            <w:vAlign w:val="top"/>
          </w:tcPr>
          <w:p w14:paraId="0CF871BE">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税号：</w:t>
            </w:r>
          </w:p>
        </w:tc>
      </w:tr>
      <w:tr w14:paraId="408E1099">
        <w:tblPrEx>
          <w:tblCellMar>
            <w:top w:w="0" w:type="dxa"/>
            <w:left w:w="108" w:type="dxa"/>
            <w:bottom w:w="0" w:type="dxa"/>
            <w:right w:w="108" w:type="dxa"/>
          </w:tblCellMar>
        </w:tblPrEx>
        <w:trPr>
          <w:trHeight w:val="624" w:hRule="atLeast"/>
        </w:trPr>
        <w:tc>
          <w:tcPr>
            <w:tcW w:w="2592" w:type="pct"/>
            <w:noWrap w:val="0"/>
            <w:vAlign w:val="top"/>
          </w:tcPr>
          <w:p w14:paraId="14F0FA8E">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日期：</w:t>
            </w:r>
          </w:p>
        </w:tc>
        <w:tc>
          <w:tcPr>
            <w:tcW w:w="2408" w:type="pct"/>
            <w:noWrap w:val="0"/>
            <w:vAlign w:val="top"/>
          </w:tcPr>
          <w:p w14:paraId="273CDC93">
            <w:pPr>
              <w:keepNext/>
              <w:keepLines/>
              <w:widowControl w:val="0"/>
              <w:spacing w:before="0" w:after="0" w:line="400" w:lineRule="exact"/>
              <w:ind w:left="840" w:hanging="960" w:hangingChars="400"/>
              <w:jc w:val="both"/>
              <w:outlineLvl w:val="9"/>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kern w:val="2"/>
                <w:sz w:val="24"/>
                <w:szCs w:val="24"/>
                <w:lang w:val="en-US" w:eastAsia="zh-CN" w:bidi="ar-SA"/>
              </w:rPr>
              <w:t>日期：</w:t>
            </w:r>
          </w:p>
        </w:tc>
      </w:tr>
    </w:tbl>
    <w:p w14:paraId="54614964">
      <w:pPr>
        <w:rPr>
          <w:rFonts w:hint="eastAsia" w:ascii="黑体" w:hAnsi="黑体" w:eastAsia="黑体" w:cs="黑体"/>
          <w:kern w:val="0"/>
          <w:sz w:val="24"/>
          <w:szCs w:val="24"/>
        </w:rPr>
      </w:pPr>
    </w:p>
    <w:p w14:paraId="15A36355">
      <w:pPr>
        <w:rPr>
          <w:rFonts w:hint="eastAsia" w:ascii="黑体" w:hAnsi="黑体" w:eastAsia="黑体" w:cs="黑体"/>
          <w:kern w:val="0"/>
          <w:sz w:val="24"/>
          <w:szCs w:val="24"/>
        </w:rPr>
      </w:pPr>
    </w:p>
    <w:p w14:paraId="25E09B24">
      <w:pPr>
        <w:rPr>
          <w:rFonts w:hint="eastAsia" w:ascii="黑体" w:hAnsi="黑体" w:eastAsia="黑体" w:cs="黑体"/>
          <w:kern w:val="0"/>
          <w:sz w:val="24"/>
          <w:szCs w:val="24"/>
        </w:rPr>
      </w:pPr>
    </w:p>
    <w:p w14:paraId="1B206098">
      <w:pPr>
        <w:rPr>
          <w:rFonts w:hint="eastAsia" w:ascii="黑体" w:hAnsi="黑体" w:eastAsia="黑体" w:cs="黑体"/>
          <w:kern w:val="0"/>
          <w:sz w:val="24"/>
          <w:szCs w:val="24"/>
        </w:rPr>
      </w:pPr>
    </w:p>
    <w:p w14:paraId="6D8D13C8">
      <w:pPr>
        <w:rPr>
          <w:rFonts w:hint="eastAsia" w:ascii="黑体" w:hAnsi="黑体" w:eastAsia="黑体" w:cs="黑体"/>
          <w:kern w:val="0"/>
          <w:sz w:val="24"/>
          <w:szCs w:val="24"/>
        </w:rPr>
      </w:pPr>
    </w:p>
    <w:p w14:paraId="52C2168B">
      <w:pPr>
        <w:rPr>
          <w:rFonts w:hint="eastAsia" w:ascii="黑体" w:hAnsi="黑体" w:eastAsia="黑体" w:cs="黑体"/>
          <w:kern w:val="0"/>
          <w:sz w:val="24"/>
          <w:szCs w:val="24"/>
        </w:rPr>
      </w:pPr>
    </w:p>
    <w:p w14:paraId="18F027F3">
      <w:pPr>
        <w:keepNext w:val="0"/>
        <w:keepLines w:val="0"/>
        <w:pageBreakBefore w:val="0"/>
        <w:widowControl w:val="0"/>
        <w:kinsoku/>
        <w:wordWrap/>
        <w:overflowPunct/>
        <w:topLinePunct w:val="0"/>
        <w:autoSpaceDE/>
        <w:autoSpaceDN/>
        <w:bidi w:val="0"/>
        <w:adjustRightInd/>
        <w:spacing w:line="56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 </w:t>
      </w:r>
    </w:p>
    <w:p w14:paraId="122421E5">
      <w:r>
        <w:br w:type="page"/>
      </w:r>
    </w:p>
    <w:p w14:paraId="1F5607CE">
      <w:pPr>
        <w:pStyle w:val="91"/>
        <w:numPr>
          <w:ilvl w:val="0"/>
          <w:numId w:val="61"/>
        </w:numPr>
        <w:tabs>
          <w:tab w:val="left" w:pos="1842"/>
          <w:tab w:val="clear" w:pos="210"/>
        </w:tabs>
        <w:ind w:left="0" w:leftChars="0" w:firstLine="640" w:firstLineChars="200"/>
        <w:outlineLvl w:val="0"/>
        <w:rPr>
          <w:b w:val="0"/>
          <w:highlight w:val="none"/>
        </w:rPr>
      </w:pPr>
      <w:r>
        <w:rPr>
          <w:highlight w:val="none"/>
        </w:rPr>
        <w:t>采购内容及服务要求</w:t>
      </w:r>
      <w:bookmarkEnd w:id="66"/>
    </w:p>
    <w:bookmarkEnd w:id="29"/>
    <w:bookmarkEnd w:id="30"/>
    <w:bookmarkEnd w:id="31"/>
    <w:p w14:paraId="15EAF4C1">
      <w:pPr>
        <w:pStyle w:val="2"/>
        <w:numPr>
          <w:ilvl w:val="0"/>
          <w:numId w:val="62"/>
        </w:numPr>
        <w:tabs>
          <w:tab w:val="left" w:pos="963"/>
        </w:tabs>
        <w:topLinePunct w:val="0"/>
        <w:ind w:left="0" w:leftChars="0" w:firstLine="482" w:firstLineChars="200"/>
        <w:rPr>
          <w:b/>
          <w:highlight w:val="none"/>
        </w:rPr>
      </w:pPr>
      <w:bookmarkStart w:id="77" w:name="_Toc7193"/>
      <w:bookmarkStart w:id="78" w:name="_Toc17706"/>
      <w:bookmarkStart w:id="79" w:name="_Toc32103"/>
      <w:r>
        <w:rPr>
          <w:highlight w:val="none"/>
        </w:rPr>
        <w:t>采购内容</w:t>
      </w:r>
    </w:p>
    <w:p w14:paraId="088E3C3D">
      <w:pPr>
        <w:pStyle w:val="16"/>
        <w:numPr>
          <w:ilvl w:val="0"/>
          <w:numId w:val="63"/>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项目名称：岚皋县中心城区导视标识系统规划设计。</w:t>
      </w:r>
    </w:p>
    <w:p w14:paraId="5751B037">
      <w:pPr>
        <w:pStyle w:val="16"/>
        <w:numPr>
          <w:ilvl w:val="0"/>
          <w:numId w:val="63"/>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采购预算：270000.00元。</w:t>
      </w:r>
    </w:p>
    <w:p w14:paraId="08C79996">
      <w:pPr>
        <w:pStyle w:val="16"/>
        <w:numPr>
          <w:ilvl w:val="0"/>
          <w:numId w:val="63"/>
        </w:numPr>
        <w:tabs>
          <w:tab w:val="left" w:pos="780"/>
          <w:tab w:val="clear" w:pos="210"/>
        </w:tabs>
        <w:ind w:left="0" w:leftChars="0" w:firstLine="482" w:firstLineChars="20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服务期：</w:t>
      </w:r>
      <w:r>
        <w:rPr>
          <w:rFonts w:ascii="Times New Roman" w:hAnsi="Times New Roman" w:eastAsia="宋体" w:cs="Times New Roman"/>
          <w:color w:val="auto"/>
          <w:sz w:val="24"/>
          <w:highlight w:val="none"/>
        </w:rPr>
        <w:t xml:space="preserve">自签订合同之日起 </w:t>
      </w:r>
      <w:r>
        <w:rPr>
          <w:rFonts w:hint="eastAsia" w:cs="Times New Roman"/>
          <w:color w:val="auto"/>
          <w:sz w:val="24"/>
          <w:highlight w:val="none"/>
          <w:lang w:val="en-US" w:eastAsia="zh-CN"/>
        </w:rPr>
        <w:t>90</w:t>
      </w:r>
      <w:r>
        <w:rPr>
          <w:rFonts w:ascii="Times New Roman" w:hAnsi="Times New Roman" w:eastAsia="宋体" w:cs="Times New Roman"/>
          <w:color w:val="auto"/>
          <w:sz w:val="24"/>
          <w:highlight w:val="none"/>
        </w:rPr>
        <w:t>日内完成。</w:t>
      </w:r>
    </w:p>
    <w:p w14:paraId="41BB1FD1">
      <w:pPr>
        <w:pStyle w:val="2"/>
        <w:numPr>
          <w:ilvl w:val="0"/>
          <w:numId w:val="62"/>
        </w:numPr>
        <w:tabs>
          <w:tab w:val="left" w:pos="963"/>
        </w:tabs>
        <w:topLinePunct w:val="0"/>
        <w:ind w:left="0" w:leftChars="0" w:firstLine="482" w:firstLineChars="200"/>
        <w:rPr>
          <w:b/>
          <w:color w:val="auto"/>
          <w:highlight w:val="none"/>
        </w:rPr>
      </w:pPr>
      <w:r>
        <w:rPr>
          <w:color w:val="auto"/>
          <w:highlight w:val="none"/>
        </w:rPr>
        <w:t>技术服务需求</w:t>
      </w:r>
    </w:p>
    <w:p w14:paraId="27CC55D5">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color w:val="auto"/>
          <w:sz w:val="24"/>
          <w:highlight w:val="none"/>
        </w:rPr>
        <w:t>伴随安康至岚皋（陕渝界）高速公路通车运营，岚皋县迎来融入“西安－安康－重庆”旅游黄金走廊的重大战略机遇。为充分释放交通枢纽辐射效应，补齐中心城区旅游交通设施</w:t>
      </w:r>
      <w:r>
        <w:rPr>
          <w:rFonts w:ascii="Times New Roman" w:hAnsi="Times New Roman" w:eastAsia="宋体" w:cs="Times New Roman"/>
          <w:sz w:val="24"/>
        </w:rPr>
        <w:t>短板，系统开展道路导视标识系统专项规划设计。项目旨在构建功能复合、文化彰显、智慧高效、全龄友好的导视环境，助力4A级景区创建及城市品质提升。</w:t>
      </w:r>
    </w:p>
    <w:p w14:paraId="5DDD9208">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本项目实施范围覆盖岚皋县中心城区主次干道，</w:t>
      </w:r>
      <w:bookmarkStart w:id="80" w:name="_Hlk235783252"/>
      <w:r>
        <w:rPr>
          <w:rFonts w:ascii="Times New Roman" w:hAnsi="Times New Roman" w:eastAsia="宋体" w:cs="Times New Roman"/>
          <w:sz w:val="24"/>
        </w:rPr>
        <w:t>构建“点－线－面”协同的全域导视网络。通过交通流线的系统梳理、标识体系的分级构建、文化元素的符号转译、智慧交互的技术植入等手段，构建功能实用性与视觉美感兼具、地域文脉与现代科技和谐共生的高品质导视环境</w:t>
      </w:r>
      <w:bookmarkEnd w:id="80"/>
      <w:r>
        <w:rPr>
          <w:rFonts w:ascii="Times New Roman" w:hAnsi="Times New Roman" w:eastAsia="宋体" w:cs="Times New Roman"/>
          <w:sz w:val="24"/>
        </w:rPr>
        <w:t>，具体实施内容分为4大模块如下：</w:t>
      </w:r>
    </w:p>
    <w:p w14:paraId="1515DF1E">
      <w:pPr>
        <w:pStyle w:val="3"/>
        <w:numPr>
          <w:ilvl w:val="0"/>
          <w:numId w:val="64"/>
        </w:numPr>
        <w:tabs>
          <w:tab w:val="left" w:pos="1204"/>
        </w:tabs>
        <w:topLinePunct w:val="0"/>
        <w:ind w:left="0" w:leftChars="0" w:firstLine="482" w:firstLineChars="200"/>
      </w:pPr>
      <w:r>
        <w:t>前期研判模块</w:t>
      </w:r>
    </w:p>
    <w:p w14:paraId="4569175B">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基于《道路交通标志和标线》（GB 5768）、《旅游景区公共信息导向系统设置规范》（LB/T 013）等标准，开展全域道路标识普查，重点诊断高速下线口至城区核心段的指引盲区、信息断点、视认障碍等问题。</w:t>
      </w:r>
    </w:p>
    <w:tbl>
      <w:tblPr>
        <w:tblStyle w:val="32"/>
        <w:tblW w:w="4999" w:type="pct"/>
        <w:tblInd w:w="0" w:type="dxa"/>
        <w:shd w:val="clear" w:color="auto" w:fill="auto"/>
        <w:tblLayout w:type="autofit"/>
        <w:tblCellMar>
          <w:top w:w="0" w:type="dxa"/>
          <w:left w:w="0" w:type="dxa"/>
          <w:bottom w:w="0" w:type="dxa"/>
          <w:right w:w="0" w:type="dxa"/>
        </w:tblCellMar>
      </w:tblPr>
      <w:tblGrid>
        <w:gridCol w:w="703"/>
        <w:gridCol w:w="1595"/>
        <w:gridCol w:w="6236"/>
      </w:tblGrid>
      <w:tr w14:paraId="1432020F">
        <w:tblPrEx>
          <w:shd w:val="clear" w:color="auto" w:fill="auto"/>
          <w:tblCellMar>
            <w:top w:w="0" w:type="dxa"/>
            <w:left w:w="0" w:type="dxa"/>
            <w:bottom w:w="0" w:type="dxa"/>
            <w:right w:w="0" w:type="dxa"/>
          </w:tblCellMar>
        </w:tblPrEx>
        <w:trPr>
          <w:trHeight w:val="0" w:hRule="atLeast"/>
          <w:tblHeader/>
        </w:trPr>
        <w:tc>
          <w:tcPr>
            <w:tcW w:w="412" w:type="pct"/>
            <w:tcBorders>
              <w:top w:val="single" w:color="000000" w:sz="4" w:space="0"/>
              <w:left w:val="single" w:color="000000" w:sz="4" w:space="0"/>
              <w:bottom w:val="single" w:color="000000" w:sz="4" w:space="0"/>
              <w:right w:val="single" w:color="000000" w:sz="4" w:space="0"/>
              <w:tl2br w:val="nil"/>
            </w:tcBorders>
            <w:shd w:val="clear" w:color="auto" w:fill="auto"/>
            <w:tcMar>
              <w:top w:w="75" w:type="dxa"/>
              <w:left w:w="108" w:type="dxa"/>
              <w:bottom w:w="75" w:type="dxa"/>
              <w:right w:w="108" w:type="dxa"/>
            </w:tcMar>
            <w:vAlign w:val="center"/>
          </w:tcPr>
          <w:p w14:paraId="381AB4D6">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序号</w:t>
            </w:r>
          </w:p>
        </w:tc>
        <w:tc>
          <w:tcPr>
            <w:tcW w:w="93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94A3A42">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服务内容</w:t>
            </w:r>
          </w:p>
        </w:tc>
        <w:tc>
          <w:tcPr>
            <w:tcW w:w="365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879D2C5">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技术要点</w:t>
            </w:r>
          </w:p>
        </w:tc>
      </w:tr>
      <w:tr w14:paraId="083F36B2">
        <w:tblPrEx>
          <w:shd w:val="clear" w:color="auto" w:fill="auto"/>
          <w:tblCellMar>
            <w:top w:w="0" w:type="dxa"/>
            <w:left w:w="0" w:type="dxa"/>
            <w:bottom w:w="0" w:type="dxa"/>
            <w:right w:w="0"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30F36384">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1.1</w:t>
            </w:r>
          </w:p>
        </w:tc>
        <w:tc>
          <w:tcPr>
            <w:tcW w:w="93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3648F147">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现状普查与诊断</w:t>
            </w:r>
          </w:p>
        </w:tc>
        <w:tc>
          <w:tcPr>
            <w:tcW w:w="365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A60A4F7">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依据《道路交通标志和标线》（GB 5768</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2022）、《旅游景区公共信息导向系统设置规范》（LB</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T 013</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2011），对道路进行GIS空间建档，重点诊断高速下线口至城区核心段的指引盲区、信息断点、视认障碍</w:t>
            </w:r>
          </w:p>
        </w:tc>
      </w:tr>
      <w:tr w14:paraId="64E708A2">
        <w:tblPrEx>
          <w:shd w:val="clear" w:color="auto" w:fill="auto"/>
          <w:tblCellMar>
            <w:top w:w="0" w:type="dxa"/>
            <w:left w:w="0" w:type="dxa"/>
            <w:bottom w:w="0" w:type="dxa"/>
            <w:right w:w="0"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661B2BC0">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1.2</w:t>
            </w:r>
          </w:p>
        </w:tc>
        <w:tc>
          <w:tcPr>
            <w:tcW w:w="93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7511097">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空间场景分类</w:t>
            </w:r>
          </w:p>
        </w:tc>
        <w:tc>
          <w:tcPr>
            <w:tcW w:w="365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6ED590B">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完成城市主干道路系统、城镇次干道</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巷道系统、文化旅游节点、公共服务设施、交通枢纽</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商业街区、城乡接合部等6类场景的导视分区规划</w:t>
            </w:r>
          </w:p>
        </w:tc>
      </w:tr>
      <w:tr w14:paraId="25CB3CDE">
        <w:tblPrEx>
          <w:shd w:val="clear" w:color="auto" w:fill="auto"/>
          <w:tblCellMar>
            <w:top w:w="0" w:type="dxa"/>
            <w:left w:w="0" w:type="dxa"/>
            <w:bottom w:w="0" w:type="dxa"/>
            <w:right w:w="0" w:type="dxa"/>
          </w:tblCellMar>
        </w:tblPrEx>
        <w:trPr>
          <w:trHeight w:val="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12A322B">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1.3</w:t>
            </w:r>
          </w:p>
        </w:tc>
        <w:tc>
          <w:tcPr>
            <w:tcW w:w="93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67964255">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踏勘调研</w:t>
            </w:r>
          </w:p>
        </w:tc>
        <w:tc>
          <w:tcPr>
            <w:tcW w:w="365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0574318">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现场踏勘≥30人次，完成交通流线分析、视线分析、现状标识评估；形成《现状问题诊断报告》</w:t>
            </w:r>
          </w:p>
        </w:tc>
      </w:tr>
    </w:tbl>
    <w:p w14:paraId="476169D8">
      <w:pPr>
        <w:pStyle w:val="3"/>
        <w:numPr>
          <w:ilvl w:val="0"/>
          <w:numId w:val="64"/>
        </w:numPr>
        <w:tabs>
          <w:tab w:val="left" w:pos="1204"/>
        </w:tabs>
        <w:topLinePunct w:val="0"/>
        <w:ind w:left="0" w:leftChars="0" w:firstLine="482" w:firstLineChars="200"/>
      </w:pPr>
      <w:r>
        <w:t>方案设计模块</w:t>
      </w:r>
    </w:p>
    <w:p w14:paraId="14D944E2">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构建“外围导入—城区巡游—景点导出”三级导视体系：在高速出入口设置全景导览图与旅游信息屏（解决“第一印象”指引）；在关键节点设置交通指路标志、文化景观标识、智慧二维码标识（融合“巴山文化”符号设计）；补全路名牌、巷弄导引牌、公共设施指引牌，实现“路路有标识、转角有指引”。同步设计主动发光标志、可变信息标志（CMS）等智慧设施，适应夜间及恶劣天气视认需求。</w:t>
      </w:r>
    </w:p>
    <w:tbl>
      <w:tblPr>
        <w:tblStyle w:val="32"/>
        <w:tblW w:w="4999" w:type="pct"/>
        <w:tblInd w:w="0" w:type="dxa"/>
        <w:shd w:val="clear" w:color="auto" w:fill="auto"/>
        <w:tblLayout w:type="autofit"/>
        <w:tblCellMar>
          <w:top w:w="0" w:type="dxa"/>
          <w:left w:w="0" w:type="dxa"/>
          <w:bottom w:w="0" w:type="dxa"/>
          <w:right w:w="0" w:type="dxa"/>
        </w:tblCellMar>
      </w:tblPr>
      <w:tblGrid>
        <w:gridCol w:w="765"/>
        <w:gridCol w:w="1311"/>
        <w:gridCol w:w="6458"/>
      </w:tblGrid>
      <w:tr w14:paraId="0C0FE0B2">
        <w:tblPrEx>
          <w:shd w:val="clear" w:color="auto" w:fill="auto"/>
          <w:tblCellMar>
            <w:top w:w="0" w:type="dxa"/>
            <w:left w:w="0" w:type="dxa"/>
            <w:bottom w:w="0" w:type="dxa"/>
            <w:right w:w="0" w:type="dxa"/>
          </w:tblCellMar>
        </w:tblPrEx>
        <w:trPr>
          <w:trHeight w:val="0" w:hRule="atLeast"/>
          <w:tblHeader/>
        </w:trPr>
        <w:tc>
          <w:tcPr>
            <w:tcW w:w="448" w:type="pct"/>
            <w:tcBorders>
              <w:top w:val="single" w:color="000000" w:sz="4" w:space="0"/>
              <w:left w:val="single" w:color="000000" w:sz="4" w:space="0"/>
              <w:bottom w:val="single" w:color="000000" w:sz="4" w:space="0"/>
              <w:right w:val="single" w:color="000000" w:sz="4" w:space="0"/>
              <w:tl2br w:val="nil"/>
            </w:tcBorders>
            <w:shd w:val="clear" w:color="auto" w:fill="auto"/>
            <w:tcMar>
              <w:top w:w="75" w:type="dxa"/>
              <w:left w:w="108" w:type="dxa"/>
              <w:bottom w:w="75" w:type="dxa"/>
              <w:right w:w="108" w:type="dxa"/>
            </w:tcMar>
            <w:vAlign w:val="center"/>
          </w:tcPr>
          <w:p w14:paraId="0ADF9754">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序号</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68040949">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服务内容</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2875EE8">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技术要点</w:t>
            </w:r>
          </w:p>
        </w:tc>
      </w:tr>
      <w:tr w14:paraId="7C74E186">
        <w:tblPrEx>
          <w:shd w:val="clear" w:color="auto" w:fill="auto"/>
          <w:tblCellMar>
            <w:top w:w="0" w:type="dxa"/>
            <w:left w:w="0" w:type="dxa"/>
            <w:bottom w:w="0" w:type="dxa"/>
            <w:right w:w="0" w:type="dxa"/>
          </w:tblCellMar>
        </w:tblPrEx>
        <w:trPr>
          <w:trHeight w:val="0" w:hRule="atLeast"/>
        </w:trPr>
        <w:tc>
          <w:tcPr>
            <w:tcW w:w="44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63C80C70">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2.1</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B94DF4D">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一级导视：城市道路系统</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D0D0ACF">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城市道路名称标识版式设计；城乡接驳入口点导视设计；城区主路交叉口导视效果图；导视系统视觉规范（色彩体系功能色、识别色、Pantone色标制定）</w:t>
            </w:r>
          </w:p>
        </w:tc>
      </w:tr>
      <w:tr w14:paraId="612956EE">
        <w:tblPrEx>
          <w:shd w:val="clear" w:color="auto" w:fill="auto"/>
          <w:tblCellMar>
            <w:top w:w="0" w:type="dxa"/>
            <w:left w:w="0" w:type="dxa"/>
            <w:bottom w:w="0" w:type="dxa"/>
            <w:right w:w="0" w:type="dxa"/>
          </w:tblCellMar>
        </w:tblPrEx>
        <w:trPr>
          <w:trHeight w:val="0" w:hRule="atLeast"/>
        </w:trPr>
        <w:tc>
          <w:tcPr>
            <w:tcW w:w="44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04BEED71">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2.2</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3D8AE55F">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二级导视：次干道与巷道</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31EF85E6">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道路路名牌系统设计（符合GB 17733）；次干道与小巷道标识设计；双语标识设置（符合DB11</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T 334通则）</w:t>
            </w:r>
          </w:p>
        </w:tc>
      </w:tr>
      <w:tr w14:paraId="5BA34246">
        <w:tblPrEx>
          <w:shd w:val="clear" w:color="auto" w:fill="auto"/>
          <w:tblCellMar>
            <w:top w:w="0" w:type="dxa"/>
            <w:left w:w="0" w:type="dxa"/>
            <w:bottom w:w="0" w:type="dxa"/>
            <w:right w:w="0" w:type="dxa"/>
          </w:tblCellMar>
        </w:tblPrEx>
        <w:trPr>
          <w:trHeight w:val="0" w:hRule="atLeast"/>
        </w:trPr>
        <w:tc>
          <w:tcPr>
            <w:tcW w:w="44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361219D3">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2.3</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FA9100D">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三级导视：旅游导视</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C2BE883">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景点方向导视设计（棕底白字）；从城市道路指引至景区核心区导视设计；图文并茂式景点概览地图牌；游客集散点布点标识；多景点联动路线导视图</w:t>
            </w:r>
          </w:p>
        </w:tc>
      </w:tr>
      <w:tr w14:paraId="6D0D0F1F">
        <w:tblPrEx>
          <w:shd w:val="clear" w:color="auto" w:fill="auto"/>
          <w:tblCellMar>
            <w:top w:w="0" w:type="dxa"/>
            <w:left w:w="0" w:type="dxa"/>
            <w:bottom w:w="0" w:type="dxa"/>
            <w:right w:w="0" w:type="dxa"/>
          </w:tblCellMar>
        </w:tblPrEx>
        <w:trPr>
          <w:trHeight w:val="0" w:hRule="atLeast"/>
        </w:trPr>
        <w:tc>
          <w:tcPr>
            <w:tcW w:w="44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F14D0D3">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2.4</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9B1F372">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四级导视：公共服务设施</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602D511">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停车场导视系统（入口导视、出入口指引、电动汽车充电位指示）；便民服务设施导视（休息区、充电桩、共享单车点标识；医疗点、警务站、失物招领处等位置标识设计）</w:t>
            </w:r>
          </w:p>
        </w:tc>
      </w:tr>
      <w:tr w14:paraId="5647CC69">
        <w:tblPrEx>
          <w:shd w:val="clear" w:color="auto" w:fill="auto"/>
          <w:tblCellMar>
            <w:top w:w="0" w:type="dxa"/>
            <w:left w:w="0" w:type="dxa"/>
            <w:bottom w:w="0" w:type="dxa"/>
            <w:right w:w="0" w:type="dxa"/>
          </w:tblCellMar>
        </w:tblPrEx>
        <w:trPr>
          <w:trHeight w:val="0" w:hRule="atLeast"/>
        </w:trPr>
        <w:tc>
          <w:tcPr>
            <w:tcW w:w="44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4445B4B">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2.5</w:t>
            </w:r>
          </w:p>
        </w:tc>
        <w:tc>
          <w:tcPr>
            <w:tcW w:w="768"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73B83C1">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智慧导视系统设计</w:t>
            </w:r>
          </w:p>
        </w:tc>
        <w:tc>
          <w:tcPr>
            <w:tcW w:w="3783"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0759BCA">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主动发光标志设计（LED面光源，适应雨雾天气）；可变信息标志（CMS）布点规划；智慧二维码标识</w:t>
            </w:r>
          </w:p>
        </w:tc>
      </w:tr>
    </w:tbl>
    <w:p w14:paraId="3FB8E94A">
      <w:pPr>
        <w:pStyle w:val="3"/>
        <w:numPr>
          <w:ilvl w:val="0"/>
          <w:numId w:val="64"/>
        </w:numPr>
        <w:tabs>
          <w:tab w:val="left" w:pos="1204"/>
        </w:tabs>
        <w:topLinePunct w:val="0"/>
        <w:ind w:left="0" w:leftChars="0" w:firstLine="482" w:firstLineChars="200"/>
      </w:pPr>
      <w:r>
        <w:t>落地支撑模块</w:t>
      </w:r>
    </w:p>
    <w:p w14:paraId="2E0527A9">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针对秦巴山区气候特征，采用Ⅴ类微棱镜反光膜、铝合金防锈板、LED面光源等耐候材料，确保标识在雨雾天气及夜间具备高视认性；制定无障碍设计标准（盲文标识、语音播报）；建立多部门协同机制（住建、交通、文旅、民政），统一路名翻译、编号规则及色彩体系（蓝底白字道路指路与棕底白字景区指路相结合），避免“多牌杂立、风格各异”。</w:t>
      </w:r>
    </w:p>
    <w:tbl>
      <w:tblPr>
        <w:tblStyle w:val="32"/>
        <w:tblW w:w="4999" w:type="pct"/>
        <w:tblInd w:w="0" w:type="dxa"/>
        <w:shd w:val="clear" w:color="auto" w:fill="auto"/>
        <w:tblLayout w:type="autofit"/>
        <w:tblCellMar>
          <w:top w:w="0" w:type="dxa"/>
          <w:left w:w="0" w:type="dxa"/>
          <w:bottom w:w="0" w:type="dxa"/>
          <w:right w:w="0" w:type="dxa"/>
        </w:tblCellMar>
      </w:tblPr>
      <w:tblGrid>
        <w:gridCol w:w="684"/>
        <w:gridCol w:w="1897"/>
        <w:gridCol w:w="5953"/>
      </w:tblGrid>
      <w:tr w14:paraId="27AFF7D6">
        <w:tblPrEx>
          <w:shd w:val="clear" w:color="auto" w:fill="auto"/>
          <w:tblCellMar>
            <w:top w:w="0" w:type="dxa"/>
            <w:left w:w="0" w:type="dxa"/>
            <w:bottom w:w="0" w:type="dxa"/>
            <w:right w:w="0" w:type="dxa"/>
          </w:tblCellMar>
        </w:tblPrEx>
        <w:trPr>
          <w:trHeight w:val="0" w:hRule="atLeast"/>
          <w:tblHeader/>
        </w:trPr>
        <w:tc>
          <w:tcPr>
            <w:tcW w:w="401" w:type="pct"/>
            <w:tcBorders>
              <w:top w:val="single" w:color="000000" w:sz="4" w:space="0"/>
              <w:left w:val="single" w:color="000000" w:sz="4" w:space="0"/>
              <w:bottom w:val="single" w:color="000000" w:sz="4" w:space="0"/>
              <w:right w:val="single" w:color="000000" w:sz="4" w:space="0"/>
              <w:tl2br w:val="nil"/>
            </w:tcBorders>
            <w:shd w:val="clear" w:color="auto" w:fill="auto"/>
            <w:tcMar>
              <w:top w:w="75" w:type="dxa"/>
              <w:left w:w="108" w:type="dxa"/>
              <w:bottom w:w="75" w:type="dxa"/>
              <w:right w:w="108" w:type="dxa"/>
            </w:tcMar>
            <w:vAlign w:val="center"/>
          </w:tcPr>
          <w:p w14:paraId="3250FDAE">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序号</w:t>
            </w:r>
          </w:p>
        </w:tc>
        <w:tc>
          <w:tcPr>
            <w:tcW w:w="111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06CC22D">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服务内容</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2DB12AB">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技术要点</w:t>
            </w:r>
          </w:p>
        </w:tc>
      </w:tr>
      <w:tr w14:paraId="74994B47">
        <w:tblPrEx>
          <w:shd w:val="clear" w:color="auto" w:fill="auto"/>
          <w:tblCellMar>
            <w:top w:w="0" w:type="dxa"/>
            <w:left w:w="0" w:type="dxa"/>
            <w:bottom w:w="0" w:type="dxa"/>
            <w:right w:w="0"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0CBCD3D">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3.1</w:t>
            </w:r>
          </w:p>
        </w:tc>
        <w:tc>
          <w:tcPr>
            <w:tcW w:w="111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4824FF6">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材料与工艺标准制定</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8E8E879">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针对秦巴山区气候特征，依据《材料工艺技术规范》：采用Ⅴ类微棱镜反光膜、3mm防锈铝合金板、热浸镀锌立柱、LED面光源等耐候材料标准</w:t>
            </w:r>
          </w:p>
        </w:tc>
      </w:tr>
      <w:tr w14:paraId="7A0CCF87">
        <w:tblPrEx>
          <w:shd w:val="clear" w:color="auto" w:fill="auto"/>
          <w:tblCellMar>
            <w:top w:w="0" w:type="dxa"/>
            <w:left w:w="0" w:type="dxa"/>
            <w:bottom w:w="0" w:type="dxa"/>
            <w:right w:w="0"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E813044">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3.2</w:t>
            </w:r>
          </w:p>
        </w:tc>
        <w:tc>
          <w:tcPr>
            <w:tcW w:w="111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DC30995">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结构安全与无障碍标准</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07F64EE">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依据《无障碍设计标准》：盲文标识、语音播报装置（声光同步）、低位信息牌（80—110cm高度）；标志板平整度≤3mm</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m，抗风压≥0.75kN</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m²结构计算</w:t>
            </w:r>
          </w:p>
        </w:tc>
      </w:tr>
      <w:tr w14:paraId="05D3D795">
        <w:tblPrEx>
          <w:shd w:val="clear" w:color="auto" w:fill="auto"/>
          <w:tblCellMar>
            <w:top w:w="0" w:type="dxa"/>
            <w:left w:w="0" w:type="dxa"/>
            <w:bottom w:w="0" w:type="dxa"/>
            <w:right w:w="0"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19D45A7">
            <w:pPr>
              <w:snapToGrid w:val="0"/>
              <w:spacing w:line="240" w:lineRule="auto"/>
              <w:ind w:left="0" w:leftChars="0" w:right="0" w:rightChars="0" w:firstLine="0" w:firstLineChars="0"/>
              <w:jc w:val="center"/>
              <w:rPr>
                <w:rFonts w:hint="eastAsia" w:ascii="黑体" w:hAnsi="黑体" w:eastAsia="黑体" w:cs="黑体"/>
                <w:color w:val="auto"/>
                <w:sz w:val="24"/>
                <w:szCs w:val="24"/>
                <w:highlight w:val="none"/>
                <w:shd w:val="clear" w:color="auto" w:fill="FFFFFF"/>
              </w:rPr>
            </w:pPr>
            <w:r>
              <w:rPr>
                <w:rFonts w:hint="eastAsia" w:ascii="黑体" w:hAnsi="黑体" w:eastAsia="黑体" w:cs="黑体"/>
                <w:color w:val="auto"/>
                <w:sz w:val="24"/>
                <w:szCs w:val="24"/>
                <w:highlight w:val="none"/>
                <w:shd w:val="clear" w:color="auto" w:fill="FFFFFF"/>
              </w:rPr>
              <w:t>3.3</w:t>
            </w:r>
          </w:p>
        </w:tc>
        <w:tc>
          <w:tcPr>
            <w:tcW w:w="1111"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9B4C1D9">
            <w:pPr>
              <w:snapToGrid w:val="0"/>
              <w:spacing w:line="240" w:lineRule="auto"/>
              <w:ind w:left="0" w:leftChars="0" w:right="0" w:rightChars="0" w:firstLine="0" w:firstLineChars="0"/>
              <w:jc w:val="center"/>
              <w:rPr>
                <w:rFonts w:hint="eastAsia" w:ascii="黑体" w:hAnsi="黑体" w:eastAsia="黑体" w:cs="黑体"/>
                <w:color w:val="auto"/>
                <w:sz w:val="24"/>
                <w:szCs w:val="24"/>
                <w:highlight w:val="none"/>
                <w:shd w:val="clear" w:color="auto" w:fill="FFFFFF"/>
              </w:rPr>
            </w:pPr>
            <w:r>
              <w:rPr>
                <w:rFonts w:hint="eastAsia" w:ascii="黑体" w:hAnsi="黑体" w:eastAsia="黑体" w:cs="黑体"/>
                <w:color w:val="auto"/>
                <w:sz w:val="24"/>
                <w:szCs w:val="24"/>
                <w:highlight w:val="none"/>
                <w:shd w:val="clear" w:color="auto" w:fill="FFFFFF"/>
                <w:lang w:val="en-US" w:eastAsia="zh-CN"/>
              </w:rPr>
              <w:t>图纸</w:t>
            </w:r>
            <w:r>
              <w:rPr>
                <w:rFonts w:hint="eastAsia" w:ascii="黑体" w:hAnsi="黑体" w:eastAsia="黑体" w:cs="黑体"/>
                <w:color w:val="auto"/>
                <w:sz w:val="24"/>
                <w:szCs w:val="24"/>
                <w:highlight w:val="none"/>
                <w:shd w:val="clear" w:color="auto" w:fill="FFFFFF"/>
              </w:rPr>
              <w:t>深化与技术交底</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CF35F35">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各类标牌尺寸标准表、安装高度</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角度</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间距建议值、安装结构与地基处理要求、光源形式（背光</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侧光</w:t>
            </w:r>
            <w:r>
              <w:rPr>
                <w:rFonts w:hint="eastAsia" w:ascii="黑体" w:hAnsi="黑体" w:eastAsia="黑体" w:cs="黑体"/>
                <w:color w:val="000000"/>
                <w:sz w:val="24"/>
                <w:szCs w:val="24"/>
                <w:shd w:val="clear" w:color="auto" w:fill="FFFFFF"/>
                <w:lang w:eastAsia="zh-CN"/>
              </w:rPr>
              <w:t>／</w:t>
            </w:r>
            <w:r>
              <w:rPr>
                <w:rFonts w:hint="eastAsia" w:ascii="黑体" w:hAnsi="黑体" w:eastAsia="黑体" w:cs="黑体"/>
                <w:color w:val="000000"/>
                <w:sz w:val="24"/>
                <w:szCs w:val="24"/>
                <w:shd w:val="clear" w:color="auto" w:fill="FFFFFF"/>
              </w:rPr>
              <w:t>灯箱）、夜间可视距离及测试标准；施工技术交底（≥3次）</w:t>
            </w:r>
          </w:p>
        </w:tc>
      </w:tr>
    </w:tbl>
    <w:p w14:paraId="0E3498D7">
      <w:pPr>
        <w:pStyle w:val="3"/>
        <w:numPr>
          <w:ilvl w:val="0"/>
          <w:numId w:val="64"/>
        </w:numPr>
        <w:tabs>
          <w:tab w:val="left" w:pos="1204"/>
        </w:tabs>
        <w:topLinePunct w:val="0"/>
        <w:ind w:left="0" w:leftChars="0" w:firstLine="482" w:firstLineChars="200"/>
      </w:pPr>
      <w:r>
        <w:t>成果交付模块</w:t>
      </w:r>
    </w:p>
    <w:p w14:paraId="25A11827">
      <w:pPr>
        <w:pStyle w:val="16"/>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提交《岚皋县中心城区导视标识系统规划设计》全套成果，包括：标识系统规划布局图、关键节点深化设计图、标志版面标准制图、材料工艺说明、投资估算及实施时序。</w:t>
      </w:r>
    </w:p>
    <w:tbl>
      <w:tblPr>
        <w:tblStyle w:val="32"/>
        <w:tblW w:w="4999" w:type="pct"/>
        <w:jc w:val="center"/>
        <w:shd w:val="clear" w:color="auto" w:fill="auto"/>
        <w:tblLayout w:type="autofit"/>
        <w:tblCellMar>
          <w:top w:w="0" w:type="dxa"/>
          <w:left w:w="0" w:type="dxa"/>
          <w:bottom w:w="0" w:type="dxa"/>
          <w:right w:w="0" w:type="dxa"/>
        </w:tblCellMar>
      </w:tblPr>
      <w:tblGrid>
        <w:gridCol w:w="726"/>
        <w:gridCol w:w="1663"/>
        <w:gridCol w:w="6145"/>
      </w:tblGrid>
      <w:tr w14:paraId="4B256B73">
        <w:tblPrEx>
          <w:shd w:val="clear" w:color="auto" w:fill="auto"/>
          <w:tblCellMar>
            <w:top w:w="0" w:type="dxa"/>
            <w:left w:w="0" w:type="dxa"/>
            <w:bottom w:w="0" w:type="dxa"/>
            <w:right w:w="0" w:type="dxa"/>
          </w:tblCellMar>
        </w:tblPrEx>
        <w:trPr>
          <w:trHeight w:val="0" w:hRule="atLeast"/>
          <w:tblHeader/>
          <w:jc w:val="center"/>
        </w:trPr>
        <w:tc>
          <w:tcPr>
            <w:tcW w:w="425" w:type="pct"/>
            <w:tcBorders>
              <w:top w:val="single" w:color="000000" w:sz="4" w:space="0"/>
              <w:left w:val="single" w:color="000000" w:sz="4" w:space="0"/>
              <w:bottom w:val="single" w:color="000000" w:sz="4" w:space="0"/>
              <w:right w:val="single" w:color="000000" w:sz="4" w:space="0"/>
              <w:tl2br w:val="nil"/>
            </w:tcBorders>
            <w:shd w:val="clear" w:color="auto" w:fill="auto"/>
            <w:tcMar>
              <w:top w:w="75" w:type="dxa"/>
              <w:left w:w="108" w:type="dxa"/>
              <w:bottom w:w="75" w:type="dxa"/>
              <w:right w:w="108" w:type="dxa"/>
            </w:tcMar>
            <w:vAlign w:val="center"/>
          </w:tcPr>
          <w:p w14:paraId="4E209611">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序号</w:t>
            </w:r>
          </w:p>
        </w:tc>
        <w:tc>
          <w:tcPr>
            <w:tcW w:w="97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60B49BB7">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服务内容</w:t>
            </w:r>
          </w:p>
        </w:tc>
        <w:tc>
          <w:tcPr>
            <w:tcW w:w="3599"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000B73C0">
            <w:pPr>
              <w:snapToGrid w:val="0"/>
              <w:spacing w:line="240" w:lineRule="auto"/>
              <w:ind w:left="0" w:leftChars="0" w:right="0" w:rightChars="0" w:firstLine="0" w:firstLineChars="0"/>
              <w:jc w:val="center"/>
              <w:rPr>
                <w:rFonts w:hint="eastAsia" w:ascii="黑体" w:hAnsi="黑体" w:eastAsia="黑体" w:cs="黑体"/>
                <w:b/>
                <w:bCs/>
                <w:color w:val="000000"/>
                <w:sz w:val="24"/>
                <w:szCs w:val="24"/>
                <w:shd w:val="clear" w:color="auto" w:fill="FFFFFF"/>
              </w:rPr>
            </w:pPr>
            <w:r>
              <w:rPr>
                <w:rFonts w:hint="eastAsia" w:ascii="黑体" w:hAnsi="黑体" w:eastAsia="黑体" w:cs="黑体"/>
                <w:b/>
                <w:bCs/>
                <w:color w:val="000000"/>
                <w:sz w:val="24"/>
                <w:szCs w:val="24"/>
                <w:shd w:val="clear" w:color="auto" w:fill="FFFFFF"/>
              </w:rPr>
              <w:t>技术要点</w:t>
            </w:r>
          </w:p>
        </w:tc>
      </w:tr>
      <w:tr w14:paraId="05830063">
        <w:tblPrEx>
          <w:shd w:val="clear" w:color="auto" w:fill="auto"/>
          <w:tblCellMar>
            <w:top w:w="0" w:type="dxa"/>
            <w:left w:w="0" w:type="dxa"/>
            <w:bottom w:w="0" w:type="dxa"/>
            <w:right w:w="0" w:type="dxa"/>
          </w:tblCellMar>
        </w:tblPrEx>
        <w:trPr>
          <w:trHeight w:val="0" w:hRule="atLeast"/>
          <w:jc w:val="center"/>
        </w:trPr>
        <w:tc>
          <w:tcPr>
            <w:tcW w:w="425" w:type="pct"/>
            <w:tcBorders>
              <w:top w:val="single" w:color="000000" w:sz="4" w:space="0"/>
              <w:left w:val="single" w:color="000000" w:sz="4" w:space="0"/>
              <w:bottom w:val="single" w:color="000000" w:sz="4" w:space="0"/>
              <w:right w:val="single" w:color="000000" w:sz="4" w:space="0"/>
              <w:tl2br w:val="nil"/>
            </w:tcBorders>
            <w:shd w:val="clear" w:color="auto" w:fill="auto"/>
            <w:tcMar>
              <w:top w:w="75" w:type="dxa"/>
              <w:left w:w="108" w:type="dxa"/>
              <w:bottom w:w="75" w:type="dxa"/>
              <w:right w:w="108" w:type="dxa"/>
            </w:tcMar>
            <w:vAlign w:val="center"/>
          </w:tcPr>
          <w:p w14:paraId="1670DA56">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4.1</w:t>
            </w:r>
          </w:p>
        </w:tc>
        <w:tc>
          <w:tcPr>
            <w:tcW w:w="97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3854B4B">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规划成果</w:t>
            </w:r>
          </w:p>
        </w:tc>
        <w:tc>
          <w:tcPr>
            <w:tcW w:w="3599"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0C18FBB">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《岚皋县中心城区道路导视标识系统专项规划设计》文本；全县导视牌布设点清单方案（含编号、GIS位置图）；标识系统规划布局图</w:t>
            </w:r>
          </w:p>
        </w:tc>
      </w:tr>
      <w:tr w14:paraId="1CB8BC5E">
        <w:tblPrEx>
          <w:shd w:val="clear" w:color="auto" w:fill="auto"/>
          <w:tblCellMar>
            <w:top w:w="0" w:type="dxa"/>
            <w:left w:w="0" w:type="dxa"/>
            <w:bottom w:w="0" w:type="dxa"/>
            <w:right w:w="0" w:type="dxa"/>
          </w:tblCellMar>
        </w:tblPrEx>
        <w:trPr>
          <w:trHeight w:val="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17272EA8">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4.2</w:t>
            </w:r>
          </w:p>
        </w:tc>
        <w:tc>
          <w:tcPr>
            <w:tcW w:w="97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DBBC9E1">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设计成果</w:t>
            </w:r>
          </w:p>
        </w:tc>
        <w:tc>
          <w:tcPr>
            <w:tcW w:w="3599"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57EB257C">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关键节点深化设计图；标志版面标准制图（CAD）；材料工艺说明；布点规划与实施图纸</w:t>
            </w:r>
          </w:p>
        </w:tc>
      </w:tr>
      <w:tr w14:paraId="4DF2BEEC">
        <w:tblPrEx>
          <w:shd w:val="clear" w:color="auto" w:fill="auto"/>
          <w:tblCellMar>
            <w:top w:w="0" w:type="dxa"/>
            <w:left w:w="0" w:type="dxa"/>
            <w:bottom w:w="0" w:type="dxa"/>
            <w:right w:w="0" w:type="dxa"/>
          </w:tblCellMar>
        </w:tblPrEx>
        <w:trPr>
          <w:trHeight w:val="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49092EA5">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4.3</w:t>
            </w:r>
          </w:p>
        </w:tc>
        <w:tc>
          <w:tcPr>
            <w:tcW w:w="97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3E7A17D">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实施支撑成果</w:t>
            </w:r>
          </w:p>
        </w:tc>
        <w:tc>
          <w:tcPr>
            <w:tcW w:w="3599"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A19CDD1">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投资估算及分期实施时序；招标文件技术部分编制；专家评审及修改完善（≥2轮）</w:t>
            </w:r>
          </w:p>
        </w:tc>
      </w:tr>
      <w:tr w14:paraId="67B8E296">
        <w:tblPrEx>
          <w:shd w:val="clear" w:color="auto" w:fill="auto"/>
          <w:tblCellMar>
            <w:top w:w="0" w:type="dxa"/>
            <w:left w:w="0" w:type="dxa"/>
            <w:bottom w:w="0" w:type="dxa"/>
            <w:right w:w="0" w:type="dxa"/>
          </w:tblCellMar>
        </w:tblPrEx>
        <w:trPr>
          <w:trHeight w:val="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2DBF4B59">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4.4</w:t>
            </w:r>
          </w:p>
        </w:tc>
        <w:tc>
          <w:tcPr>
            <w:tcW w:w="974"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F51E96E">
            <w:pPr>
              <w:snapToGrid w:val="0"/>
              <w:spacing w:line="240" w:lineRule="auto"/>
              <w:ind w:left="0" w:leftChars="0" w:right="0" w:rightChars="0" w:firstLine="0" w:firstLineChars="0"/>
              <w:jc w:val="cente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后期服务</w:t>
            </w:r>
          </w:p>
        </w:tc>
        <w:tc>
          <w:tcPr>
            <w:tcW w:w="3599" w:type="pct"/>
            <w:tcBorders>
              <w:top w:val="single" w:color="000000" w:sz="4" w:space="0"/>
              <w:left w:val="single" w:color="000000" w:sz="4" w:space="0"/>
              <w:bottom w:val="single" w:color="000000" w:sz="4" w:space="0"/>
              <w:right w:val="single" w:color="000000" w:sz="4" w:space="0"/>
            </w:tcBorders>
            <w:shd w:val="clear" w:color="auto" w:fill="auto"/>
            <w:tcMar>
              <w:top w:w="75" w:type="dxa"/>
              <w:left w:w="108" w:type="dxa"/>
              <w:bottom w:w="75" w:type="dxa"/>
              <w:right w:w="108" w:type="dxa"/>
            </w:tcMar>
            <w:vAlign w:val="center"/>
          </w:tcPr>
          <w:p w14:paraId="780FB966">
            <w:pPr>
              <w:snapToGrid w:val="0"/>
              <w:spacing w:line="240" w:lineRule="auto"/>
              <w:ind w:left="0" w:leftChars="0" w:right="0" w:rightChars="0" w:firstLine="0" w:firstLineChars="0"/>
              <w:jc w:val="left"/>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施工指导服务（≥3次现场指导）；竣工验收检测支持；成果交付后1年内免费技术答疑；“一标一码”数字化档案建立</w:t>
            </w:r>
          </w:p>
        </w:tc>
      </w:tr>
    </w:tbl>
    <w:p w14:paraId="248C3080">
      <w:pPr>
        <w:numPr>
          <w:ilvl w:val="0"/>
          <w:numId w:val="0"/>
        </w:numPr>
        <w:spacing w:line="360" w:lineRule="auto"/>
        <w:outlineLvl w:val="9"/>
        <w:rPr>
          <w:rFonts w:hint="eastAsia" w:ascii="黑体" w:hAnsi="黑体" w:eastAsia="黑体" w:cs="黑体"/>
          <w:bCs/>
          <w:color w:val="auto"/>
          <w:sz w:val="24"/>
          <w:highlight w:val="none"/>
          <w:lang w:val="en-US" w:eastAsia="zh-CN"/>
        </w:rPr>
      </w:pPr>
    </w:p>
    <w:p w14:paraId="08396F9C">
      <w:pPr>
        <w:pStyle w:val="2"/>
        <w:numPr>
          <w:ilvl w:val="0"/>
          <w:numId w:val="62"/>
        </w:numPr>
        <w:tabs>
          <w:tab w:val="left" w:pos="963"/>
        </w:tabs>
        <w:topLinePunct w:val="0"/>
        <w:ind w:left="0" w:leftChars="0" w:firstLine="482" w:firstLineChars="200"/>
        <w:rPr>
          <w:b/>
          <w:highlight w:val="none"/>
        </w:rPr>
      </w:pPr>
      <w:r>
        <w:rPr>
          <w:highlight w:val="none"/>
        </w:rPr>
        <w:t>服务要求</w:t>
      </w:r>
    </w:p>
    <w:p w14:paraId="4ECA1812">
      <w:pPr>
        <w:pStyle w:val="16"/>
        <w:numPr>
          <w:ilvl w:val="0"/>
          <w:numId w:val="65"/>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严格依照国家颁布的有关法律法规及政策要求编制。</w:t>
      </w:r>
    </w:p>
    <w:p w14:paraId="694B4A41">
      <w:pPr>
        <w:pStyle w:val="16"/>
        <w:numPr>
          <w:ilvl w:val="0"/>
          <w:numId w:val="65"/>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编制的</w:t>
      </w:r>
      <w:r>
        <w:rPr>
          <w:rFonts w:hint="eastAsia" w:cs="Times New Roman"/>
          <w:color w:val="auto"/>
          <w:sz w:val="24"/>
          <w:highlight w:val="none"/>
          <w:lang w:val="en-US" w:eastAsia="zh-CN"/>
        </w:rPr>
        <w:t>图纸</w:t>
      </w:r>
      <w:r>
        <w:rPr>
          <w:rFonts w:ascii="Times New Roman" w:hAnsi="Times New Roman" w:eastAsia="宋体" w:cs="Times New Roman"/>
          <w:color w:val="auto"/>
          <w:sz w:val="24"/>
          <w:highlight w:val="none"/>
        </w:rPr>
        <w:t>要符合中省相关政策要求，合理预测施工方案，确保功能完善、流程科学、规模适宜、环保节约、运行经济，整套图纸齐全统一，明确无误，满足施工要求。</w:t>
      </w:r>
    </w:p>
    <w:p w14:paraId="47DAAABF">
      <w:pPr>
        <w:pStyle w:val="16"/>
        <w:numPr>
          <w:ilvl w:val="0"/>
          <w:numId w:val="65"/>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要做好基础资料调研和核查工作。对所采用的基础性数据要进行认真的复核和分析，保证基础资料的真实性与可靠性，确保数据充分，结论明确。</w:t>
      </w:r>
    </w:p>
    <w:p w14:paraId="6FF58401">
      <w:pPr>
        <w:pStyle w:val="16"/>
        <w:numPr>
          <w:ilvl w:val="0"/>
          <w:numId w:val="65"/>
        </w:numPr>
        <w:tabs>
          <w:tab w:val="left" w:pos="780"/>
          <w:tab w:val="clear" w:pos="210"/>
        </w:tabs>
        <w:ind w:left="0"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提供采购人在项目实施过程中的技术指导、设计变更等一系列的后续服务。</w:t>
      </w:r>
    </w:p>
    <w:p w14:paraId="203D4E2E">
      <w:pPr>
        <w:rPr>
          <w:highlight w:val="none"/>
        </w:rPr>
      </w:pPr>
      <w:r>
        <w:rPr>
          <w:highlight w:val="none"/>
        </w:rPr>
        <w:br w:type="page"/>
      </w:r>
    </w:p>
    <w:p w14:paraId="47A745A3">
      <w:pPr>
        <w:pStyle w:val="91"/>
        <w:numPr>
          <w:ilvl w:val="0"/>
          <w:numId w:val="61"/>
        </w:numPr>
        <w:tabs>
          <w:tab w:val="left" w:pos="1842"/>
          <w:tab w:val="clear" w:pos="210"/>
        </w:tabs>
        <w:ind w:left="0" w:leftChars="0" w:firstLine="640" w:firstLineChars="200"/>
        <w:outlineLvl w:val="0"/>
        <w:rPr>
          <w:b w:val="0"/>
          <w:highlight w:val="none"/>
        </w:rPr>
      </w:pPr>
      <w:r>
        <w:rPr>
          <w:highlight w:val="none"/>
        </w:rPr>
        <w:t>响应文件格式</w:t>
      </w:r>
      <w:bookmarkEnd w:id="77"/>
      <w:bookmarkEnd w:id="78"/>
      <w:bookmarkEnd w:id="79"/>
    </w:p>
    <w:p w14:paraId="698E7C89">
      <w:pPr>
        <w:rPr>
          <w:rFonts w:hint="eastAsia" w:ascii="黑体" w:hAnsi="黑体" w:eastAsia="黑体" w:cs="黑体"/>
          <w:b/>
          <w:bCs/>
          <w:color w:val="auto"/>
          <w:highlight w:val="none"/>
          <w:lang w:val="en-US" w:eastAsia="zh-CN"/>
        </w:rPr>
      </w:pPr>
      <w:r>
        <w:rPr>
          <w:rFonts w:hint="eastAsia" w:ascii="黑体" w:hAnsi="黑体" w:eastAsia="黑体" w:cs="黑体"/>
          <w:b/>
          <w:bCs/>
          <w:color w:val="auto"/>
          <w:highlight w:val="none"/>
          <w:lang w:val="en-US" w:eastAsia="zh-CN"/>
        </w:rPr>
        <w:t>项目编号：</w:t>
      </w:r>
    </w:p>
    <w:p w14:paraId="7BD1977D">
      <w:pPr>
        <w:spacing w:line="360" w:lineRule="auto"/>
        <w:ind w:firstLine="1606" w:firstLineChars="400"/>
        <w:jc w:val="right"/>
        <w:rPr>
          <w:rFonts w:hint="eastAsia" w:ascii="黑体" w:hAnsi="黑体" w:eastAsia="黑体" w:cs="黑体"/>
          <w:b/>
          <w:color w:val="auto"/>
          <w:sz w:val="40"/>
          <w:szCs w:val="40"/>
          <w:highlight w:val="none"/>
          <w:u w:val="single"/>
          <w:lang w:val="en-US" w:eastAsia="zh-CN"/>
        </w:rPr>
      </w:pPr>
      <w:bookmarkStart w:id="81" w:name="_Toc23263_WPSOffice_Level1"/>
      <w:r>
        <w:rPr>
          <w:rFonts w:hint="eastAsia" w:ascii="黑体" w:hAnsi="黑体" w:eastAsia="黑体" w:cs="黑体"/>
          <w:b/>
          <w:color w:val="auto"/>
          <w:sz w:val="40"/>
          <w:szCs w:val="40"/>
          <w:highlight w:val="none"/>
          <w:u w:val="single"/>
          <w:lang w:val="en-US" w:eastAsia="zh-CN"/>
        </w:rPr>
        <w:t>正（副）本</w:t>
      </w:r>
    </w:p>
    <w:p w14:paraId="59D03357">
      <w:pPr>
        <w:pStyle w:val="29"/>
        <w:rPr>
          <w:highlight w:val="none"/>
          <w:u w:val="none"/>
        </w:rPr>
      </w:pPr>
      <w:r>
        <w:rPr>
          <w:highlight w:val="none"/>
          <w:u w:val="single"/>
        </w:rPr>
        <w:t xml:space="preserve">                    （项目名称）</w:t>
      </w:r>
    </w:p>
    <w:p w14:paraId="3706A0DD">
      <w:pPr>
        <w:spacing w:line="360" w:lineRule="auto"/>
        <w:ind w:left="105"/>
        <w:jc w:val="center"/>
        <w:rPr>
          <w:rFonts w:hint="eastAsia" w:ascii="黑体" w:hAnsi="黑体" w:eastAsia="黑体" w:cs="黑体"/>
          <w:b/>
          <w:bCs/>
          <w:color w:val="auto"/>
          <w:sz w:val="24"/>
          <w:szCs w:val="24"/>
          <w:highlight w:val="none"/>
        </w:rPr>
      </w:pPr>
    </w:p>
    <w:p w14:paraId="4307C382">
      <w:pPr>
        <w:spacing w:line="360" w:lineRule="auto"/>
        <w:ind w:left="105"/>
        <w:jc w:val="center"/>
        <w:rPr>
          <w:rFonts w:hint="eastAsia" w:ascii="黑体" w:hAnsi="黑体" w:eastAsia="黑体" w:cs="黑体"/>
          <w:b/>
          <w:bCs/>
          <w:color w:val="auto"/>
          <w:sz w:val="24"/>
          <w:szCs w:val="24"/>
          <w:highlight w:val="none"/>
        </w:rPr>
      </w:pPr>
    </w:p>
    <w:p w14:paraId="10C4B64B">
      <w:pPr>
        <w:spacing w:line="360" w:lineRule="auto"/>
        <w:ind w:left="105"/>
        <w:jc w:val="center"/>
        <w:rPr>
          <w:rFonts w:hint="eastAsia" w:ascii="黑体" w:hAnsi="黑体" w:eastAsia="黑体" w:cs="黑体"/>
          <w:b/>
          <w:bCs/>
          <w:color w:val="auto"/>
          <w:sz w:val="24"/>
          <w:szCs w:val="24"/>
          <w:highlight w:val="none"/>
        </w:rPr>
      </w:pPr>
    </w:p>
    <w:p w14:paraId="5A06FEB7">
      <w:pPr>
        <w:pStyle w:val="92"/>
        <w:ind w:left="0" w:leftChars="0" w:firstLine="643" w:firstLineChars="200"/>
        <w:rPr>
          <w:highlight w:val="none"/>
        </w:rPr>
      </w:pPr>
      <w:r>
        <w:rPr>
          <w:highlight w:val="none"/>
        </w:rPr>
        <w:t>响应文件</w:t>
      </w:r>
    </w:p>
    <w:p w14:paraId="14278DFD">
      <w:pPr>
        <w:spacing w:line="360" w:lineRule="auto"/>
        <w:jc w:val="left"/>
        <w:rPr>
          <w:rFonts w:hint="eastAsia" w:ascii="黑体" w:hAnsi="黑体" w:eastAsia="黑体" w:cs="黑体"/>
          <w:b/>
          <w:bCs/>
          <w:color w:val="auto"/>
          <w:sz w:val="24"/>
          <w:szCs w:val="24"/>
          <w:highlight w:val="none"/>
        </w:rPr>
      </w:pPr>
    </w:p>
    <w:p w14:paraId="13DECCE9">
      <w:pPr>
        <w:spacing w:line="360" w:lineRule="auto"/>
        <w:jc w:val="left"/>
        <w:rPr>
          <w:rFonts w:hint="eastAsia" w:ascii="黑体" w:hAnsi="黑体" w:eastAsia="黑体" w:cs="黑体"/>
          <w:b/>
          <w:bCs/>
          <w:color w:val="auto"/>
          <w:sz w:val="24"/>
          <w:szCs w:val="24"/>
          <w:highlight w:val="none"/>
        </w:rPr>
      </w:pPr>
    </w:p>
    <w:p w14:paraId="61A80D84">
      <w:pPr>
        <w:spacing w:line="360" w:lineRule="auto"/>
        <w:jc w:val="left"/>
        <w:rPr>
          <w:rFonts w:hint="eastAsia" w:ascii="黑体" w:hAnsi="黑体" w:eastAsia="黑体" w:cs="黑体"/>
          <w:b/>
          <w:bCs/>
          <w:color w:val="auto"/>
          <w:sz w:val="24"/>
          <w:szCs w:val="24"/>
          <w:highlight w:val="none"/>
        </w:rPr>
      </w:pPr>
    </w:p>
    <w:p w14:paraId="226F8AAD">
      <w:pPr>
        <w:pStyle w:val="27"/>
        <w:rPr>
          <w:rFonts w:hint="eastAsia" w:ascii="黑体" w:hAnsi="黑体" w:eastAsia="黑体" w:cs="黑体"/>
          <w:b/>
          <w:bCs/>
          <w:color w:val="auto"/>
          <w:sz w:val="24"/>
          <w:szCs w:val="24"/>
          <w:highlight w:val="none"/>
        </w:rPr>
      </w:pPr>
    </w:p>
    <w:p w14:paraId="59AB7CCA">
      <w:pPr>
        <w:pStyle w:val="27"/>
        <w:rPr>
          <w:rFonts w:hint="eastAsia" w:ascii="黑体" w:hAnsi="黑体" w:eastAsia="黑体" w:cs="黑体"/>
          <w:b/>
          <w:bCs/>
          <w:color w:val="auto"/>
          <w:sz w:val="24"/>
          <w:szCs w:val="24"/>
          <w:highlight w:val="none"/>
        </w:rPr>
      </w:pPr>
    </w:p>
    <w:p w14:paraId="5FC96826">
      <w:pPr>
        <w:pStyle w:val="27"/>
        <w:rPr>
          <w:rFonts w:hint="eastAsia" w:ascii="黑体" w:hAnsi="黑体" w:eastAsia="黑体" w:cs="黑体"/>
          <w:b/>
          <w:bCs/>
          <w:color w:val="auto"/>
          <w:sz w:val="24"/>
          <w:szCs w:val="24"/>
          <w:highlight w:val="none"/>
        </w:rPr>
      </w:pPr>
    </w:p>
    <w:p w14:paraId="289F7867">
      <w:pPr>
        <w:pStyle w:val="27"/>
        <w:rPr>
          <w:rFonts w:hint="eastAsia" w:ascii="黑体" w:hAnsi="黑体" w:eastAsia="黑体" w:cs="黑体"/>
          <w:b/>
          <w:bCs/>
          <w:color w:val="auto"/>
          <w:sz w:val="24"/>
          <w:szCs w:val="24"/>
          <w:highlight w:val="none"/>
        </w:rPr>
      </w:pPr>
    </w:p>
    <w:p w14:paraId="27737F5F">
      <w:pPr>
        <w:spacing w:line="360" w:lineRule="auto"/>
        <w:ind w:left="1296" w:leftChars="540"/>
        <w:rPr>
          <w:rFonts w:hint="eastAsia" w:ascii="黑体" w:hAnsi="黑体" w:eastAsia="黑体" w:cs="黑体"/>
          <w:b/>
          <w:color w:val="auto"/>
          <w:sz w:val="28"/>
          <w:szCs w:val="28"/>
          <w:highlight w:val="none"/>
        </w:rPr>
      </w:pPr>
      <w:r>
        <w:rPr>
          <w:rFonts w:hint="eastAsia" w:ascii="黑体" w:hAnsi="黑体" w:eastAsia="黑体" w:cs="黑体"/>
          <w:b/>
          <w:color w:val="auto"/>
          <w:kern w:val="22"/>
          <w:sz w:val="28"/>
          <w:szCs w:val="28"/>
          <w:highlight w:val="none"/>
        </w:rPr>
        <w:t>供   应   商</w:t>
      </w:r>
      <w:r>
        <w:rPr>
          <w:rFonts w:hint="eastAsia" w:ascii="黑体" w:hAnsi="黑体" w:eastAsia="黑体" w:cs="黑体"/>
          <w:b/>
          <w:color w:val="auto"/>
          <w:sz w:val="28"/>
          <w:szCs w:val="28"/>
          <w:highlight w:val="none"/>
        </w:rPr>
        <w:t>：</w:t>
      </w:r>
      <w:r>
        <w:rPr>
          <w:rFonts w:hint="eastAsia" w:ascii="黑体" w:hAnsi="黑体" w:eastAsia="黑体" w:cs="黑体"/>
          <w:b/>
          <w:color w:val="auto"/>
          <w:sz w:val="28"/>
          <w:szCs w:val="28"/>
          <w:highlight w:val="none"/>
          <w:u w:val="single"/>
        </w:rPr>
        <w:t xml:space="preserve">                  （供应商名称、公章）</w:t>
      </w:r>
    </w:p>
    <w:p w14:paraId="463D524F">
      <w:pPr>
        <w:spacing w:line="360" w:lineRule="auto"/>
        <w:ind w:left="1296" w:leftChars="540"/>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法人代表人或</w:t>
      </w:r>
    </w:p>
    <w:p w14:paraId="15566CCA">
      <w:pPr>
        <w:spacing w:line="360" w:lineRule="auto"/>
        <w:ind w:left="1296" w:leftChars="540"/>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其委托代理人：</w:t>
      </w:r>
      <w:r>
        <w:rPr>
          <w:rFonts w:hint="eastAsia" w:ascii="黑体" w:hAnsi="黑体" w:eastAsia="黑体" w:cs="黑体"/>
          <w:b/>
          <w:color w:val="auto"/>
          <w:sz w:val="28"/>
          <w:szCs w:val="28"/>
          <w:highlight w:val="none"/>
          <w:u w:val="single"/>
        </w:rPr>
        <w:t xml:space="preserve">                     （签字或盖章）</w:t>
      </w:r>
    </w:p>
    <w:p w14:paraId="6E0408CC">
      <w:pPr>
        <w:spacing w:line="360" w:lineRule="auto"/>
        <w:ind w:left="1296" w:leftChars="540"/>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日        期：   年   月   日</w:t>
      </w:r>
    </w:p>
    <w:p w14:paraId="12C0D8E2">
      <w:pPr>
        <w:pStyle w:val="90"/>
        <w:rPr>
          <w:highlight w:val="none"/>
        </w:rPr>
      </w:pPr>
      <w:r>
        <w:rPr>
          <w:highlight w:val="none"/>
        </w:rPr>
        <w:br w:type="page"/>
      </w:r>
      <w:r>
        <w:rPr>
          <w:highlight w:val="none"/>
        </w:rPr>
        <w:t>目</w:t>
      </w:r>
      <w:r>
        <w:rPr>
          <w:highlight w:val="none"/>
        </w:rPr>
        <w:tab/>
      </w:r>
      <w:r>
        <w:rPr>
          <w:highlight w:val="none"/>
        </w:rPr>
        <w:t>录</w:t>
      </w:r>
    </w:p>
    <w:p w14:paraId="2022DD3E">
      <w:pPr>
        <w:tabs>
          <w:tab w:val="left" w:pos="3122"/>
        </w:tabs>
        <w:spacing w:before="2" w:line="400" w:lineRule="auto"/>
        <w:ind w:right="4216"/>
        <w:jc w:val="left"/>
        <w:rPr>
          <w:rFonts w:hint="eastAsia" w:ascii="黑体" w:hAnsi="黑体" w:eastAsia="黑体" w:cs="黑体"/>
          <w:b/>
          <w:color w:val="auto"/>
          <w:sz w:val="32"/>
          <w:szCs w:val="21"/>
          <w:highlight w:val="none"/>
        </w:rPr>
      </w:pPr>
      <w:r>
        <w:rPr>
          <w:rFonts w:hint="eastAsia" w:ascii="黑体" w:hAnsi="黑体" w:eastAsia="黑体" w:cs="黑体"/>
          <w:b/>
          <w:color w:val="auto"/>
          <w:sz w:val="32"/>
          <w:szCs w:val="21"/>
          <w:highlight w:val="none"/>
        </w:rPr>
        <w:t>一</w:t>
      </w:r>
      <w:r>
        <w:rPr>
          <w:rFonts w:hint="eastAsia" w:ascii="黑体" w:hAnsi="黑体" w:eastAsia="黑体" w:cs="黑体"/>
          <w:b/>
          <w:color w:val="auto"/>
          <w:sz w:val="32"/>
          <w:szCs w:val="21"/>
          <w:highlight w:val="none"/>
          <w:lang w:val="en-US" w:eastAsia="zh-CN"/>
        </w:rPr>
        <w:t xml:space="preserve"> 、</w:t>
      </w:r>
      <w:r>
        <w:rPr>
          <w:rFonts w:hint="eastAsia" w:ascii="黑体" w:hAnsi="黑体" w:eastAsia="黑体" w:cs="黑体"/>
          <w:b/>
          <w:color w:val="auto"/>
          <w:sz w:val="32"/>
          <w:szCs w:val="21"/>
          <w:highlight w:val="none"/>
        </w:rPr>
        <w:t>磋商响应函</w:t>
      </w:r>
    </w:p>
    <w:p w14:paraId="0AA5437A">
      <w:pPr>
        <w:tabs>
          <w:tab w:val="left" w:pos="3122"/>
        </w:tabs>
        <w:spacing w:before="2" w:line="400" w:lineRule="auto"/>
        <w:ind w:right="4216"/>
        <w:jc w:val="left"/>
        <w:rPr>
          <w:rFonts w:hint="eastAsia" w:ascii="黑体" w:hAnsi="黑体" w:eastAsia="黑体" w:cs="黑体"/>
          <w:b/>
          <w:color w:val="auto"/>
          <w:sz w:val="32"/>
          <w:szCs w:val="21"/>
          <w:highlight w:val="none"/>
        </w:rPr>
      </w:pPr>
      <w:r>
        <w:rPr>
          <w:rFonts w:hint="eastAsia" w:ascii="黑体" w:hAnsi="黑体" w:eastAsia="黑体" w:cs="黑体"/>
          <w:b/>
          <w:color w:val="auto"/>
          <w:sz w:val="32"/>
          <w:szCs w:val="21"/>
          <w:highlight w:val="none"/>
        </w:rPr>
        <w:t>二</w:t>
      </w:r>
      <w:r>
        <w:rPr>
          <w:rFonts w:hint="eastAsia" w:ascii="黑体" w:hAnsi="黑体" w:eastAsia="黑体" w:cs="黑体"/>
          <w:b/>
          <w:color w:val="auto"/>
          <w:sz w:val="32"/>
          <w:szCs w:val="21"/>
          <w:highlight w:val="none"/>
          <w:lang w:val="en-US" w:eastAsia="zh-CN"/>
        </w:rPr>
        <w:t xml:space="preserve"> 、</w:t>
      </w:r>
      <w:r>
        <w:rPr>
          <w:rFonts w:hint="eastAsia" w:ascii="黑体" w:hAnsi="黑体" w:eastAsia="黑体" w:cs="黑体"/>
          <w:b/>
          <w:color w:val="auto"/>
          <w:sz w:val="32"/>
          <w:szCs w:val="21"/>
          <w:highlight w:val="none"/>
        </w:rPr>
        <w:t>报价一览表</w:t>
      </w:r>
    </w:p>
    <w:p w14:paraId="6639C270">
      <w:pPr>
        <w:tabs>
          <w:tab w:val="left" w:pos="3122"/>
        </w:tabs>
        <w:spacing w:before="2" w:line="400" w:lineRule="auto"/>
        <w:ind w:right="4216"/>
        <w:jc w:val="left"/>
        <w:rPr>
          <w:rFonts w:hint="eastAsia" w:ascii="黑体" w:hAnsi="黑体" w:eastAsia="黑体" w:cs="黑体"/>
          <w:b/>
          <w:color w:val="auto"/>
          <w:sz w:val="32"/>
          <w:szCs w:val="21"/>
          <w:highlight w:val="none"/>
        </w:rPr>
      </w:pPr>
      <w:r>
        <w:rPr>
          <w:rFonts w:hint="eastAsia" w:ascii="黑体" w:hAnsi="黑体" w:eastAsia="黑体" w:cs="黑体"/>
          <w:b/>
          <w:color w:val="auto"/>
          <w:sz w:val="32"/>
          <w:szCs w:val="21"/>
          <w:highlight w:val="none"/>
          <w:lang w:val="en-US" w:eastAsia="zh-CN"/>
        </w:rPr>
        <w:t>三 、</w:t>
      </w:r>
      <w:r>
        <w:rPr>
          <w:rFonts w:hint="eastAsia" w:ascii="黑体" w:hAnsi="黑体" w:eastAsia="黑体" w:cs="黑体"/>
          <w:b/>
          <w:color w:val="auto"/>
          <w:sz w:val="32"/>
          <w:szCs w:val="21"/>
          <w:highlight w:val="none"/>
        </w:rPr>
        <w:t>供应商资格证明文件</w:t>
      </w:r>
    </w:p>
    <w:p w14:paraId="348D8115">
      <w:pPr>
        <w:tabs>
          <w:tab w:val="left" w:pos="3122"/>
        </w:tabs>
        <w:spacing w:before="2" w:line="400" w:lineRule="auto"/>
        <w:ind w:right="4216"/>
        <w:jc w:val="left"/>
        <w:rPr>
          <w:rFonts w:hint="eastAsia" w:ascii="黑体" w:hAnsi="黑体" w:eastAsia="黑体" w:cs="黑体"/>
          <w:b/>
          <w:color w:val="auto"/>
          <w:sz w:val="32"/>
          <w:szCs w:val="21"/>
          <w:highlight w:val="none"/>
        </w:rPr>
      </w:pPr>
      <w:r>
        <w:rPr>
          <w:rFonts w:hint="eastAsia" w:ascii="黑体" w:hAnsi="黑体" w:eastAsia="黑体" w:cs="黑体"/>
          <w:b/>
          <w:color w:val="auto"/>
          <w:sz w:val="32"/>
          <w:szCs w:val="21"/>
          <w:highlight w:val="none"/>
          <w:lang w:val="en-US" w:eastAsia="zh-CN"/>
        </w:rPr>
        <w:t>四 、</w:t>
      </w:r>
      <w:r>
        <w:rPr>
          <w:rFonts w:hint="eastAsia" w:ascii="黑体" w:hAnsi="黑体" w:eastAsia="黑体" w:cs="黑体"/>
          <w:b/>
          <w:color w:val="auto"/>
          <w:sz w:val="32"/>
          <w:szCs w:val="21"/>
          <w:highlight w:val="none"/>
        </w:rPr>
        <w:t>磋商方案</w:t>
      </w:r>
    </w:p>
    <w:p w14:paraId="7B335D5B">
      <w:pPr>
        <w:tabs>
          <w:tab w:val="left" w:pos="3122"/>
        </w:tabs>
        <w:spacing w:before="2" w:line="400" w:lineRule="auto"/>
        <w:ind w:right="4216"/>
        <w:jc w:val="left"/>
        <w:rPr>
          <w:rFonts w:hint="eastAsia" w:ascii="黑体" w:hAnsi="黑体" w:eastAsia="黑体" w:cs="黑体"/>
          <w:b/>
          <w:color w:val="auto"/>
          <w:sz w:val="32"/>
          <w:szCs w:val="21"/>
          <w:highlight w:val="none"/>
          <w:lang w:val="en-US" w:eastAsia="zh-CN"/>
        </w:rPr>
      </w:pPr>
      <w:r>
        <w:rPr>
          <w:rFonts w:hint="eastAsia" w:ascii="黑体" w:hAnsi="黑体" w:eastAsia="黑体" w:cs="黑体"/>
          <w:b/>
          <w:color w:val="auto"/>
          <w:sz w:val="32"/>
          <w:szCs w:val="21"/>
          <w:highlight w:val="none"/>
          <w:lang w:val="en-US" w:eastAsia="zh-CN"/>
        </w:rPr>
        <w:t>五 、</w:t>
      </w:r>
      <w:r>
        <w:rPr>
          <w:rFonts w:hint="eastAsia" w:ascii="黑体" w:hAnsi="黑体" w:eastAsia="黑体" w:cs="黑体"/>
          <w:b/>
          <w:color w:val="auto"/>
          <w:sz w:val="32"/>
          <w:szCs w:val="21"/>
          <w:highlight w:val="none"/>
        </w:rPr>
        <w:t>项目实施人员组成</w:t>
      </w:r>
    </w:p>
    <w:p w14:paraId="70976EA0">
      <w:pPr>
        <w:tabs>
          <w:tab w:val="left" w:pos="3122"/>
        </w:tabs>
        <w:spacing w:before="2" w:line="400" w:lineRule="auto"/>
        <w:ind w:right="4216"/>
        <w:jc w:val="left"/>
        <w:rPr>
          <w:rFonts w:hint="eastAsia" w:ascii="黑体" w:hAnsi="黑体" w:eastAsia="黑体" w:cs="黑体"/>
          <w:b/>
          <w:color w:val="auto"/>
          <w:sz w:val="32"/>
          <w:szCs w:val="21"/>
          <w:highlight w:val="none"/>
          <w:lang w:val="en-US" w:eastAsia="zh-CN"/>
        </w:rPr>
      </w:pPr>
      <w:r>
        <w:rPr>
          <w:rFonts w:hint="eastAsia" w:ascii="黑体" w:hAnsi="黑体" w:eastAsia="黑体" w:cs="黑体"/>
          <w:b/>
          <w:color w:val="auto"/>
          <w:sz w:val="32"/>
          <w:szCs w:val="21"/>
          <w:highlight w:val="none"/>
          <w:lang w:val="en-US" w:eastAsia="zh-CN"/>
        </w:rPr>
        <w:t>六 、类似业绩</w:t>
      </w:r>
    </w:p>
    <w:p w14:paraId="0B0C0786">
      <w:pPr>
        <w:tabs>
          <w:tab w:val="left" w:pos="3122"/>
        </w:tabs>
        <w:spacing w:before="2" w:line="400" w:lineRule="auto"/>
        <w:ind w:right="160" w:rightChars="0"/>
        <w:jc w:val="left"/>
        <w:rPr>
          <w:rFonts w:hint="eastAsia" w:ascii="黑体" w:hAnsi="黑体" w:eastAsia="黑体" w:cs="黑体"/>
          <w:b/>
          <w:color w:val="auto"/>
          <w:sz w:val="32"/>
          <w:szCs w:val="21"/>
          <w:highlight w:val="none"/>
          <w:lang w:val="en-US" w:eastAsia="zh-CN"/>
        </w:rPr>
        <w:sectPr>
          <w:headerReference r:id="rId5" w:type="default"/>
          <w:footerReference r:id="rId6" w:type="default"/>
          <w:type w:val="continuous"/>
          <w:pgSz w:w="11920" w:h="16850"/>
          <w:pgMar w:top="1440" w:right="1800" w:bottom="1440" w:left="1800" w:header="856" w:footer="1250" w:gutter="0"/>
          <w:pgNumType w:fmt="decimal" w:start="1"/>
          <w:cols w:space="720" w:num="1"/>
        </w:sectPr>
      </w:pPr>
      <w:r>
        <w:rPr>
          <w:rFonts w:hint="eastAsia" w:ascii="黑体" w:hAnsi="黑体" w:eastAsia="黑体" w:cs="黑体"/>
          <w:b/>
          <w:color w:val="auto"/>
          <w:sz w:val="32"/>
          <w:szCs w:val="21"/>
          <w:highlight w:val="none"/>
          <w:lang w:val="en-US" w:eastAsia="zh-CN"/>
        </w:rPr>
        <w:t>七 、</w:t>
      </w:r>
      <w:r>
        <w:rPr>
          <w:rFonts w:hint="eastAsia" w:ascii="黑体" w:hAnsi="黑体" w:eastAsia="黑体" w:cs="黑体"/>
          <w:b/>
          <w:color w:val="auto"/>
          <w:sz w:val="32"/>
          <w:szCs w:val="21"/>
          <w:highlight w:val="none"/>
        </w:rPr>
        <w:t>供应商拒绝政府采购领域商业贿赂承诺</w:t>
      </w:r>
      <w:r>
        <w:rPr>
          <w:rFonts w:hint="eastAsia" w:ascii="黑体" w:hAnsi="黑体" w:eastAsia="黑体" w:cs="黑体"/>
          <w:b/>
          <w:color w:val="auto"/>
          <w:sz w:val="32"/>
          <w:szCs w:val="21"/>
          <w:highlight w:val="none"/>
          <w:lang w:val="en-US" w:eastAsia="zh-CN"/>
        </w:rPr>
        <w:t>书</w:t>
      </w:r>
    </w:p>
    <w:p w14:paraId="644BBEF0">
      <w:pPr>
        <w:pStyle w:val="2"/>
        <w:numPr>
          <w:ilvl w:val="0"/>
          <w:numId w:val="66"/>
        </w:numPr>
        <w:tabs>
          <w:tab w:val="left" w:pos="1123"/>
        </w:tabs>
        <w:topLinePunct w:val="0"/>
        <w:ind w:left="0" w:leftChars="0" w:firstLine="482" w:firstLineChars="200"/>
        <w:rPr>
          <w:b/>
          <w:highlight w:val="none"/>
        </w:rPr>
      </w:pPr>
      <w:r>
        <w:rPr>
          <w:highlight w:val="none"/>
        </w:rPr>
        <w:t>磋商响应函</w:t>
      </w:r>
    </w:p>
    <w:p w14:paraId="3CC435EB">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中恭鸿建项目管理有限公司 ：</w:t>
      </w:r>
    </w:p>
    <w:p w14:paraId="27FB2343">
      <w:pPr>
        <w:pStyle w:val="16"/>
        <w:ind w:left="482"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根据贵方为</w:t>
      </w:r>
      <w:r>
        <w:rPr>
          <w:rFonts w:ascii="Times New Roman" w:hAnsi="Times New Roman" w:eastAsia="宋体" w:cs="Times New Roman"/>
          <w:color w:val="auto"/>
          <w:sz w:val="24"/>
          <w:highlight w:val="none"/>
          <w:u w:val="single"/>
        </w:rPr>
        <w:t xml:space="preserve"> （采购项目名称）</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招标采购服务的磋商公告</w:t>
      </w:r>
      <w:r>
        <w:rPr>
          <w:rFonts w:ascii="Times New Roman" w:hAnsi="Times New Roman" w:eastAsia="宋体" w:cs="Times New Roman"/>
          <w:color w:val="auto"/>
          <w:sz w:val="24"/>
          <w:highlight w:val="none"/>
          <w:u w:val="single"/>
        </w:rPr>
        <w:t xml:space="preserve"> （项目编号）</w:t>
      </w:r>
      <w:r>
        <w:rPr>
          <w:rFonts w:ascii="Times New Roman" w:hAnsi="Times New Roman" w:eastAsia="宋体" w:cs="Times New Roman"/>
          <w:color w:val="auto"/>
          <w:sz w:val="24"/>
          <w:highlight w:val="none"/>
        </w:rPr>
        <w:t xml:space="preserve"> ， 签字代表</w:t>
      </w:r>
      <w:r>
        <w:rPr>
          <w:rFonts w:ascii="Times New Roman" w:hAnsi="Times New Roman" w:eastAsia="宋体" w:cs="Times New Roman"/>
          <w:color w:val="auto"/>
          <w:sz w:val="24"/>
          <w:highlight w:val="none"/>
          <w:u w:val="single"/>
        </w:rPr>
        <w:t xml:space="preserve"> （姓名、职务）</w:t>
      </w:r>
      <w:r>
        <w:rPr>
          <w:rFonts w:ascii="Times New Roman" w:hAnsi="Times New Roman" w:eastAsia="宋体" w:cs="Times New Roman"/>
          <w:color w:val="auto"/>
          <w:sz w:val="24"/>
          <w:highlight w:val="none"/>
        </w:rPr>
        <w:t xml:space="preserve"> 经正式授权并代表投标人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（投标人名称、地址）</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，提交磋商响应文件。</w:t>
      </w:r>
    </w:p>
    <w:p w14:paraId="57F0B190">
      <w:pPr>
        <w:pStyle w:val="16"/>
        <w:ind w:left="0" w:leftChars="0" w:firstLine="480" w:firstLineChars="200"/>
        <w:rPr>
          <w:rFonts w:ascii="Times New Roman" w:hAnsi="Times New Roman" w:eastAsia="宋体" w:cs="Times New Roman"/>
          <w:color w:val="auto"/>
          <w:sz w:val="24"/>
          <w:highlight w:val="none"/>
        </w:rPr>
      </w:pPr>
      <w:bookmarkStart w:id="82" w:name="_Toc26762"/>
      <w:r>
        <w:rPr>
          <w:rFonts w:ascii="Times New Roman" w:hAnsi="Times New Roman" w:eastAsia="宋体" w:cs="Times New Roman"/>
          <w:color w:val="auto"/>
          <w:sz w:val="24"/>
          <w:highlight w:val="none"/>
        </w:rPr>
        <w:t>在此，签字代表宣布同意如下：</w:t>
      </w:r>
      <w:bookmarkEnd w:id="82"/>
    </w:p>
    <w:p w14:paraId="75D56643">
      <w:pPr>
        <w:pStyle w:val="16"/>
        <w:numPr>
          <w:ilvl w:val="0"/>
          <w:numId w:val="67"/>
        </w:numPr>
        <w:tabs>
          <w:tab w:val="left" w:pos="1262"/>
          <w:tab w:val="clear" w:pos="210"/>
        </w:tabs>
        <w:ind w:left="482"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所附投标报价表中规定的应提交的服务投标总价。</w:t>
      </w:r>
    </w:p>
    <w:p w14:paraId="778F7A1E">
      <w:pPr>
        <w:pStyle w:val="16"/>
        <w:numPr>
          <w:ilvl w:val="0"/>
          <w:numId w:val="67"/>
        </w:numPr>
        <w:tabs>
          <w:tab w:val="left" w:pos="1262"/>
          <w:tab w:val="clear" w:pos="210"/>
        </w:tabs>
        <w:ind w:left="482"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投标人将按磋商文件的规定履行合同责任和义务。</w:t>
      </w:r>
    </w:p>
    <w:p w14:paraId="77E1730D">
      <w:pPr>
        <w:pStyle w:val="16"/>
        <w:numPr>
          <w:ilvl w:val="0"/>
          <w:numId w:val="67"/>
        </w:numPr>
        <w:tabs>
          <w:tab w:val="left" w:pos="1262"/>
          <w:tab w:val="clear" w:pos="210"/>
        </w:tabs>
        <w:ind w:left="482"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投标人已详细审查全部磋商文件。我们完全理解并同意放弃对这方面有不明及误解的权力。</w:t>
      </w:r>
    </w:p>
    <w:p w14:paraId="2E7C5F96">
      <w:pPr>
        <w:pStyle w:val="16"/>
        <w:numPr>
          <w:ilvl w:val="0"/>
          <w:numId w:val="67"/>
        </w:numPr>
        <w:tabs>
          <w:tab w:val="left" w:pos="1262"/>
          <w:tab w:val="clear" w:pos="210"/>
        </w:tabs>
        <w:ind w:left="482"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本投标有效期为自开标日起</w:t>
      </w:r>
      <w:r>
        <w:rPr>
          <w:rFonts w:ascii="Times New Roman" w:hAnsi="Times New Roman" w:eastAsia="宋体" w:cs="Times New Roman"/>
          <w:color w:val="auto"/>
          <w:sz w:val="24"/>
          <w:highlight w:val="none"/>
          <w:u w:val="single"/>
        </w:rPr>
        <w:t xml:space="preserve"> 90</w:t>
      </w:r>
      <w:r>
        <w:rPr>
          <w:rFonts w:ascii="Times New Roman" w:hAnsi="Times New Roman" w:eastAsia="宋体" w:cs="Times New Roman"/>
          <w:color w:val="auto"/>
          <w:sz w:val="24"/>
          <w:highlight w:val="none"/>
        </w:rPr>
        <w:t xml:space="preserve"> 个日历日（中标人的磋商响应文件有效期延长为与合同有效期一致）。</w:t>
      </w:r>
    </w:p>
    <w:p w14:paraId="43F65C0A">
      <w:pPr>
        <w:pStyle w:val="16"/>
        <w:numPr>
          <w:ilvl w:val="0"/>
          <w:numId w:val="67"/>
        </w:numPr>
        <w:tabs>
          <w:tab w:val="left" w:pos="1262"/>
          <w:tab w:val="clear" w:pos="210"/>
        </w:tabs>
        <w:ind w:left="482"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投标人完全理解并同意贵方在磋商文件中的有关拒绝投标的条款。</w:t>
      </w:r>
    </w:p>
    <w:p w14:paraId="27F3FD54">
      <w:pPr>
        <w:pStyle w:val="16"/>
        <w:numPr>
          <w:ilvl w:val="0"/>
          <w:numId w:val="67"/>
        </w:numPr>
        <w:tabs>
          <w:tab w:val="left" w:pos="1262"/>
          <w:tab w:val="clear" w:pos="210"/>
        </w:tabs>
        <w:ind w:left="482"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投标人同意提供按照贵方可能要求的与其投标有关的一切数据或资料，完全理解贵方不一定接受最低投标报价的投标或收到的任何投标。</w:t>
      </w:r>
    </w:p>
    <w:p w14:paraId="154CA592">
      <w:pPr>
        <w:pStyle w:val="16"/>
        <w:numPr>
          <w:ilvl w:val="0"/>
          <w:numId w:val="67"/>
        </w:numPr>
        <w:tabs>
          <w:tab w:val="left" w:pos="1262"/>
          <w:tab w:val="clear" w:pos="210"/>
        </w:tabs>
        <w:ind w:left="482"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若我方获得中标，我方保证按有关规定向贵方支付中标服务费。</w:t>
      </w:r>
    </w:p>
    <w:p w14:paraId="67DF4127">
      <w:pPr>
        <w:pStyle w:val="16"/>
        <w:numPr>
          <w:ilvl w:val="0"/>
          <w:numId w:val="67"/>
        </w:numPr>
        <w:tabs>
          <w:tab w:val="left" w:pos="1262"/>
          <w:tab w:val="clear" w:pos="210"/>
        </w:tabs>
        <w:ind w:left="482" w:leftChars="0" w:firstLine="480" w:firstLineChars="200"/>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与本投标有关的一切正式往来信函请寄：</w:t>
      </w:r>
    </w:p>
    <w:p w14:paraId="6D47C93A">
      <w:pPr>
        <w:pStyle w:val="16"/>
        <w:ind w:left="958"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投标人名称（公章）：</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详   细   地  址：</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邮   政   编  码：</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电</w:t>
      </w:r>
      <w:r>
        <w:rPr>
          <w:rFonts w:ascii="Times New Roman" w:hAnsi="Times New Roman" w:eastAsia="宋体" w:cs="Times New Roman"/>
          <w:color w:val="auto"/>
          <w:sz w:val="24"/>
          <w:highlight w:val="none"/>
        </w:rPr>
        <w:tab/>
      </w:r>
      <w:r>
        <w:rPr>
          <w:rFonts w:ascii="Times New Roman" w:hAnsi="Times New Roman" w:eastAsia="宋体" w:cs="Times New Roman"/>
          <w:color w:val="auto"/>
          <w:sz w:val="24"/>
          <w:highlight w:val="none"/>
        </w:rPr>
        <w:t>话：</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p>
    <w:p w14:paraId="6D49059B">
      <w:pPr>
        <w:pStyle w:val="16"/>
        <w:ind w:left="958"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电 子 邮 件 地 址：</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开   户   银  行：</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帐</w:t>
      </w:r>
      <w:r>
        <w:rPr>
          <w:rFonts w:ascii="Times New Roman" w:hAnsi="Times New Roman" w:eastAsia="宋体" w:cs="Times New Roman"/>
          <w:color w:val="auto"/>
          <w:sz w:val="24"/>
          <w:highlight w:val="none"/>
        </w:rPr>
        <w:tab/>
      </w:r>
      <w:r>
        <w:rPr>
          <w:rFonts w:ascii="Times New Roman" w:hAnsi="Times New Roman" w:eastAsia="宋体" w:cs="Times New Roman"/>
          <w:color w:val="auto"/>
          <w:sz w:val="24"/>
          <w:highlight w:val="none"/>
        </w:rPr>
        <w:t>号：</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p>
    <w:p w14:paraId="7362EA2C">
      <w:pPr>
        <w:tabs>
          <w:tab w:val="left" w:pos="840"/>
          <w:tab w:val="left" w:pos="1678"/>
        </w:tabs>
        <w:spacing w:before="62" w:after="120" w:afterAutospacing="0" w:line="360" w:lineRule="auto"/>
        <w:ind w:left="0" w:right="1114" w:firstLine="0"/>
        <w:jc w:val="right"/>
        <w:rPr>
          <w:rFonts w:hint="eastAsia" w:ascii="Times New Roman" w:hAnsi="Times New Roman" w:eastAsia="宋体" w:cs="Times New Roman"/>
          <w:color w:val="auto"/>
          <w:sz w:val="24"/>
          <w:highlight w:val="none"/>
        </w:rPr>
        <w:sectPr>
          <w:pgSz w:w="11920" w:h="16850"/>
          <w:pgMar w:top="1360" w:right="780" w:bottom="1440" w:left="980" w:header="856" w:footer="1250" w:gutter="0"/>
          <w:pgNumType w:fmt="decimal"/>
          <w:cols w:space="720" w:num="1"/>
        </w:sectPr>
      </w:pPr>
      <w:r>
        <w:rPr>
          <w:rFonts w:hint="eastAsia" w:ascii="Times New Roman" w:hAnsi="Times New Roman" w:eastAsia="宋体" w:cs="Times New Roman"/>
          <w:color w:val="auto"/>
          <w:sz w:val="24"/>
          <w:highlight w:val="none"/>
        </w:rPr>
        <w:t>年</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月</w:t>
      </w:r>
      <w:r>
        <w:rPr>
          <w:rFonts w:hint="eastAsia" w:ascii="Times New Roman" w:hAnsi="Times New Roman" w:eastAsia="宋体" w:cs="Times New Roman"/>
          <w:color w:val="auto"/>
          <w:sz w:val="24"/>
          <w:highlight w:val="none"/>
          <w:lang w:val="en-US" w:eastAsia="zh-CN"/>
        </w:rPr>
        <w:t xml:space="preserve">   </w:t>
      </w:r>
      <w:r>
        <w:rPr>
          <w:rFonts w:hint="eastAsia" w:ascii="Times New Roman" w:hAnsi="Times New Roman" w:eastAsia="宋体" w:cs="Times New Roman"/>
          <w:color w:val="auto"/>
          <w:sz w:val="24"/>
          <w:highlight w:val="none"/>
          <w:lang w:eastAsia="zh-CN"/>
        </w:rPr>
        <w:t>日</w:t>
      </w:r>
    </w:p>
    <w:p w14:paraId="1FD73E4C">
      <w:pPr>
        <w:pStyle w:val="2"/>
        <w:numPr>
          <w:ilvl w:val="0"/>
          <w:numId w:val="66"/>
        </w:numPr>
        <w:tabs>
          <w:tab w:val="left" w:pos="1123"/>
        </w:tabs>
        <w:topLinePunct w:val="0"/>
        <w:ind w:left="0" w:leftChars="0" w:firstLine="482" w:firstLineChars="200"/>
        <w:rPr>
          <w:b/>
          <w:highlight w:val="none"/>
        </w:rPr>
      </w:pPr>
      <w:r>
        <w:rPr>
          <w:highlight w:val="none"/>
        </w:rPr>
        <w:t>报价一览表</w:t>
      </w:r>
    </w:p>
    <w:p w14:paraId="38D9A11B">
      <w:pPr>
        <w:pStyle w:val="16"/>
        <w:ind w:left="0" w:leftChars="0" w:firstLine="482" w:firstLineChars="200"/>
        <w:rPr>
          <w:rFonts w:ascii="Times New Roman" w:hAnsi="Times New Roman" w:eastAsia="宋体" w:cs="Times New Roman"/>
          <w:color w:val="auto"/>
          <w:sz w:val="24"/>
          <w:highlight w:val="none"/>
        </w:rPr>
      </w:pPr>
      <w:r>
        <w:rPr>
          <w:rFonts w:ascii="Times New Roman" w:hAnsi="Times New Roman" w:eastAsia="宋体" w:cs="Times New Roman"/>
          <w:b/>
          <w:color w:val="auto"/>
          <w:sz w:val="24"/>
          <w:highlight w:val="none"/>
        </w:rPr>
        <w:t>项目编号：</w:t>
      </w:r>
    </w:p>
    <w:tbl>
      <w:tblPr>
        <w:tblStyle w:val="82"/>
        <w:tblW w:w="98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0" w:type="dxa"/>
          <w:left w:w="128" w:type="dxa"/>
          <w:bottom w:w="80" w:type="dxa"/>
          <w:right w:w="128" w:type="dxa"/>
        </w:tblCellMar>
      </w:tblPr>
      <w:tblGrid>
        <w:gridCol w:w="3438"/>
        <w:gridCol w:w="2911"/>
        <w:gridCol w:w="1922"/>
        <w:gridCol w:w="1550"/>
      </w:tblGrid>
      <w:tr w14:paraId="26557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28" w:type="dxa"/>
            <w:bottom w:w="80" w:type="dxa"/>
            <w:right w:w="128" w:type="dxa"/>
          </w:tblCellMar>
        </w:tblPrEx>
        <w:trPr>
          <w:trHeight w:val="1209" w:hRule="atLeast"/>
          <w:jc w:val="center"/>
        </w:trPr>
        <w:tc>
          <w:tcPr>
            <w:tcW w:w="3438" w:type="dxa"/>
            <w:tcBorders>
              <w:left w:val="single" w:color="000000" w:sz="10" w:space="0"/>
            </w:tcBorders>
            <w:vAlign w:val="center"/>
          </w:tcPr>
          <w:p w14:paraId="24FB7A75">
            <w:pPr>
              <w:snapToGrid w:val="0"/>
              <w:jc w:val="center"/>
              <w:rPr>
                <w:rFonts w:hint="eastAsia"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项目项目</w:t>
            </w:r>
          </w:p>
        </w:tc>
        <w:tc>
          <w:tcPr>
            <w:tcW w:w="2911" w:type="dxa"/>
            <w:vAlign w:val="center"/>
          </w:tcPr>
          <w:p w14:paraId="5AFF8001">
            <w:pPr>
              <w:snapToGrid w:val="0"/>
              <w:jc w:val="center"/>
              <w:rPr>
                <w:rFonts w:hint="eastAsia"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总报价（元）</w:t>
            </w:r>
          </w:p>
        </w:tc>
        <w:tc>
          <w:tcPr>
            <w:tcW w:w="1922" w:type="dxa"/>
            <w:tcBorders>
              <w:right w:val="single" w:color="000000" w:sz="10" w:space="0"/>
            </w:tcBorders>
            <w:vAlign w:val="center"/>
          </w:tcPr>
          <w:p w14:paraId="48A9869E">
            <w:pPr>
              <w:snapToGrid w:val="0"/>
              <w:jc w:val="center"/>
              <w:rPr>
                <w:rFonts w:hint="eastAsia"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服务期</w:t>
            </w:r>
          </w:p>
        </w:tc>
        <w:tc>
          <w:tcPr>
            <w:tcW w:w="1550" w:type="dxa"/>
            <w:tcBorders>
              <w:right w:val="single" w:color="000000" w:sz="10" w:space="0"/>
            </w:tcBorders>
            <w:vAlign w:val="center"/>
          </w:tcPr>
          <w:p w14:paraId="5CB4E1BB">
            <w:pPr>
              <w:snapToGrid w:val="0"/>
              <w:jc w:val="center"/>
              <w:rPr>
                <w:rFonts w:hint="eastAsia"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备注</w:t>
            </w:r>
          </w:p>
        </w:tc>
      </w:tr>
      <w:tr w14:paraId="30F33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28" w:type="dxa"/>
            <w:bottom w:w="80" w:type="dxa"/>
            <w:right w:w="128" w:type="dxa"/>
          </w:tblCellMar>
        </w:tblPrEx>
        <w:trPr>
          <w:trHeight w:val="1214" w:hRule="atLeast"/>
          <w:jc w:val="center"/>
        </w:trPr>
        <w:tc>
          <w:tcPr>
            <w:tcW w:w="3438" w:type="dxa"/>
            <w:tcBorders>
              <w:left w:val="single" w:color="000000" w:sz="10" w:space="0"/>
            </w:tcBorders>
            <w:vAlign w:val="center"/>
          </w:tcPr>
          <w:p w14:paraId="124F31BB">
            <w:pPr>
              <w:snapToGrid w:val="0"/>
              <w:jc w:val="center"/>
              <w:rPr>
                <w:rFonts w:hint="eastAsia" w:ascii="黑体" w:hAnsi="黑体" w:eastAsia="黑体" w:cs="黑体"/>
                <w:color w:val="auto"/>
                <w:sz w:val="24"/>
                <w:szCs w:val="24"/>
                <w:highlight w:val="none"/>
              </w:rPr>
            </w:pPr>
          </w:p>
        </w:tc>
        <w:tc>
          <w:tcPr>
            <w:tcW w:w="2911" w:type="dxa"/>
            <w:vAlign w:val="center"/>
          </w:tcPr>
          <w:p w14:paraId="64FEA2E0">
            <w:pPr>
              <w:spacing w:line="360" w:lineRule="auto"/>
              <w:jc w:val="left"/>
              <w:rPr>
                <w:rFonts w:hint="eastAsia" w:ascii="黑体" w:hAnsi="黑体" w:eastAsia="黑体" w:cs="黑体"/>
                <w:b w:val="0"/>
                <w:bCs w:val="0"/>
                <w:color w:val="auto"/>
                <w:sz w:val="24"/>
                <w:szCs w:val="24"/>
              </w:rPr>
            </w:pPr>
          </w:p>
          <w:p w14:paraId="6BF74542">
            <w:pPr>
              <w:spacing w:line="360" w:lineRule="auto"/>
              <w:jc w:val="left"/>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rPr>
              <w:t>小写金额：</w:t>
            </w:r>
            <w:r>
              <w:rPr>
                <w:rFonts w:hint="eastAsia" w:ascii="黑体" w:hAnsi="黑体" w:eastAsia="黑体" w:cs="黑体"/>
                <w:b w:val="0"/>
                <w:bCs w:val="0"/>
                <w:color w:val="auto"/>
                <w:sz w:val="24"/>
                <w:szCs w:val="24"/>
                <w:u w:val="single"/>
              </w:rPr>
              <w:t xml:space="preserve">          </w:t>
            </w:r>
            <w:r>
              <w:rPr>
                <w:rFonts w:hint="eastAsia" w:ascii="黑体" w:hAnsi="黑体" w:eastAsia="黑体" w:cs="黑体"/>
                <w:b w:val="0"/>
                <w:bCs w:val="0"/>
                <w:color w:val="auto"/>
                <w:sz w:val="24"/>
                <w:szCs w:val="24"/>
              </w:rPr>
              <w:t>元。</w:t>
            </w:r>
          </w:p>
          <w:p w14:paraId="399B025A">
            <w:pPr>
              <w:spacing w:line="360" w:lineRule="auto"/>
              <w:jc w:val="left"/>
              <w:rPr>
                <w:rFonts w:hint="eastAsia" w:ascii="黑体" w:hAnsi="黑体" w:eastAsia="黑体" w:cs="黑体"/>
                <w:b w:val="0"/>
                <w:bCs w:val="0"/>
                <w:color w:val="auto"/>
                <w:sz w:val="24"/>
                <w:szCs w:val="24"/>
              </w:rPr>
            </w:pPr>
          </w:p>
          <w:p w14:paraId="7D2C5105">
            <w:pPr>
              <w:snapToGrid w:val="0"/>
              <w:jc w:val="left"/>
              <w:rPr>
                <w:rFonts w:hint="eastAsia" w:ascii="黑体" w:hAnsi="黑体" w:eastAsia="黑体" w:cs="黑体"/>
                <w:color w:val="auto"/>
                <w:sz w:val="24"/>
                <w:szCs w:val="24"/>
                <w:highlight w:val="none"/>
                <w:lang w:eastAsia="zh-CN"/>
              </w:rPr>
            </w:pPr>
            <w:r>
              <w:rPr>
                <w:rFonts w:hint="eastAsia" w:ascii="黑体" w:hAnsi="黑体" w:eastAsia="黑体" w:cs="黑体"/>
                <w:b w:val="0"/>
                <w:bCs w:val="0"/>
                <w:color w:val="auto"/>
                <w:sz w:val="24"/>
                <w:szCs w:val="24"/>
              </w:rPr>
              <w:t>大写金额：</w:t>
            </w:r>
            <w:r>
              <w:rPr>
                <w:rFonts w:hint="eastAsia" w:ascii="黑体" w:hAnsi="黑体" w:eastAsia="黑体" w:cs="黑体"/>
                <w:b w:val="0"/>
                <w:bCs w:val="0"/>
                <w:color w:val="auto"/>
                <w:sz w:val="24"/>
                <w:szCs w:val="24"/>
                <w:u w:val="single"/>
              </w:rPr>
              <w:t xml:space="preserve">         </w:t>
            </w:r>
            <w:r>
              <w:rPr>
                <w:rFonts w:hint="eastAsia" w:ascii="黑体" w:hAnsi="黑体" w:eastAsia="黑体" w:cs="黑体"/>
                <w:b w:val="0"/>
                <w:bCs w:val="0"/>
                <w:color w:val="auto"/>
                <w:sz w:val="24"/>
                <w:szCs w:val="24"/>
              </w:rPr>
              <w:t>元。</w:t>
            </w:r>
          </w:p>
          <w:p w14:paraId="29339B18">
            <w:pPr>
              <w:snapToGrid w:val="0"/>
              <w:jc w:val="left"/>
              <w:rPr>
                <w:rFonts w:hint="eastAsia" w:ascii="黑体" w:hAnsi="黑体" w:eastAsia="黑体" w:cs="黑体"/>
                <w:color w:val="auto"/>
                <w:sz w:val="24"/>
                <w:szCs w:val="24"/>
                <w:highlight w:val="none"/>
                <w:lang w:eastAsia="zh-CN"/>
              </w:rPr>
            </w:pPr>
          </w:p>
          <w:p w14:paraId="37E15E7E">
            <w:pPr>
              <w:snapToGrid w:val="0"/>
              <w:jc w:val="left"/>
              <w:rPr>
                <w:rFonts w:hint="eastAsia" w:ascii="黑体" w:hAnsi="黑体" w:eastAsia="黑体" w:cs="黑体"/>
                <w:color w:val="auto"/>
                <w:sz w:val="24"/>
                <w:szCs w:val="24"/>
                <w:highlight w:val="none"/>
                <w:lang w:eastAsia="zh-CN"/>
              </w:rPr>
            </w:pPr>
          </w:p>
        </w:tc>
        <w:tc>
          <w:tcPr>
            <w:tcW w:w="1922" w:type="dxa"/>
            <w:tcBorders>
              <w:right w:val="single" w:color="000000" w:sz="10" w:space="0"/>
            </w:tcBorders>
            <w:vAlign w:val="center"/>
          </w:tcPr>
          <w:p w14:paraId="5033B130">
            <w:pPr>
              <w:snapToGrid w:val="0"/>
              <w:jc w:val="center"/>
              <w:rPr>
                <w:rFonts w:hint="eastAsia" w:ascii="黑体" w:hAnsi="黑体" w:eastAsia="黑体" w:cs="黑体"/>
                <w:color w:val="auto"/>
                <w:sz w:val="24"/>
                <w:szCs w:val="24"/>
                <w:highlight w:val="none"/>
              </w:rPr>
            </w:pPr>
          </w:p>
        </w:tc>
        <w:tc>
          <w:tcPr>
            <w:tcW w:w="1550" w:type="dxa"/>
            <w:tcBorders>
              <w:right w:val="single" w:color="000000" w:sz="10" w:space="0"/>
            </w:tcBorders>
            <w:vAlign w:val="center"/>
          </w:tcPr>
          <w:p w14:paraId="7EC16EC4">
            <w:pPr>
              <w:snapToGrid w:val="0"/>
              <w:jc w:val="center"/>
              <w:rPr>
                <w:rFonts w:hint="eastAsia" w:ascii="黑体" w:hAnsi="黑体" w:eastAsia="黑体" w:cs="黑体"/>
                <w:color w:val="auto"/>
                <w:sz w:val="24"/>
                <w:szCs w:val="24"/>
                <w:highlight w:val="none"/>
              </w:rPr>
            </w:pPr>
          </w:p>
        </w:tc>
      </w:tr>
    </w:tbl>
    <w:p w14:paraId="1687AEAC">
      <w:pPr>
        <w:spacing w:line="262" w:lineRule="auto"/>
        <w:rPr>
          <w:rFonts w:hint="eastAsia" w:ascii="黑体" w:hAnsi="黑体" w:eastAsia="黑体" w:cs="黑体"/>
          <w:color w:val="auto"/>
          <w:sz w:val="24"/>
          <w:szCs w:val="24"/>
          <w:highlight w:val="none"/>
        </w:rPr>
      </w:pPr>
    </w:p>
    <w:p w14:paraId="16A973F6">
      <w:pPr>
        <w:pStyle w:val="16"/>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说明：</w:t>
      </w:r>
    </w:p>
    <w:p w14:paraId="00DA0742">
      <w:pPr>
        <w:pStyle w:val="16"/>
        <w:numPr>
          <w:ilvl w:val="0"/>
          <w:numId w:val="68"/>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报价应按总报价填写，大小写不一致时 以大写为准；精确到小数点后两位；</w:t>
      </w:r>
    </w:p>
    <w:p w14:paraId="79213C8A">
      <w:pPr>
        <w:pStyle w:val="16"/>
        <w:numPr>
          <w:ilvl w:val="0"/>
          <w:numId w:val="68"/>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“报价一览表”以元单位填写；                                 </w:t>
      </w:r>
    </w:p>
    <w:p w14:paraId="0B03D1B9">
      <w:pPr>
        <w:pStyle w:val="16"/>
        <w:numPr>
          <w:ilvl w:val="0"/>
          <w:numId w:val="68"/>
        </w:numPr>
        <w:tabs>
          <w:tab w:val="left" w:pos="840"/>
        </w:tabs>
        <w:topLinePunct w:val="0"/>
        <w:ind w:left="0"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本表所列各项数据与响应文件其他地方表述不一致时， 以本表为准；     </w:t>
      </w:r>
    </w:p>
    <w:p w14:paraId="083DFB52">
      <w:pPr>
        <w:keepNext w:val="0"/>
        <w:keepLines w:val="0"/>
        <w:pageBreakBefore w:val="0"/>
        <w:widowControl w:val="0"/>
        <w:tabs>
          <w:tab w:val="left" w:pos="6382"/>
        </w:tabs>
        <w:kinsoku/>
        <w:wordWrap/>
        <w:overflowPunct/>
        <w:topLinePunct w:val="0"/>
        <w:autoSpaceDE/>
        <w:autoSpaceDN/>
        <w:bidi w:val="0"/>
        <w:adjustRightInd/>
        <w:snapToGrid/>
        <w:spacing w:before="1" w:line="360" w:lineRule="auto"/>
        <w:ind w:left="717" w:right="0" w:firstLine="0"/>
        <w:jc w:val="left"/>
        <w:textAlignment w:val="auto"/>
        <w:rPr>
          <w:rFonts w:hint="eastAsia" w:ascii="黑体" w:hAnsi="黑体" w:eastAsia="黑体" w:cs="黑体"/>
          <w:color w:val="auto"/>
          <w:sz w:val="24"/>
          <w:szCs w:val="24"/>
          <w:highlight w:val="none"/>
          <w:lang w:eastAsia="zh-CN"/>
        </w:rPr>
      </w:pPr>
    </w:p>
    <w:p w14:paraId="0C25669E">
      <w:pPr>
        <w:keepNext w:val="0"/>
        <w:keepLines w:val="0"/>
        <w:pageBreakBefore w:val="0"/>
        <w:widowControl w:val="0"/>
        <w:tabs>
          <w:tab w:val="left" w:pos="6382"/>
        </w:tabs>
        <w:kinsoku/>
        <w:wordWrap/>
        <w:overflowPunct/>
        <w:topLinePunct w:val="0"/>
        <w:autoSpaceDE/>
        <w:autoSpaceDN/>
        <w:bidi w:val="0"/>
        <w:adjustRightInd/>
        <w:snapToGrid/>
        <w:spacing w:before="1" w:after="120" w:afterAutospacing="0" w:line="360" w:lineRule="auto"/>
        <w:ind w:left="717" w:right="0" w:firstLine="0"/>
        <w:jc w:val="left"/>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pacing w:val="-3"/>
          <w:sz w:val="24"/>
          <w:szCs w:val="24"/>
          <w:highlight w:val="none"/>
        </w:rPr>
        <w:t>（</w:t>
      </w:r>
      <w:r>
        <w:rPr>
          <w:rFonts w:hint="eastAsia" w:ascii="Times New Roman" w:hAnsi="Times New Roman" w:eastAsia="宋体" w:cs="Times New Roman"/>
          <w:color w:val="auto"/>
          <w:sz w:val="24"/>
          <w:szCs w:val="24"/>
          <w:highlight w:val="none"/>
        </w:rPr>
        <w:t>盖章</w:t>
      </w:r>
      <w:r>
        <w:rPr>
          <w:rFonts w:hint="eastAsia" w:ascii="Times New Roman" w:hAnsi="Times New Roman" w:eastAsia="宋体" w:cs="Times New Roman"/>
          <w:color w:val="auto"/>
          <w:spacing w:val="-3"/>
          <w:sz w:val="24"/>
          <w:szCs w:val="24"/>
          <w:highlight w:val="none"/>
        </w:rPr>
        <w:t>）：</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ab/>
      </w:r>
    </w:p>
    <w:p w14:paraId="5121D566">
      <w:pPr>
        <w:keepNext w:val="0"/>
        <w:keepLines w:val="0"/>
        <w:pageBreakBefore w:val="0"/>
        <w:widowControl w:val="0"/>
        <w:tabs>
          <w:tab w:val="left" w:pos="8060"/>
        </w:tabs>
        <w:kinsoku/>
        <w:wordWrap/>
        <w:overflowPunct/>
        <w:topLinePunct w:val="0"/>
        <w:autoSpaceDE/>
        <w:autoSpaceDN/>
        <w:bidi w:val="0"/>
        <w:adjustRightInd/>
        <w:snapToGrid/>
        <w:spacing w:before="71" w:after="120" w:afterAutospacing="0" w:line="360" w:lineRule="auto"/>
        <w:ind w:left="717" w:right="0" w:firstLine="0"/>
        <w:jc w:val="left"/>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w:t>
      </w:r>
      <w:r>
        <w:rPr>
          <w:rFonts w:hint="eastAsia" w:ascii="Times New Roman" w:hAnsi="Times New Roman" w:eastAsia="宋体" w:cs="Times New Roman"/>
          <w:color w:val="auto"/>
          <w:spacing w:val="-3"/>
          <w:sz w:val="24"/>
          <w:szCs w:val="24"/>
          <w:highlight w:val="none"/>
        </w:rPr>
        <w:t>表</w:t>
      </w:r>
      <w:r>
        <w:rPr>
          <w:rFonts w:hint="eastAsia" w:ascii="Times New Roman" w:hAnsi="Times New Roman" w:eastAsia="宋体" w:cs="Times New Roman"/>
          <w:color w:val="auto"/>
          <w:sz w:val="24"/>
          <w:szCs w:val="24"/>
          <w:highlight w:val="none"/>
        </w:rPr>
        <w:t>人或</w:t>
      </w:r>
      <w:r>
        <w:rPr>
          <w:rFonts w:hint="eastAsia" w:ascii="Times New Roman" w:hAnsi="Times New Roman" w:eastAsia="宋体" w:cs="Times New Roman"/>
          <w:color w:val="auto"/>
          <w:spacing w:val="-3"/>
          <w:sz w:val="24"/>
          <w:szCs w:val="24"/>
          <w:highlight w:val="none"/>
        </w:rPr>
        <w:t>授权</w:t>
      </w:r>
      <w:r>
        <w:rPr>
          <w:rFonts w:hint="eastAsia" w:ascii="Times New Roman" w:hAnsi="Times New Roman" w:eastAsia="宋体" w:cs="Times New Roman"/>
          <w:color w:val="auto"/>
          <w:sz w:val="24"/>
          <w:szCs w:val="24"/>
          <w:highlight w:val="none"/>
        </w:rPr>
        <w:t>代理人</w:t>
      </w:r>
      <w:r>
        <w:rPr>
          <w:rFonts w:hint="eastAsia" w:ascii="Times New Roman" w:hAnsi="Times New Roman" w:eastAsia="宋体" w:cs="Times New Roman"/>
          <w:color w:val="auto"/>
          <w:spacing w:val="-3"/>
          <w:sz w:val="24"/>
          <w:szCs w:val="24"/>
          <w:highlight w:val="none"/>
        </w:rPr>
        <w:t>签</w:t>
      </w:r>
      <w:r>
        <w:rPr>
          <w:rFonts w:hint="eastAsia" w:ascii="Times New Roman" w:hAnsi="Times New Roman" w:eastAsia="宋体" w:cs="Times New Roman"/>
          <w:color w:val="auto"/>
          <w:sz w:val="24"/>
          <w:szCs w:val="24"/>
          <w:highlight w:val="none"/>
        </w:rPr>
        <w:t>字</w:t>
      </w:r>
      <w:r>
        <w:rPr>
          <w:rFonts w:hint="eastAsia" w:ascii="Times New Roman" w:hAnsi="Times New Roman" w:eastAsia="宋体" w:cs="Times New Roman"/>
          <w:color w:val="auto"/>
          <w:sz w:val="24"/>
          <w:szCs w:val="24"/>
          <w:highlight w:val="none"/>
          <w:lang w:eastAsia="zh-CN"/>
        </w:rPr>
        <w:t>或盖章</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ab/>
      </w:r>
    </w:p>
    <w:p w14:paraId="05F47595">
      <w:pPr>
        <w:tabs>
          <w:tab w:val="left" w:pos="6994"/>
          <w:tab w:val="left" w:pos="8115"/>
          <w:tab w:val="left" w:pos="9236"/>
        </w:tabs>
        <w:spacing w:before="62" w:after="120" w:afterAutospacing="0" w:line="360" w:lineRule="auto"/>
        <w:ind w:left="5172" w:right="0" w:firstLine="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w:t>
      </w:r>
      <w:r>
        <w:rPr>
          <w:rFonts w:hint="eastAsia" w:ascii="Times New Roman" w:hAnsi="Times New Roman" w:eastAsia="宋体" w:cs="Times New Roman"/>
          <w:color w:val="auto"/>
          <w:spacing w:val="-3"/>
          <w:sz w:val="24"/>
          <w:szCs w:val="24"/>
          <w:highlight w:val="none"/>
        </w:rPr>
        <w:t>：</w:t>
      </w:r>
      <w:r>
        <w:rPr>
          <w:rFonts w:hint="eastAsia" w:ascii="Times New Roman" w:hAnsi="Times New Roman" w:eastAsia="宋体" w:cs="Times New Roman"/>
          <w:color w:val="auto"/>
          <w:spacing w:val="-3"/>
          <w:sz w:val="24"/>
          <w:szCs w:val="24"/>
          <w:highlight w:val="none"/>
          <w:u w:val="single"/>
        </w:rPr>
        <w:t xml:space="preserve"> </w:t>
      </w:r>
      <w:r>
        <w:rPr>
          <w:rFonts w:hint="eastAsia" w:ascii="Times New Roman" w:hAnsi="Times New Roman" w:eastAsia="宋体" w:cs="Times New Roman"/>
          <w:color w:val="auto"/>
          <w:spacing w:val="-3"/>
          <w:sz w:val="24"/>
          <w:szCs w:val="24"/>
          <w:highlight w:val="none"/>
          <w:u w:val="single"/>
        </w:rPr>
        <w:tab/>
      </w:r>
      <w:r>
        <w:rPr>
          <w:rFonts w:hint="eastAsia" w:ascii="Times New Roman" w:hAnsi="Times New Roman" w:eastAsia="宋体" w:cs="Times New Roman"/>
          <w:color w:val="auto"/>
          <w:spacing w:val="-3"/>
          <w:sz w:val="24"/>
          <w:szCs w:val="24"/>
          <w:highlight w:val="none"/>
        </w:rPr>
        <w:t>年</w:t>
      </w:r>
      <w:r>
        <w:rPr>
          <w:rFonts w:hint="eastAsia" w:ascii="Times New Roman" w:hAnsi="Times New Roman" w:eastAsia="宋体" w:cs="Times New Roman"/>
          <w:color w:val="auto"/>
          <w:spacing w:val="-3"/>
          <w:sz w:val="24"/>
          <w:szCs w:val="24"/>
          <w:highlight w:val="none"/>
          <w:u w:val="single"/>
        </w:rPr>
        <w:t xml:space="preserve"> </w:t>
      </w:r>
      <w:r>
        <w:rPr>
          <w:rFonts w:hint="eastAsia" w:ascii="Times New Roman" w:hAnsi="Times New Roman" w:eastAsia="宋体" w:cs="Times New Roman"/>
          <w:color w:val="auto"/>
          <w:spacing w:val="-3"/>
          <w:sz w:val="24"/>
          <w:szCs w:val="24"/>
          <w:highlight w:val="none"/>
          <w:u w:val="single"/>
        </w:rPr>
        <w:tab/>
      </w:r>
      <w:r>
        <w:rPr>
          <w:rFonts w:hint="eastAsia" w:ascii="Times New Roman" w:hAnsi="Times New Roman" w:eastAsia="宋体" w:cs="Times New Roman"/>
          <w:color w:val="auto"/>
          <w:spacing w:val="-3"/>
          <w:sz w:val="24"/>
          <w:szCs w:val="24"/>
          <w:highlight w:val="none"/>
        </w:rPr>
        <w:t>月</w:t>
      </w:r>
      <w:r>
        <w:rPr>
          <w:rFonts w:hint="eastAsia" w:ascii="Times New Roman" w:hAnsi="Times New Roman" w:eastAsia="宋体" w:cs="Times New Roman"/>
          <w:color w:val="auto"/>
          <w:spacing w:val="-3"/>
          <w:sz w:val="24"/>
          <w:szCs w:val="24"/>
          <w:highlight w:val="none"/>
          <w:u w:val="single"/>
        </w:rPr>
        <w:t xml:space="preserve"> </w:t>
      </w:r>
      <w:r>
        <w:rPr>
          <w:rFonts w:hint="eastAsia" w:ascii="Times New Roman" w:hAnsi="Times New Roman" w:eastAsia="宋体" w:cs="Times New Roman"/>
          <w:color w:val="auto"/>
          <w:spacing w:val="-3"/>
          <w:sz w:val="24"/>
          <w:szCs w:val="24"/>
          <w:highlight w:val="none"/>
          <w:u w:val="single"/>
        </w:rPr>
        <w:tab/>
      </w:r>
      <w:r>
        <w:rPr>
          <w:rFonts w:hint="eastAsia" w:ascii="Times New Roman" w:hAnsi="Times New Roman" w:eastAsia="宋体" w:cs="Times New Roman"/>
          <w:color w:val="auto"/>
          <w:sz w:val="24"/>
          <w:szCs w:val="24"/>
          <w:highlight w:val="none"/>
        </w:rPr>
        <w:t>日</w:t>
      </w:r>
    </w:p>
    <w:p w14:paraId="422A77F1">
      <w:pPr>
        <w:rPr>
          <w:highlight w:val="none"/>
        </w:rPr>
      </w:pPr>
      <w:bookmarkStart w:id="83" w:name="六 、供应商资格证明文件"/>
      <w:bookmarkEnd w:id="83"/>
      <w:bookmarkStart w:id="84" w:name="四、分部分项报价表"/>
      <w:bookmarkEnd w:id="84"/>
      <w:bookmarkStart w:id="85" w:name="五、拟投入本项目人员汇总表"/>
      <w:bookmarkEnd w:id="85"/>
      <w:bookmarkStart w:id="86" w:name="_Toc19751"/>
      <w:r>
        <w:rPr>
          <w:highlight w:val="none"/>
        </w:rPr>
        <w:br w:type="page"/>
      </w:r>
    </w:p>
    <w:p w14:paraId="14B13F11">
      <w:pPr>
        <w:pStyle w:val="2"/>
        <w:numPr>
          <w:ilvl w:val="0"/>
          <w:numId w:val="66"/>
        </w:numPr>
        <w:tabs>
          <w:tab w:val="left" w:pos="1123"/>
        </w:tabs>
        <w:topLinePunct w:val="0"/>
        <w:ind w:left="0" w:leftChars="0" w:firstLine="482" w:firstLineChars="200"/>
        <w:rPr>
          <w:b/>
          <w:highlight w:val="none"/>
        </w:rPr>
      </w:pPr>
      <w:r>
        <w:rPr>
          <w:highlight w:val="none"/>
        </w:rPr>
        <w:t>供应商资格证明文件</w:t>
      </w:r>
      <w:bookmarkEnd w:id="86"/>
    </w:p>
    <w:p w14:paraId="4E6B45B1">
      <w:pPr>
        <w:pStyle w:val="3"/>
        <w:numPr>
          <w:ilvl w:val="0"/>
          <w:numId w:val="69"/>
        </w:numPr>
        <w:tabs>
          <w:tab w:val="left" w:pos="923"/>
        </w:tabs>
        <w:topLinePunct w:val="0"/>
        <w:ind w:left="0" w:leftChars="0" w:firstLine="482" w:firstLineChars="200"/>
        <w:rPr>
          <w:rFonts w:hint="eastAsia" w:ascii="宋体" w:hAnsi="宋体" w:eastAsia="宋体" w:cs="宋体"/>
          <w:b/>
          <w:highlight w:val="none"/>
        </w:rPr>
      </w:pPr>
      <w:r>
        <w:rPr>
          <w:highlight w:val="none"/>
        </w:rPr>
        <w:t>符合《中华人民共和国政府采购法》第二十二条的规定；（后附格式）</w:t>
      </w:r>
    </w:p>
    <w:p w14:paraId="218E9021">
      <w:pPr>
        <w:pStyle w:val="3"/>
        <w:numPr>
          <w:ilvl w:val="0"/>
          <w:numId w:val="69"/>
        </w:numPr>
        <w:tabs>
          <w:tab w:val="left" w:pos="923"/>
        </w:tabs>
        <w:topLinePunct w:val="0"/>
        <w:ind w:left="0" w:leftChars="0" w:firstLine="482" w:firstLineChars="200"/>
        <w:rPr>
          <w:rFonts w:hint="eastAsia" w:ascii="宋体" w:hAnsi="宋体" w:eastAsia="宋体" w:cs="宋体"/>
          <w:b/>
          <w:highlight w:val="none"/>
        </w:rPr>
      </w:pPr>
      <w:r>
        <w:rPr>
          <w:highlight w:val="none"/>
        </w:rPr>
        <w:t>本项目的特定资格要求：</w:t>
      </w:r>
    </w:p>
    <w:p w14:paraId="5F5CBFEA">
      <w:pPr>
        <w:rPr>
          <w:rFonts w:hint="eastAsia" w:ascii="黑体" w:hAnsi="黑体" w:eastAsia="黑体" w:cs="黑体"/>
          <w:b/>
          <w:bCs w:val="0"/>
          <w:color w:val="auto"/>
          <w:sz w:val="24"/>
          <w:szCs w:val="24"/>
          <w:highlight w:val="none"/>
          <w:lang w:eastAsia="zh-CN"/>
        </w:rPr>
      </w:pPr>
      <w:r>
        <w:rPr>
          <w:rFonts w:hint="eastAsia" w:ascii="黑体" w:hAnsi="黑体" w:eastAsia="黑体" w:cs="黑体"/>
          <w:b/>
          <w:bCs w:val="0"/>
          <w:color w:val="auto"/>
          <w:sz w:val="24"/>
          <w:szCs w:val="24"/>
          <w:highlight w:val="none"/>
          <w:lang w:eastAsia="zh-CN"/>
        </w:rPr>
        <w:br w:type="page"/>
      </w:r>
    </w:p>
    <w:p w14:paraId="7B9D308E">
      <w:pPr>
        <w:pStyle w:val="89"/>
        <w:outlineLvl w:val="0"/>
        <w:rPr>
          <w:highlight w:val="none"/>
        </w:rPr>
      </w:pPr>
      <w:r>
        <w:rPr>
          <w:highlight w:val="none"/>
        </w:rPr>
        <w:t xml:space="preserve">附件：                 </w:t>
      </w:r>
    </w:p>
    <w:p w14:paraId="78C972BC">
      <w:pPr>
        <w:pStyle w:val="2"/>
        <w:rPr>
          <w:highlight w:val="none"/>
        </w:rPr>
      </w:pPr>
      <w:bookmarkStart w:id="87" w:name="_Toc21723"/>
      <w:bookmarkStart w:id="88" w:name="_Toc29066"/>
      <w:bookmarkStart w:id="89" w:name="_Toc9740"/>
      <w:bookmarkStart w:id="90" w:name="_Toc6938"/>
      <w:bookmarkStart w:id="91" w:name="_Toc7685"/>
      <w:r>
        <w:rPr>
          <w:highlight w:val="none"/>
        </w:rPr>
        <w:t>（1）供应商应符合《中华人民共和国政府采购法》第二十二条规定</w:t>
      </w:r>
      <w:bookmarkEnd w:id="87"/>
      <w:bookmarkEnd w:id="88"/>
      <w:bookmarkEnd w:id="89"/>
      <w:bookmarkEnd w:id="90"/>
      <w:bookmarkEnd w:id="91"/>
    </w:p>
    <w:p w14:paraId="2F65C5E2">
      <w:pPr>
        <w:pStyle w:val="94"/>
        <w:rPr>
          <w:highlight w:val="none"/>
        </w:rPr>
      </w:pPr>
      <w:r>
        <w:rPr>
          <w:highlight w:val="none"/>
        </w:rPr>
        <w:t>承诺书</w:t>
      </w:r>
    </w:p>
    <w:p w14:paraId="0C05DA24">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我公司特此声明我公司符合以下所列情况:</w:t>
      </w:r>
    </w:p>
    <w:p w14:paraId="1DF8D57C">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1、具有独立承担民事责任的能力;</w:t>
      </w:r>
    </w:p>
    <w:p w14:paraId="7047A8AA">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2、具有良好的商业信誉和健全的财务会计制度;</w:t>
      </w:r>
    </w:p>
    <w:p w14:paraId="038E1466">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3、具有履行合同所必需的设备和专业技术能力;</w:t>
      </w:r>
    </w:p>
    <w:p w14:paraId="74281A1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4、有依法缴纳税收和社会保障资金的良好记录;</w:t>
      </w:r>
    </w:p>
    <w:p w14:paraId="04FC0EDB">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5、参加政府采购活动前三年内，在经营活动中没有重大违法记录;</w:t>
      </w:r>
    </w:p>
    <w:p w14:paraId="66603A9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6、法律、行政法规规定的其他条件。 </w:t>
      </w:r>
    </w:p>
    <w:p w14:paraId="0D2E0595">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7、我公司承诺以上资料真实有效，如有隐瞒或欺骗，我公司愿承担相关所有责任。</w:t>
      </w:r>
    </w:p>
    <w:p w14:paraId="0073AC4F">
      <w:pPr>
        <w:pStyle w:val="23"/>
        <w:rPr>
          <w:rFonts w:hint="eastAsia" w:ascii="黑体" w:hAnsi="黑体" w:eastAsia="黑体" w:cs="黑体"/>
          <w:color w:val="auto"/>
          <w:sz w:val="24"/>
          <w:szCs w:val="24"/>
          <w:highlight w:val="none"/>
        </w:rPr>
      </w:pPr>
    </w:p>
    <w:p w14:paraId="4B5C1111">
      <w:pPr>
        <w:adjustRightInd w:val="0"/>
        <w:snapToGrid w:val="0"/>
        <w:spacing w:after="120" w:afterAutospacing="0" w:line="360" w:lineRule="auto"/>
        <w:ind w:firstLine="480" w:firstLineChars="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供应商（供应商名称、公章）：        </w:t>
      </w:r>
    </w:p>
    <w:p w14:paraId="6B009B93">
      <w:pPr>
        <w:adjustRightInd w:val="0"/>
        <w:snapToGrid w:val="0"/>
        <w:spacing w:after="120" w:afterAutospacing="0" w:line="360" w:lineRule="auto"/>
        <w:ind w:firstLine="480" w:firstLineChars="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法定代表人或授权代表（签字或盖章）：</w:t>
      </w:r>
    </w:p>
    <w:p w14:paraId="3758FC12">
      <w:pPr>
        <w:keepNext w:val="0"/>
        <w:keepLines w:val="0"/>
        <w:pageBreakBefore w:val="0"/>
        <w:widowControl w:val="0"/>
        <w:numPr>
          <w:ilvl w:val="0"/>
          <w:numId w:val="0"/>
        </w:numPr>
        <w:kinsoku/>
        <w:overflowPunct/>
        <w:bidi w:val="0"/>
        <w:spacing w:beforeAutospacing="0" w:after="120" w:afterAutospacing="0" w:line="360" w:lineRule="auto"/>
        <w:jc w:val="center"/>
        <w:outlineLvl w:val="9"/>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                                  </w:t>
      </w:r>
      <w:bookmarkStart w:id="92" w:name="_Toc19296"/>
      <w:bookmarkStart w:id="93" w:name="_Toc26837"/>
      <w:bookmarkStart w:id="94" w:name="_Toc11896"/>
      <w:bookmarkStart w:id="95" w:name="_Toc3304"/>
      <w:bookmarkStart w:id="96" w:name="_Toc26889"/>
      <w:r>
        <w:rPr>
          <w:rFonts w:hint="eastAsia" w:ascii="Times New Roman" w:hAnsi="Times New Roman" w:eastAsia="宋体" w:cs="Times New Roman"/>
          <w:b/>
          <w:bCs w:val="0"/>
          <w:color w:val="auto"/>
          <w:sz w:val="24"/>
          <w:szCs w:val="24"/>
          <w:highlight w:val="none"/>
        </w:rPr>
        <w:t>日期：</w:t>
      </w:r>
      <w:r>
        <w:rPr>
          <w:rFonts w:hint="eastAsia" w:ascii="Times New Roman" w:hAnsi="Times New Roman" w:eastAsia="宋体" w:cs="Times New Roman"/>
          <w:b/>
          <w:bCs w:val="0"/>
          <w:color w:val="auto"/>
          <w:sz w:val="24"/>
          <w:szCs w:val="24"/>
          <w:highlight w:val="none"/>
          <w:u w:val="single"/>
        </w:rPr>
        <w:t xml:space="preserve">    </w:t>
      </w:r>
      <w:r>
        <w:rPr>
          <w:rFonts w:hint="eastAsia" w:ascii="Times New Roman" w:hAnsi="Times New Roman" w:eastAsia="宋体" w:cs="Times New Roman"/>
          <w:b/>
          <w:bCs w:val="0"/>
          <w:color w:val="auto"/>
          <w:sz w:val="24"/>
          <w:szCs w:val="24"/>
          <w:highlight w:val="none"/>
        </w:rPr>
        <w:t>年</w:t>
      </w:r>
      <w:r>
        <w:rPr>
          <w:rFonts w:hint="eastAsia" w:ascii="Times New Roman" w:hAnsi="Times New Roman" w:eastAsia="宋体" w:cs="Times New Roman"/>
          <w:b/>
          <w:bCs w:val="0"/>
          <w:color w:val="auto"/>
          <w:sz w:val="24"/>
          <w:szCs w:val="24"/>
          <w:highlight w:val="none"/>
          <w:u w:val="single"/>
        </w:rPr>
        <w:t xml:space="preserve">    </w:t>
      </w:r>
      <w:r>
        <w:rPr>
          <w:rFonts w:hint="eastAsia" w:ascii="Times New Roman" w:hAnsi="Times New Roman" w:eastAsia="宋体" w:cs="Times New Roman"/>
          <w:b/>
          <w:bCs w:val="0"/>
          <w:color w:val="auto"/>
          <w:sz w:val="24"/>
          <w:szCs w:val="24"/>
          <w:highlight w:val="none"/>
        </w:rPr>
        <w:t>月</w:t>
      </w:r>
      <w:r>
        <w:rPr>
          <w:rFonts w:hint="eastAsia" w:ascii="Times New Roman" w:hAnsi="Times New Roman" w:eastAsia="宋体" w:cs="Times New Roman"/>
          <w:b/>
          <w:bCs w:val="0"/>
          <w:color w:val="auto"/>
          <w:sz w:val="24"/>
          <w:szCs w:val="24"/>
          <w:highlight w:val="none"/>
          <w:u w:val="single"/>
        </w:rPr>
        <w:t xml:space="preserve">    </w:t>
      </w:r>
      <w:r>
        <w:rPr>
          <w:rFonts w:hint="eastAsia" w:ascii="Times New Roman" w:hAnsi="Times New Roman" w:eastAsia="宋体" w:cs="Times New Roman"/>
          <w:b/>
          <w:bCs w:val="0"/>
          <w:color w:val="auto"/>
          <w:sz w:val="24"/>
          <w:szCs w:val="24"/>
          <w:highlight w:val="none"/>
        </w:rPr>
        <w:t>日</w:t>
      </w:r>
      <w:r>
        <w:rPr>
          <w:rFonts w:hint="eastAsia" w:ascii="Times New Roman" w:hAnsi="Times New Roman" w:eastAsia="宋体" w:cs="Times New Roman"/>
          <w:b/>
          <w:color w:val="auto"/>
          <w:sz w:val="24"/>
          <w:szCs w:val="24"/>
          <w:highlight w:val="none"/>
        </w:rPr>
        <w:t xml:space="preserve">  </w:t>
      </w:r>
      <w:bookmarkEnd w:id="92"/>
      <w:bookmarkEnd w:id="93"/>
      <w:bookmarkEnd w:id="94"/>
      <w:bookmarkEnd w:id="95"/>
      <w:bookmarkEnd w:id="96"/>
    </w:p>
    <w:p w14:paraId="34048F5A">
      <w:pPr>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br w:type="page"/>
      </w:r>
    </w:p>
    <w:p w14:paraId="63E6A6BD">
      <w:pPr>
        <w:pStyle w:val="2"/>
        <w:rPr>
          <w:highlight w:val="none"/>
        </w:rPr>
      </w:pPr>
      <w:r>
        <w:rPr>
          <w:highlight w:val="none"/>
        </w:rPr>
        <w:t>（2）法定代表人授权委托书</w:t>
      </w:r>
    </w:p>
    <w:p w14:paraId="21716EBF">
      <w:pPr>
        <w:pStyle w:val="94"/>
        <w:outlineLvl w:val="0"/>
        <w:rPr>
          <w:highlight w:val="none"/>
        </w:rPr>
      </w:pPr>
      <w:r>
        <w:rPr>
          <w:highlight w:val="none"/>
        </w:rPr>
        <w:t>法定代表人授权委托书</w:t>
      </w:r>
    </w:p>
    <w:p w14:paraId="7D694DF7">
      <w:pPr>
        <w:pStyle w:val="16"/>
        <w:ind w:firstLine="0" w:firstLineChars="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中恭鸿建项目管理有限公司：</w:t>
      </w:r>
    </w:p>
    <w:p w14:paraId="0C702769">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本授权书声明：注册于中华人民共和国的</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（供应商名称）     </w:t>
      </w:r>
      <w:r>
        <w:rPr>
          <w:rFonts w:ascii="Times New Roman" w:hAnsi="Times New Roman" w:eastAsia="宋体" w:cs="Times New Roman"/>
          <w:color w:val="auto"/>
          <w:sz w:val="24"/>
          <w:highlight w:val="none"/>
        </w:rPr>
        <w:t>的在下面签字的</w:t>
      </w:r>
      <w:r>
        <w:rPr>
          <w:rFonts w:ascii="Times New Roman" w:hAnsi="Times New Roman" w:eastAsia="宋体" w:cs="Times New Roman"/>
          <w:color w:val="auto"/>
          <w:sz w:val="24"/>
          <w:highlight w:val="none"/>
          <w:u w:val="single"/>
        </w:rPr>
        <w:t xml:space="preserve">   （法定代表人姓名、职务）    </w:t>
      </w:r>
      <w:r>
        <w:rPr>
          <w:rFonts w:ascii="Times New Roman" w:hAnsi="Times New Roman" w:eastAsia="宋体" w:cs="Times New Roman"/>
          <w:color w:val="auto"/>
          <w:sz w:val="24"/>
          <w:highlight w:val="none"/>
        </w:rPr>
        <w:t>代表本公司授权的在下面签字的</w:t>
      </w:r>
      <w:r>
        <w:rPr>
          <w:rFonts w:ascii="Times New Roman" w:hAnsi="Times New Roman" w:eastAsia="宋体" w:cs="Times New Roman"/>
          <w:color w:val="auto"/>
          <w:sz w:val="24"/>
          <w:highlight w:val="none"/>
          <w:u w:val="single"/>
        </w:rPr>
        <w:t xml:space="preserve">   （被授权人的姓名、职务）   </w:t>
      </w:r>
      <w:r>
        <w:rPr>
          <w:rFonts w:ascii="Times New Roman" w:hAnsi="Times New Roman" w:eastAsia="宋体" w:cs="Times New Roman"/>
          <w:color w:val="auto"/>
          <w:sz w:val="24"/>
          <w:highlight w:val="none"/>
        </w:rPr>
        <w:t>为本公司的合法代理人，就项目编号为</w:t>
      </w:r>
      <w:r>
        <w:rPr>
          <w:rFonts w:ascii="Times New Roman" w:hAnsi="Times New Roman" w:eastAsia="宋体" w:cs="Times New Roman"/>
          <w:color w:val="auto"/>
          <w:sz w:val="24"/>
          <w:highlight w:val="none"/>
          <w:u w:val="single"/>
        </w:rPr>
        <w:t xml:space="preserve"> （项目编号） </w:t>
      </w:r>
      <w:r>
        <w:rPr>
          <w:rFonts w:ascii="Times New Roman" w:hAnsi="Times New Roman" w:eastAsia="宋体" w:cs="Times New Roman"/>
          <w:color w:val="auto"/>
          <w:sz w:val="24"/>
          <w:highlight w:val="none"/>
        </w:rPr>
        <w:t xml:space="preserve">的 </w:t>
      </w:r>
      <w:r>
        <w:rPr>
          <w:rFonts w:ascii="Times New Roman" w:hAnsi="Times New Roman" w:eastAsia="宋体" w:cs="Times New Roman"/>
          <w:color w:val="auto"/>
          <w:sz w:val="24"/>
          <w:highlight w:val="none"/>
          <w:u w:val="single"/>
        </w:rPr>
        <w:t>( 采购项目名称)</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的磋商会议，以本公司名义处理一切与之有关的事务。</w:t>
      </w:r>
    </w:p>
    <w:p w14:paraId="1BB9F090">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本授权书于</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日签字生效，特此声明。</w:t>
      </w:r>
    </w:p>
    <w:tbl>
      <w:tblPr>
        <w:tblStyle w:val="32"/>
        <w:tblW w:w="0" w:type="auto"/>
        <w:tblInd w:w="5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12"/>
        <w:gridCol w:w="4433"/>
      </w:tblGrid>
      <w:tr w14:paraId="06817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1" w:hRule="atLeast"/>
        </w:trPr>
        <w:tc>
          <w:tcPr>
            <w:tcW w:w="4412" w:type="dxa"/>
          </w:tcPr>
          <w:p w14:paraId="37804F36">
            <w:pPr>
              <w:pStyle w:val="75"/>
              <w:rPr>
                <w:rFonts w:hint="eastAsia" w:ascii="黑体" w:hAnsi="黑体" w:eastAsia="黑体" w:cs="黑体"/>
                <w:color w:val="auto"/>
                <w:sz w:val="24"/>
                <w:highlight w:val="none"/>
              </w:rPr>
            </w:pPr>
          </w:p>
          <w:p w14:paraId="1DB31AA1">
            <w:pPr>
              <w:pStyle w:val="75"/>
              <w:rPr>
                <w:rFonts w:hint="eastAsia" w:ascii="黑体" w:hAnsi="黑体" w:eastAsia="黑体" w:cs="黑体"/>
                <w:color w:val="auto"/>
                <w:sz w:val="24"/>
                <w:highlight w:val="none"/>
              </w:rPr>
            </w:pPr>
          </w:p>
          <w:p w14:paraId="13A7EC82">
            <w:pPr>
              <w:pStyle w:val="75"/>
              <w:rPr>
                <w:rFonts w:hint="eastAsia" w:ascii="黑体" w:hAnsi="黑体" w:eastAsia="黑体" w:cs="黑体"/>
                <w:color w:val="auto"/>
                <w:sz w:val="24"/>
                <w:highlight w:val="none"/>
              </w:rPr>
            </w:pPr>
          </w:p>
          <w:p w14:paraId="7300E083">
            <w:pPr>
              <w:pStyle w:val="75"/>
              <w:spacing w:before="181"/>
              <w:ind w:left="987" w:right="97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法人代表身份证复印件</w:t>
            </w:r>
          </w:p>
          <w:p w14:paraId="290EFAC2">
            <w:pPr>
              <w:pStyle w:val="75"/>
              <w:spacing w:before="5"/>
              <w:ind w:left="987" w:right="97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（正面：国徽）</w:t>
            </w:r>
          </w:p>
        </w:tc>
        <w:tc>
          <w:tcPr>
            <w:tcW w:w="4433" w:type="dxa"/>
          </w:tcPr>
          <w:p w14:paraId="13689CAB">
            <w:pPr>
              <w:pStyle w:val="75"/>
              <w:rPr>
                <w:rFonts w:hint="eastAsia" w:ascii="黑体" w:hAnsi="黑体" w:eastAsia="黑体" w:cs="黑体"/>
                <w:color w:val="auto"/>
                <w:sz w:val="24"/>
                <w:highlight w:val="none"/>
              </w:rPr>
            </w:pPr>
          </w:p>
          <w:p w14:paraId="23529259">
            <w:pPr>
              <w:pStyle w:val="75"/>
              <w:rPr>
                <w:rFonts w:hint="eastAsia" w:ascii="黑体" w:hAnsi="黑体" w:eastAsia="黑体" w:cs="黑体"/>
                <w:color w:val="auto"/>
                <w:sz w:val="24"/>
                <w:highlight w:val="none"/>
              </w:rPr>
            </w:pPr>
          </w:p>
          <w:p w14:paraId="0D4FCCD7">
            <w:pPr>
              <w:pStyle w:val="75"/>
              <w:rPr>
                <w:rFonts w:hint="eastAsia" w:ascii="黑体" w:hAnsi="黑体" w:eastAsia="黑体" w:cs="黑体"/>
                <w:color w:val="auto"/>
                <w:sz w:val="24"/>
                <w:highlight w:val="none"/>
              </w:rPr>
            </w:pPr>
          </w:p>
          <w:p w14:paraId="1BFFACD8">
            <w:pPr>
              <w:pStyle w:val="75"/>
              <w:spacing w:before="181"/>
              <w:ind w:right="1003"/>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法人代表身份证复印件</w:t>
            </w:r>
          </w:p>
          <w:p w14:paraId="0B74F550">
            <w:pPr>
              <w:pStyle w:val="75"/>
              <w:spacing w:before="5"/>
              <w:ind w:right="1065"/>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（反面：身份信息）</w:t>
            </w:r>
          </w:p>
        </w:tc>
      </w:tr>
      <w:tr w14:paraId="7DE05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7" w:hRule="atLeast"/>
        </w:trPr>
        <w:tc>
          <w:tcPr>
            <w:tcW w:w="4412" w:type="dxa"/>
          </w:tcPr>
          <w:p w14:paraId="0391B003">
            <w:pPr>
              <w:pStyle w:val="75"/>
              <w:rPr>
                <w:rFonts w:hint="eastAsia" w:ascii="黑体" w:hAnsi="黑体" w:eastAsia="黑体" w:cs="黑体"/>
                <w:color w:val="auto"/>
                <w:sz w:val="24"/>
                <w:highlight w:val="none"/>
              </w:rPr>
            </w:pPr>
          </w:p>
          <w:p w14:paraId="7736F09C">
            <w:pPr>
              <w:pStyle w:val="75"/>
              <w:spacing w:before="5"/>
              <w:rPr>
                <w:rFonts w:hint="eastAsia" w:ascii="黑体" w:hAnsi="黑体" w:eastAsia="黑体" w:cs="黑体"/>
                <w:color w:val="auto"/>
                <w:sz w:val="26"/>
                <w:highlight w:val="none"/>
              </w:rPr>
            </w:pPr>
          </w:p>
          <w:p w14:paraId="228F65DD">
            <w:pPr>
              <w:pStyle w:val="75"/>
              <w:ind w:left="110"/>
              <w:rPr>
                <w:rFonts w:hint="eastAsia" w:ascii="黑体" w:hAnsi="黑体" w:eastAsia="黑体" w:cs="黑体"/>
                <w:color w:val="auto"/>
                <w:sz w:val="24"/>
                <w:highlight w:val="none"/>
              </w:rPr>
            </w:pPr>
            <w:r>
              <w:rPr>
                <w:rFonts w:hint="eastAsia" w:ascii="黑体" w:hAnsi="黑体" w:eastAsia="黑体" w:cs="黑体"/>
                <w:color w:val="auto"/>
                <w:sz w:val="24"/>
                <w:highlight w:val="none"/>
              </w:rPr>
              <w:t>法人代表签名：</w:t>
            </w:r>
          </w:p>
        </w:tc>
        <w:tc>
          <w:tcPr>
            <w:tcW w:w="4433" w:type="dxa"/>
          </w:tcPr>
          <w:p w14:paraId="118FC8FE">
            <w:pPr>
              <w:pStyle w:val="75"/>
              <w:spacing w:before="4"/>
              <w:rPr>
                <w:rFonts w:hint="eastAsia" w:ascii="黑体" w:hAnsi="黑体" w:eastAsia="黑体" w:cs="黑体"/>
                <w:color w:val="auto"/>
                <w:sz w:val="33"/>
                <w:highlight w:val="none"/>
              </w:rPr>
            </w:pPr>
          </w:p>
          <w:p w14:paraId="284544CA">
            <w:pPr>
              <w:pStyle w:val="75"/>
              <w:ind w:left="350"/>
              <w:rPr>
                <w:rFonts w:hint="eastAsia" w:ascii="黑体" w:hAnsi="黑体" w:eastAsia="黑体" w:cs="黑体"/>
                <w:color w:val="auto"/>
                <w:sz w:val="24"/>
                <w:highlight w:val="none"/>
              </w:rPr>
            </w:pPr>
            <w:r>
              <w:rPr>
                <w:rFonts w:hint="eastAsia" w:ascii="黑体" w:hAnsi="黑体" w:eastAsia="黑体" w:cs="黑体"/>
                <w:color w:val="auto"/>
                <w:sz w:val="24"/>
                <w:highlight w:val="none"/>
              </w:rPr>
              <w:t>（公章）：</w:t>
            </w:r>
          </w:p>
          <w:p w14:paraId="36C37723">
            <w:pPr>
              <w:pStyle w:val="75"/>
              <w:tabs>
                <w:tab w:val="left" w:pos="2638"/>
                <w:tab w:val="left" w:pos="3478"/>
              </w:tabs>
              <w:spacing w:before="132"/>
              <w:ind w:left="1917"/>
              <w:rPr>
                <w:rFonts w:hint="eastAsia" w:ascii="黑体" w:hAnsi="黑体" w:eastAsia="黑体" w:cs="黑体"/>
                <w:color w:val="auto"/>
                <w:sz w:val="24"/>
                <w:highlight w:val="none"/>
              </w:rPr>
            </w:pPr>
            <w:r>
              <w:rPr>
                <w:rFonts w:hint="eastAsia" w:ascii="黑体" w:hAnsi="黑体" w:eastAsia="黑体" w:cs="黑体"/>
                <w:color w:val="auto"/>
                <w:sz w:val="24"/>
                <w:highlight w:val="none"/>
              </w:rPr>
              <w:t>年</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日</w:t>
            </w:r>
          </w:p>
        </w:tc>
      </w:tr>
    </w:tbl>
    <w:p w14:paraId="5E5B450A">
      <w:pPr>
        <w:pStyle w:val="16"/>
        <w:spacing w:before="4"/>
        <w:rPr>
          <w:rFonts w:hint="eastAsia" w:ascii="黑体" w:hAnsi="黑体" w:eastAsia="黑体" w:cs="黑体"/>
          <w:color w:val="auto"/>
          <w:sz w:val="21"/>
          <w:highlight w:val="none"/>
        </w:rPr>
      </w:pPr>
    </w:p>
    <w:tbl>
      <w:tblPr>
        <w:tblStyle w:val="32"/>
        <w:tblW w:w="0" w:type="auto"/>
        <w:tblInd w:w="5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98"/>
        <w:gridCol w:w="4422"/>
      </w:tblGrid>
      <w:tr w14:paraId="3B1C2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4398" w:type="dxa"/>
          </w:tcPr>
          <w:p w14:paraId="4B4C5CB1">
            <w:pPr>
              <w:pStyle w:val="75"/>
              <w:rPr>
                <w:rFonts w:hint="eastAsia" w:ascii="黑体" w:hAnsi="黑体" w:eastAsia="黑体" w:cs="黑体"/>
                <w:color w:val="auto"/>
                <w:sz w:val="24"/>
                <w:highlight w:val="none"/>
              </w:rPr>
            </w:pPr>
          </w:p>
          <w:p w14:paraId="110F1BBE">
            <w:pPr>
              <w:pStyle w:val="75"/>
              <w:rPr>
                <w:rFonts w:hint="eastAsia" w:ascii="黑体" w:hAnsi="黑体" w:eastAsia="黑体" w:cs="黑体"/>
                <w:color w:val="auto"/>
                <w:sz w:val="24"/>
                <w:highlight w:val="none"/>
              </w:rPr>
            </w:pPr>
          </w:p>
          <w:p w14:paraId="1CF3684B">
            <w:pPr>
              <w:pStyle w:val="75"/>
              <w:spacing w:before="6"/>
              <w:rPr>
                <w:rFonts w:hint="eastAsia" w:ascii="黑体" w:hAnsi="黑体" w:eastAsia="黑体" w:cs="黑体"/>
                <w:color w:val="auto"/>
                <w:sz w:val="35"/>
                <w:highlight w:val="none"/>
              </w:rPr>
            </w:pPr>
          </w:p>
          <w:p w14:paraId="7DE96E4C">
            <w:pPr>
              <w:pStyle w:val="75"/>
              <w:ind w:left="978" w:right="970"/>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被授权人身份证复印件</w:t>
            </w:r>
          </w:p>
          <w:p w14:paraId="6F56757F">
            <w:pPr>
              <w:pStyle w:val="75"/>
              <w:spacing w:before="3"/>
              <w:ind w:left="978" w:right="970"/>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（正面：国徽）</w:t>
            </w:r>
          </w:p>
        </w:tc>
        <w:tc>
          <w:tcPr>
            <w:tcW w:w="4422" w:type="dxa"/>
          </w:tcPr>
          <w:p w14:paraId="63BECD45">
            <w:pPr>
              <w:pStyle w:val="75"/>
              <w:rPr>
                <w:rFonts w:hint="eastAsia" w:ascii="黑体" w:hAnsi="黑体" w:eastAsia="黑体" w:cs="黑体"/>
                <w:color w:val="auto"/>
                <w:sz w:val="24"/>
                <w:highlight w:val="none"/>
              </w:rPr>
            </w:pPr>
          </w:p>
          <w:p w14:paraId="507A248F">
            <w:pPr>
              <w:pStyle w:val="75"/>
              <w:rPr>
                <w:rFonts w:hint="eastAsia" w:ascii="黑体" w:hAnsi="黑体" w:eastAsia="黑体" w:cs="黑体"/>
                <w:color w:val="auto"/>
                <w:sz w:val="24"/>
                <w:highlight w:val="none"/>
              </w:rPr>
            </w:pPr>
          </w:p>
          <w:p w14:paraId="4DA5B8EB">
            <w:pPr>
              <w:pStyle w:val="75"/>
              <w:spacing w:before="6"/>
              <w:rPr>
                <w:rFonts w:hint="eastAsia" w:ascii="黑体" w:hAnsi="黑体" w:eastAsia="黑体" w:cs="黑体"/>
                <w:color w:val="auto"/>
                <w:sz w:val="35"/>
                <w:highlight w:val="none"/>
              </w:rPr>
            </w:pPr>
          </w:p>
          <w:p w14:paraId="1CA32195">
            <w:pPr>
              <w:pStyle w:val="75"/>
              <w:ind w:right="997"/>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被授权人身份证复印件</w:t>
            </w:r>
          </w:p>
          <w:p w14:paraId="4CD1D205">
            <w:pPr>
              <w:pStyle w:val="75"/>
              <w:spacing w:before="3"/>
              <w:ind w:right="1060"/>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（反面：身份信息）</w:t>
            </w:r>
          </w:p>
        </w:tc>
      </w:tr>
      <w:tr w14:paraId="336FF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4398" w:type="dxa"/>
          </w:tcPr>
          <w:p w14:paraId="2BF53D1B">
            <w:pPr>
              <w:pStyle w:val="75"/>
              <w:rPr>
                <w:rFonts w:hint="eastAsia" w:ascii="黑体" w:hAnsi="黑体" w:eastAsia="黑体" w:cs="黑体"/>
                <w:color w:val="auto"/>
                <w:sz w:val="24"/>
                <w:highlight w:val="none"/>
              </w:rPr>
            </w:pPr>
          </w:p>
          <w:p w14:paraId="69D702CA">
            <w:pPr>
              <w:pStyle w:val="75"/>
              <w:spacing w:before="160"/>
              <w:ind w:left="247"/>
              <w:rPr>
                <w:rFonts w:hint="eastAsia" w:ascii="黑体" w:hAnsi="黑体" w:eastAsia="黑体" w:cs="黑体"/>
                <w:color w:val="auto"/>
                <w:sz w:val="24"/>
                <w:highlight w:val="none"/>
              </w:rPr>
            </w:pPr>
            <w:r>
              <w:rPr>
                <w:rFonts w:hint="eastAsia" w:ascii="黑体" w:hAnsi="黑体" w:eastAsia="黑体" w:cs="黑体"/>
                <w:color w:val="auto"/>
                <w:sz w:val="24"/>
                <w:highlight w:val="none"/>
              </w:rPr>
              <w:t>被授权人签字</w:t>
            </w:r>
            <w:r>
              <w:rPr>
                <w:rFonts w:hint="eastAsia" w:ascii="黑体" w:hAnsi="黑体" w:eastAsia="黑体" w:cs="黑体"/>
                <w:color w:val="auto"/>
                <w:sz w:val="24"/>
                <w:highlight w:val="none"/>
                <w:lang w:eastAsia="zh-CN"/>
              </w:rPr>
              <w:t>或盖章</w:t>
            </w:r>
            <w:r>
              <w:rPr>
                <w:rFonts w:hint="eastAsia" w:ascii="黑体" w:hAnsi="黑体" w:eastAsia="黑体" w:cs="黑体"/>
                <w:color w:val="auto"/>
                <w:sz w:val="24"/>
                <w:highlight w:val="none"/>
              </w:rPr>
              <w:t>：</w:t>
            </w:r>
          </w:p>
        </w:tc>
        <w:tc>
          <w:tcPr>
            <w:tcW w:w="4422" w:type="dxa"/>
          </w:tcPr>
          <w:p w14:paraId="1D4A2D83">
            <w:pPr>
              <w:pStyle w:val="75"/>
              <w:rPr>
                <w:rFonts w:hint="eastAsia" w:ascii="黑体" w:hAnsi="黑体" w:eastAsia="黑体" w:cs="黑体"/>
                <w:color w:val="auto"/>
                <w:sz w:val="24"/>
                <w:highlight w:val="none"/>
              </w:rPr>
            </w:pPr>
          </w:p>
          <w:p w14:paraId="7274A7BC">
            <w:pPr>
              <w:pStyle w:val="75"/>
              <w:tabs>
                <w:tab w:val="left" w:pos="2632"/>
                <w:tab w:val="left" w:pos="3472"/>
              </w:tabs>
              <w:spacing w:before="160"/>
              <w:ind w:left="1912"/>
              <w:rPr>
                <w:rFonts w:hint="eastAsia" w:ascii="黑体" w:hAnsi="黑体" w:eastAsia="黑体" w:cs="黑体"/>
                <w:color w:val="auto"/>
                <w:sz w:val="24"/>
                <w:highlight w:val="none"/>
              </w:rPr>
            </w:pPr>
            <w:r>
              <w:rPr>
                <w:rFonts w:hint="eastAsia" w:ascii="黑体" w:hAnsi="黑体" w:eastAsia="黑体" w:cs="黑体"/>
                <w:color w:val="auto"/>
                <w:sz w:val="24"/>
                <w:highlight w:val="none"/>
              </w:rPr>
              <w:t>年</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日</w:t>
            </w:r>
          </w:p>
        </w:tc>
      </w:tr>
    </w:tbl>
    <w:p w14:paraId="5EB0B40C">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授权书内容填写要明确，文字要工整清楚，涂改无效。</w:t>
      </w:r>
    </w:p>
    <w:p w14:paraId="0C3F556D">
      <w:pPr>
        <w:spacing w:after="0"/>
        <w:jc w:val="left"/>
        <w:rPr>
          <w:rFonts w:hint="eastAsia" w:ascii="黑体" w:hAnsi="黑体" w:eastAsia="黑体" w:cs="黑体"/>
          <w:color w:val="auto"/>
          <w:sz w:val="28"/>
          <w:highlight w:val="none"/>
        </w:rPr>
        <w:sectPr>
          <w:pgSz w:w="11920" w:h="16850"/>
          <w:pgMar w:top="1360" w:right="780" w:bottom="1440" w:left="980" w:header="856" w:footer="1250" w:gutter="0"/>
          <w:pgNumType w:fmt="decimal"/>
          <w:cols w:space="720" w:num="1"/>
        </w:sectPr>
      </w:pPr>
    </w:p>
    <w:p w14:paraId="77BCE0D4">
      <w:pPr>
        <w:pStyle w:val="94"/>
        <w:outlineLvl w:val="0"/>
        <w:rPr>
          <w:highlight w:val="none"/>
        </w:rPr>
      </w:pPr>
      <w:r>
        <w:rPr>
          <w:highlight w:val="none"/>
        </w:rPr>
        <w:t>法定代表人证明书</w:t>
      </w:r>
    </w:p>
    <w:tbl>
      <w:tblPr>
        <w:tblStyle w:val="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5"/>
        <w:gridCol w:w="2301"/>
        <w:gridCol w:w="2040"/>
        <w:gridCol w:w="2011"/>
        <w:gridCol w:w="1794"/>
      </w:tblGrid>
      <w:tr w14:paraId="447EF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0" w:hRule="atLeast"/>
        </w:trPr>
        <w:tc>
          <w:tcPr>
            <w:tcW w:w="5000" w:type="pct"/>
            <w:gridSpan w:val="5"/>
          </w:tcPr>
          <w:p w14:paraId="19340BCF">
            <w:pPr>
              <w:pStyle w:val="75"/>
              <w:spacing w:before="177"/>
              <w:ind w:left="110"/>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致：</w:t>
            </w:r>
            <w:r>
              <w:rPr>
                <w:rFonts w:hint="eastAsia" w:ascii="黑体" w:hAnsi="黑体" w:eastAsia="黑体" w:cs="黑体"/>
                <w:color w:val="auto"/>
                <w:sz w:val="24"/>
                <w:highlight w:val="none"/>
                <w:lang w:eastAsia="zh-CN"/>
              </w:rPr>
              <w:t xml:space="preserve">  中恭鸿建项目管理有限公司</w:t>
            </w:r>
          </w:p>
        </w:tc>
      </w:tr>
      <w:tr w14:paraId="4C951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15" w:type="pct"/>
            <w:vMerge w:val="restart"/>
          </w:tcPr>
          <w:p w14:paraId="241122E6">
            <w:pPr>
              <w:pStyle w:val="75"/>
              <w:rPr>
                <w:rFonts w:hint="eastAsia" w:ascii="黑体" w:hAnsi="黑体" w:eastAsia="黑体" w:cs="黑体"/>
                <w:b/>
                <w:color w:val="auto"/>
                <w:sz w:val="24"/>
                <w:highlight w:val="none"/>
              </w:rPr>
            </w:pPr>
          </w:p>
          <w:p w14:paraId="4600D8C8">
            <w:pPr>
              <w:pStyle w:val="75"/>
              <w:rPr>
                <w:rFonts w:hint="eastAsia" w:ascii="黑体" w:hAnsi="黑体" w:eastAsia="黑体" w:cs="黑体"/>
                <w:b/>
                <w:color w:val="auto"/>
                <w:sz w:val="24"/>
                <w:highlight w:val="none"/>
              </w:rPr>
            </w:pPr>
          </w:p>
          <w:p w14:paraId="2FA68F3E">
            <w:pPr>
              <w:pStyle w:val="75"/>
              <w:spacing w:before="210" w:line="499" w:lineRule="auto"/>
              <w:ind w:left="311" w:right="298"/>
              <w:jc w:val="both"/>
              <w:rPr>
                <w:rFonts w:hint="eastAsia" w:ascii="黑体" w:hAnsi="黑体" w:eastAsia="黑体" w:cs="黑体"/>
                <w:color w:val="auto"/>
                <w:sz w:val="24"/>
                <w:highlight w:val="none"/>
              </w:rPr>
            </w:pPr>
            <w:r>
              <w:rPr>
                <w:rFonts w:hint="eastAsia" w:ascii="黑体" w:hAnsi="黑体" w:eastAsia="黑体" w:cs="黑体"/>
                <w:color w:val="auto"/>
                <w:sz w:val="24"/>
                <w:highlight w:val="none"/>
              </w:rPr>
              <w:t>企业法人</w:t>
            </w:r>
          </w:p>
        </w:tc>
        <w:tc>
          <w:tcPr>
            <w:tcW w:w="1267" w:type="pct"/>
          </w:tcPr>
          <w:p w14:paraId="3DE03062">
            <w:pPr>
              <w:pStyle w:val="75"/>
              <w:spacing w:before="167"/>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企业名称</w:t>
            </w:r>
          </w:p>
        </w:tc>
        <w:tc>
          <w:tcPr>
            <w:tcW w:w="3217" w:type="pct"/>
            <w:gridSpan w:val="3"/>
          </w:tcPr>
          <w:p w14:paraId="10B7837C">
            <w:pPr>
              <w:pStyle w:val="75"/>
              <w:rPr>
                <w:rFonts w:hint="eastAsia" w:ascii="黑体" w:hAnsi="黑体" w:eastAsia="黑体" w:cs="黑体"/>
                <w:color w:val="auto"/>
                <w:sz w:val="22"/>
                <w:highlight w:val="none"/>
              </w:rPr>
            </w:pPr>
          </w:p>
        </w:tc>
      </w:tr>
      <w:tr w14:paraId="7C3F7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15" w:type="pct"/>
            <w:vMerge w:val="continue"/>
            <w:tcBorders>
              <w:top w:val="nil"/>
            </w:tcBorders>
          </w:tcPr>
          <w:p w14:paraId="3DC73D9F">
            <w:pPr>
              <w:rPr>
                <w:rFonts w:hint="eastAsia" w:ascii="黑体" w:hAnsi="黑体" w:eastAsia="黑体" w:cs="黑体"/>
                <w:color w:val="auto"/>
                <w:sz w:val="2"/>
                <w:szCs w:val="2"/>
                <w:highlight w:val="none"/>
              </w:rPr>
            </w:pPr>
          </w:p>
        </w:tc>
        <w:tc>
          <w:tcPr>
            <w:tcW w:w="1267" w:type="pct"/>
          </w:tcPr>
          <w:p w14:paraId="60F67CC3">
            <w:pPr>
              <w:pStyle w:val="75"/>
              <w:spacing w:before="167"/>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法定地址</w:t>
            </w:r>
          </w:p>
        </w:tc>
        <w:tc>
          <w:tcPr>
            <w:tcW w:w="3217" w:type="pct"/>
            <w:gridSpan w:val="3"/>
          </w:tcPr>
          <w:p w14:paraId="2DFF3BF3">
            <w:pPr>
              <w:pStyle w:val="75"/>
              <w:rPr>
                <w:rFonts w:hint="eastAsia" w:ascii="黑体" w:hAnsi="黑体" w:eastAsia="黑体" w:cs="黑体"/>
                <w:color w:val="auto"/>
                <w:sz w:val="22"/>
                <w:highlight w:val="none"/>
              </w:rPr>
            </w:pPr>
          </w:p>
        </w:tc>
      </w:tr>
      <w:tr w14:paraId="4F8DB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15" w:type="pct"/>
            <w:vMerge w:val="continue"/>
            <w:tcBorders>
              <w:top w:val="nil"/>
            </w:tcBorders>
          </w:tcPr>
          <w:p w14:paraId="22DAC5A6">
            <w:pPr>
              <w:rPr>
                <w:rFonts w:hint="eastAsia" w:ascii="黑体" w:hAnsi="黑体" w:eastAsia="黑体" w:cs="黑体"/>
                <w:color w:val="auto"/>
                <w:sz w:val="2"/>
                <w:szCs w:val="2"/>
                <w:highlight w:val="none"/>
              </w:rPr>
            </w:pPr>
          </w:p>
        </w:tc>
        <w:tc>
          <w:tcPr>
            <w:tcW w:w="1267" w:type="pct"/>
          </w:tcPr>
          <w:p w14:paraId="0EEE484F">
            <w:pPr>
              <w:pStyle w:val="75"/>
              <w:spacing w:before="167"/>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邮政编码</w:t>
            </w:r>
          </w:p>
        </w:tc>
        <w:tc>
          <w:tcPr>
            <w:tcW w:w="3217" w:type="pct"/>
            <w:gridSpan w:val="3"/>
          </w:tcPr>
          <w:p w14:paraId="4249F98F">
            <w:pPr>
              <w:pStyle w:val="75"/>
              <w:rPr>
                <w:rFonts w:hint="eastAsia" w:ascii="黑体" w:hAnsi="黑体" w:eastAsia="黑体" w:cs="黑体"/>
                <w:color w:val="auto"/>
                <w:sz w:val="22"/>
                <w:highlight w:val="none"/>
              </w:rPr>
            </w:pPr>
          </w:p>
        </w:tc>
      </w:tr>
      <w:tr w14:paraId="699D3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15" w:type="pct"/>
            <w:vMerge w:val="continue"/>
            <w:tcBorders>
              <w:top w:val="nil"/>
            </w:tcBorders>
          </w:tcPr>
          <w:p w14:paraId="44360BC8">
            <w:pPr>
              <w:rPr>
                <w:rFonts w:hint="eastAsia" w:ascii="黑体" w:hAnsi="黑体" w:eastAsia="黑体" w:cs="黑体"/>
                <w:color w:val="auto"/>
                <w:sz w:val="2"/>
                <w:szCs w:val="2"/>
                <w:highlight w:val="none"/>
              </w:rPr>
            </w:pPr>
          </w:p>
        </w:tc>
        <w:tc>
          <w:tcPr>
            <w:tcW w:w="1267" w:type="pct"/>
          </w:tcPr>
          <w:p w14:paraId="3D4B9A92">
            <w:pPr>
              <w:pStyle w:val="75"/>
              <w:spacing w:before="168"/>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工商登记机关</w:t>
            </w:r>
          </w:p>
        </w:tc>
        <w:tc>
          <w:tcPr>
            <w:tcW w:w="3217" w:type="pct"/>
            <w:gridSpan w:val="3"/>
          </w:tcPr>
          <w:p w14:paraId="17D8BA74">
            <w:pPr>
              <w:pStyle w:val="75"/>
              <w:rPr>
                <w:rFonts w:hint="eastAsia" w:ascii="黑体" w:hAnsi="黑体" w:eastAsia="黑体" w:cs="黑体"/>
                <w:color w:val="auto"/>
                <w:sz w:val="22"/>
                <w:highlight w:val="none"/>
              </w:rPr>
            </w:pPr>
          </w:p>
        </w:tc>
      </w:tr>
      <w:tr w14:paraId="62F16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515" w:type="pct"/>
            <w:vMerge w:val="continue"/>
            <w:tcBorders>
              <w:top w:val="nil"/>
            </w:tcBorders>
          </w:tcPr>
          <w:p w14:paraId="61C40E15">
            <w:pPr>
              <w:rPr>
                <w:rFonts w:hint="eastAsia" w:ascii="黑体" w:hAnsi="黑体" w:eastAsia="黑体" w:cs="黑体"/>
                <w:color w:val="auto"/>
                <w:sz w:val="2"/>
                <w:szCs w:val="2"/>
                <w:highlight w:val="none"/>
              </w:rPr>
            </w:pPr>
          </w:p>
        </w:tc>
        <w:tc>
          <w:tcPr>
            <w:tcW w:w="1267" w:type="pct"/>
          </w:tcPr>
          <w:p w14:paraId="2F126577">
            <w:pPr>
              <w:pStyle w:val="75"/>
              <w:spacing w:before="206"/>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税务登记机关</w:t>
            </w:r>
          </w:p>
        </w:tc>
        <w:tc>
          <w:tcPr>
            <w:tcW w:w="3217" w:type="pct"/>
            <w:gridSpan w:val="3"/>
          </w:tcPr>
          <w:p w14:paraId="7A5EB113">
            <w:pPr>
              <w:pStyle w:val="75"/>
              <w:rPr>
                <w:rFonts w:hint="eastAsia" w:ascii="黑体" w:hAnsi="黑体" w:eastAsia="黑体" w:cs="黑体"/>
                <w:color w:val="auto"/>
                <w:sz w:val="22"/>
                <w:highlight w:val="none"/>
              </w:rPr>
            </w:pPr>
          </w:p>
        </w:tc>
      </w:tr>
      <w:tr w14:paraId="3C053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15" w:type="pct"/>
            <w:vMerge w:val="continue"/>
            <w:tcBorders>
              <w:top w:val="nil"/>
            </w:tcBorders>
          </w:tcPr>
          <w:p w14:paraId="5652E8B0">
            <w:pPr>
              <w:rPr>
                <w:rFonts w:hint="eastAsia" w:ascii="黑体" w:hAnsi="黑体" w:eastAsia="黑体" w:cs="黑体"/>
                <w:color w:val="auto"/>
                <w:sz w:val="2"/>
                <w:szCs w:val="2"/>
                <w:highlight w:val="none"/>
              </w:rPr>
            </w:pPr>
          </w:p>
        </w:tc>
        <w:tc>
          <w:tcPr>
            <w:tcW w:w="1267" w:type="pct"/>
          </w:tcPr>
          <w:p w14:paraId="6C02C81E">
            <w:pPr>
              <w:pStyle w:val="75"/>
              <w:spacing w:before="168"/>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信用代码证号</w:t>
            </w:r>
          </w:p>
        </w:tc>
        <w:tc>
          <w:tcPr>
            <w:tcW w:w="3217" w:type="pct"/>
            <w:gridSpan w:val="3"/>
          </w:tcPr>
          <w:p w14:paraId="5BCE8F5E">
            <w:pPr>
              <w:pStyle w:val="75"/>
              <w:rPr>
                <w:rFonts w:hint="eastAsia" w:ascii="黑体" w:hAnsi="黑体" w:eastAsia="黑体" w:cs="黑体"/>
                <w:color w:val="auto"/>
                <w:sz w:val="22"/>
                <w:highlight w:val="none"/>
              </w:rPr>
            </w:pPr>
          </w:p>
        </w:tc>
      </w:tr>
      <w:tr w14:paraId="36D44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15" w:type="pct"/>
            <w:vMerge w:val="restart"/>
          </w:tcPr>
          <w:p w14:paraId="16D8D152">
            <w:pPr>
              <w:pStyle w:val="75"/>
              <w:rPr>
                <w:rFonts w:hint="eastAsia" w:ascii="黑体" w:hAnsi="黑体" w:eastAsia="黑体" w:cs="黑体"/>
                <w:b/>
                <w:color w:val="auto"/>
                <w:sz w:val="24"/>
                <w:highlight w:val="none"/>
              </w:rPr>
            </w:pPr>
          </w:p>
          <w:p w14:paraId="38077229">
            <w:pPr>
              <w:pStyle w:val="75"/>
              <w:spacing w:before="172" w:line="249" w:lineRule="auto"/>
              <w:ind w:left="191" w:right="178"/>
              <w:jc w:val="both"/>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w:t>
            </w:r>
          </w:p>
        </w:tc>
        <w:tc>
          <w:tcPr>
            <w:tcW w:w="1267" w:type="pct"/>
          </w:tcPr>
          <w:p w14:paraId="39CD918B">
            <w:pPr>
              <w:pStyle w:val="75"/>
              <w:spacing w:before="168"/>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姓名</w:t>
            </w:r>
          </w:p>
        </w:tc>
        <w:tc>
          <w:tcPr>
            <w:tcW w:w="1123" w:type="pct"/>
          </w:tcPr>
          <w:p w14:paraId="0F56B9B0">
            <w:pPr>
              <w:pStyle w:val="75"/>
              <w:rPr>
                <w:rFonts w:hint="eastAsia" w:ascii="黑体" w:hAnsi="黑体" w:eastAsia="黑体" w:cs="黑体"/>
                <w:color w:val="auto"/>
                <w:sz w:val="22"/>
                <w:highlight w:val="none"/>
              </w:rPr>
            </w:pPr>
          </w:p>
        </w:tc>
        <w:tc>
          <w:tcPr>
            <w:tcW w:w="1107" w:type="pct"/>
          </w:tcPr>
          <w:p w14:paraId="11C677C3">
            <w:pPr>
              <w:pStyle w:val="75"/>
              <w:spacing w:before="168"/>
              <w:ind w:left="529" w:right="520"/>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性别</w:t>
            </w:r>
          </w:p>
        </w:tc>
        <w:tc>
          <w:tcPr>
            <w:tcW w:w="986" w:type="pct"/>
          </w:tcPr>
          <w:p w14:paraId="50E09007">
            <w:pPr>
              <w:pStyle w:val="75"/>
              <w:rPr>
                <w:rFonts w:hint="eastAsia" w:ascii="黑体" w:hAnsi="黑体" w:eastAsia="黑体" w:cs="黑体"/>
                <w:color w:val="auto"/>
                <w:sz w:val="22"/>
                <w:highlight w:val="none"/>
              </w:rPr>
            </w:pPr>
          </w:p>
        </w:tc>
      </w:tr>
      <w:tr w14:paraId="4F370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15" w:type="pct"/>
            <w:vMerge w:val="continue"/>
            <w:tcBorders>
              <w:top w:val="nil"/>
            </w:tcBorders>
          </w:tcPr>
          <w:p w14:paraId="76A182A0">
            <w:pPr>
              <w:rPr>
                <w:rFonts w:hint="eastAsia" w:ascii="黑体" w:hAnsi="黑体" w:eastAsia="黑体" w:cs="黑体"/>
                <w:color w:val="auto"/>
                <w:sz w:val="2"/>
                <w:szCs w:val="2"/>
                <w:highlight w:val="none"/>
              </w:rPr>
            </w:pPr>
          </w:p>
        </w:tc>
        <w:tc>
          <w:tcPr>
            <w:tcW w:w="1267" w:type="pct"/>
          </w:tcPr>
          <w:p w14:paraId="73DEEA21">
            <w:pPr>
              <w:pStyle w:val="75"/>
              <w:spacing w:before="168"/>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职务</w:t>
            </w:r>
          </w:p>
        </w:tc>
        <w:tc>
          <w:tcPr>
            <w:tcW w:w="1123" w:type="pct"/>
          </w:tcPr>
          <w:p w14:paraId="4BE70BA0">
            <w:pPr>
              <w:pStyle w:val="75"/>
              <w:rPr>
                <w:rFonts w:hint="eastAsia" w:ascii="黑体" w:hAnsi="黑体" w:eastAsia="黑体" w:cs="黑体"/>
                <w:color w:val="auto"/>
                <w:sz w:val="22"/>
                <w:highlight w:val="none"/>
              </w:rPr>
            </w:pPr>
          </w:p>
        </w:tc>
        <w:tc>
          <w:tcPr>
            <w:tcW w:w="1107" w:type="pct"/>
          </w:tcPr>
          <w:p w14:paraId="36FAC354">
            <w:pPr>
              <w:pStyle w:val="75"/>
              <w:spacing w:before="168"/>
              <w:ind w:left="529" w:right="520"/>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联系电话</w:t>
            </w:r>
          </w:p>
        </w:tc>
        <w:tc>
          <w:tcPr>
            <w:tcW w:w="986" w:type="pct"/>
          </w:tcPr>
          <w:p w14:paraId="4FFD1E06">
            <w:pPr>
              <w:pStyle w:val="75"/>
              <w:rPr>
                <w:rFonts w:hint="eastAsia" w:ascii="黑体" w:hAnsi="黑体" w:eastAsia="黑体" w:cs="黑体"/>
                <w:color w:val="auto"/>
                <w:sz w:val="22"/>
                <w:highlight w:val="none"/>
              </w:rPr>
            </w:pPr>
          </w:p>
        </w:tc>
      </w:tr>
      <w:tr w14:paraId="08CC7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15" w:type="pct"/>
            <w:vMerge w:val="continue"/>
            <w:tcBorders>
              <w:top w:val="nil"/>
            </w:tcBorders>
          </w:tcPr>
          <w:p w14:paraId="7989306C">
            <w:pPr>
              <w:rPr>
                <w:rFonts w:hint="eastAsia" w:ascii="黑体" w:hAnsi="黑体" w:eastAsia="黑体" w:cs="黑体"/>
                <w:color w:val="auto"/>
                <w:sz w:val="2"/>
                <w:szCs w:val="2"/>
                <w:highlight w:val="none"/>
              </w:rPr>
            </w:pPr>
          </w:p>
        </w:tc>
        <w:tc>
          <w:tcPr>
            <w:tcW w:w="1267" w:type="pct"/>
          </w:tcPr>
          <w:p w14:paraId="2FB77C73">
            <w:pPr>
              <w:pStyle w:val="75"/>
              <w:spacing w:before="168"/>
              <w:ind w:left="291" w:right="284"/>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传真</w:t>
            </w:r>
          </w:p>
        </w:tc>
        <w:tc>
          <w:tcPr>
            <w:tcW w:w="3217" w:type="pct"/>
            <w:gridSpan w:val="3"/>
          </w:tcPr>
          <w:p w14:paraId="2FDADDD6">
            <w:pPr>
              <w:pStyle w:val="75"/>
              <w:rPr>
                <w:rFonts w:hint="eastAsia" w:ascii="黑体" w:hAnsi="黑体" w:eastAsia="黑体" w:cs="黑体"/>
                <w:color w:val="auto"/>
                <w:sz w:val="22"/>
                <w:highlight w:val="none"/>
              </w:rPr>
            </w:pPr>
          </w:p>
        </w:tc>
      </w:tr>
      <w:tr w14:paraId="33BE8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2" w:hRule="atLeast"/>
        </w:trPr>
        <w:tc>
          <w:tcPr>
            <w:tcW w:w="515" w:type="pct"/>
            <w:vMerge w:val="restart"/>
          </w:tcPr>
          <w:p w14:paraId="1BC3D8D2">
            <w:pPr>
              <w:pStyle w:val="75"/>
              <w:rPr>
                <w:rFonts w:hint="eastAsia" w:ascii="黑体" w:hAnsi="黑体" w:eastAsia="黑体" w:cs="黑体"/>
                <w:b/>
                <w:color w:val="auto"/>
                <w:sz w:val="24"/>
                <w:highlight w:val="none"/>
              </w:rPr>
            </w:pPr>
          </w:p>
          <w:p w14:paraId="31777EC1">
            <w:pPr>
              <w:pStyle w:val="75"/>
              <w:rPr>
                <w:rFonts w:hint="eastAsia" w:ascii="黑体" w:hAnsi="黑体" w:eastAsia="黑体" w:cs="黑体"/>
                <w:b/>
                <w:color w:val="auto"/>
                <w:sz w:val="24"/>
                <w:highlight w:val="none"/>
              </w:rPr>
            </w:pPr>
          </w:p>
          <w:p w14:paraId="327E4194">
            <w:pPr>
              <w:pStyle w:val="75"/>
              <w:rPr>
                <w:rFonts w:hint="eastAsia" w:ascii="黑体" w:hAnsi="黑体" w:eastAsia="黑体" w:cs="黑体"/>
                <w:b/>
                <w:color w:val="auto"/>
                <w:sz w:val="24"/>
                <w:highlight w:val="none"/>
              </w:rPr>
            </w:pPr>
          </w:p>
          <w:p w14:paraId="62CEF814">
            <w:pPr>
              <w:pStyle w:val="75"/>
              <w:spacing w:before="4"/>
              <w:rPr>
                <w:rFonts w:hint="eastAsia" w:ascii="黑体" w:hAnsi="黑体" w:eastAsia="黑体" w:cs="黑体"/>
                <w:b/>
                <w:color w:val="auto"/>
                <w:sz w:val="17"/>
                <w:highlight w:val="none"/>
              </w:rPr>
            </w:pPr>
          </w:p>
          <w:p w14:paraId="12F6431F">
            <w:pPr>
              <w:pStyle w:val="75"/>
              <w:spacing w:line="249" w:lineRule="auto"/>
              <w:ind w:left="191" w:right="178"/>
              <w:jc w:val="both"/>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法定代表人身份证正反复印件</w:t>
            </w:r>
          </w:p>
        </w:tc>
        <w:tc>
          <w:tcPr>
            <w:tcW w:w="2390" w:type="pct"/>
            <w:gridSpan w:val="2"/>
            <w:vMerge w:val="restart"/>
          </w:tcPr>
          <w:p w14:paraId="2FC996B1">
            <w:pPr>
              <w:pStyle w:val="75"/>
              <w:rPr>
                <w:rFonts w:hint="eastAsia" w:ascii="黑体" w:hAnsi="黑体" w:eastAsia="黑体" w:cs="黑体"/>
                <w:b/>
                <w:color w:val="auto"/>
                <w:sz w:val="24"/>
                <w:highlight w:val="none"/>
              </w:rPr>
            </w:pPr>
          </w:p>
          <w:p w14:paraId="687F6FC6">
            <w:pPr>
              <w:pStyle w:val="75"/>
              <w:rPr>
                <w:rFonts w:hint="eastAsia" w:ascii="黑体" w:hAnsi="黑体" w:eastAsia="黑体" w:cs="黑体"/>
                <w:b/>
                <w:color w:val="auto"/>
                <w:sz w:val="24"/>
                <w:highlight w:val="none"/>
              </w:rPr>
            </w:pPr>
          </w:p>
          <w:p w14:paraId="1C0165B0">
            <w:pPr>
              <w:pStyle w:val="75"/>
              <w:rPr>
                <w:rFonts w:hint="eastAsia" w:ascii="黑体" w:hAnsi="黑体" w:eastAsia="黑体" w:cs="黑体"/>
                <w:b/>
                <w:color w:val="auto"/>
                <w:sz w:val="24"/>
                <w:highlight w:val="none"/>
              </w:rPr>
            </w:pPr>
          </w:p>
          <w:p w14:paraId="7FC054C9">
            <w:pPr>
              <w:pStyle w:val="75"/>
              <w:rPr>
                <w:rFonts w:hint="eastAsia" w:ascii="黑体" w:hAnsi="黑体" w:eastAsia="黑体" w:cs="黑体"/>
                <w:b/>
                <w:color w:val="auto"/>
                <w:sz w:val="24"/>
                <w:highlight w:val="none"/>
              </w:rPr>
            </w:pPr>
          </w:p>
          <w:p w14:paraId="5F0DED41">
            <w:pPr>
              <w:pStyle w:val="75"/>
              <w:rPr>
                <w:rFonts w:hint="eastAsia" w:ascii="黑体" w:hAnsi="黑体" w:eastAsia="黑体" w:cs="黑体"/>
                <w:b/>
                <w:color w:val="auto"/>
                <w:sz w:val="24"/>
                <w:highlight w:val="none"/>
              </w:rPr>
            </w:pPr>
          </w:p>
          <w:p w14:paraId="65F28AD4">
            <w:pPr>
              <w:pStyle w:val="75"/>
              <w:rPr>
                <w:rFonts w:hint="eastAsia" w:ascii="黑体" w:hAnsi="黑体" w:eastAsia="黑体" w:cs="黑体"/>
                <w:b/>
                <w:color w:val="auto"/>
                <w:sz w:val="24"/>
                <w:highlight w:val="none"/>
              </w:rPr>
            </w:pPr>
          </w:p>
          <w:p w14:paraId="47EEB637">
            <w:pPr>
              <w:pStyle w:val="75"/>
              <w:spacing w:before="3"/>
              <w:rPr>
                <w:rFonts w:hint="eastAsia" w:ascii="黑体" w:hAnsi="黑体" w:eastAsia="黑体" w:cs="黑体"/>
                <w:b/>
                <w:color w:val="auto"/>
                <w:sz w:val="20"/>
                <w:highlight w:val="none"/>
              </w:rPr>
            </w:pPr>
          </w:p>
          <w:p w14:paraId="1901E2D4">
            <w:pPr>
              <w:pStyle w:val="75"/>
              <w:ind w:left="1441" w:right="1431"/>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（粘贴处）</w:t>
            </w:r>
          </w:p>
        </w:tc>
        <w:tc>
          <w:tcPr>
            <w:tcW w:w="2094" w:type="pct"/>
            <w:gridSpan w:val="2"/>
          </w:tcPr>
          <w:p w14:paraId="277CD3ED">
            <w:pPr>
              <w:pStyle w:val="75"/>
              <w:rPr>
                <w:rFonts w:hint="eastAsia" w:ascii="黑体" w:hAnsi="黑体" w:eastAsia="黑体" w:cs="黑体"/>
                <w:b/>
                <w:color w:val="auto"/>
                <w:sz w:val="24"/>
                <w:highlight w:val="none"/>
              </w:rPr>
            </w:pPr>
          </w:p>
          <w:p w14:paraId="64CE364B">
            <w:pPr>
              <w:pStyle w:val="75"/>
              <w:rPr>
                <w:rFonts w:hint="eastAsia" w:ascii="黑体" w:hAnsi="黑体" w:eastAsia="黑体" w:cs="黑体"/>
                <w:b/>
                <w:color w:val="auto"/>
                <w:sz w:val="24"/>
                <w:highlight w:val="none"/>
              </w:rPr>
            </w:pPr>
          </w:p>
          <w:p w14:paraId="480F30F6">
            <w:pPr>
              <w:pStyle w:val="75"/>
              <w:spacing w:before="4"/>
              <w:rPr>
                <w:rFonts w:hint="eastAsia" w:ascii="黑体" w:hAnsi="黑体" w:eastAsia="黑体" w:cs="黑体"/>
                <w:b/>
                <w:color w:val="auto"/>
                <w:sz w:val="30"/>
                <w:highlight w:val="none"/>
              </w:rPr>
            </w:pPr>
          </w:p>
          <w:p w14:paraId="1CE8435A">
            <w:pPr>
              <w:pStyle w:val="75"/>
              <w:ind w:left="708"/>
              <w:rPr>
                <w:rFonts w:hint="eastAsia" w:ascii="黑体" w:hAnsi="黑体" w:eastAsia="黑体" w:cs="黑体"/>
                <w:color w:val="auto"/>
                <w:sz w:val="24"/>
                <w:highlight w:val="none"/>
              </w:rPr>
            </w:pPr>
            <w:r>
              <w:rPr>
                <w:rFonts w:hint="eastAsia" w:ascii="黑体" w:hAnsi="黑体" w:eastAsia="黑体" w:cs="黑体"/>
                <w:color w:val="auto"/>
                <w:sz w:val="24"/>
                <w:highlight w:val="none"/>
              </w:rPr>
              <w:t>法定代表人（签字或盖章）</w:t>
            </w:r>
          </w:p>
        </w:tc>
      </w:tr>
      <w:tr w14:paraId="68A5B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6" w:hRule="atLeast"/>
        </w:trPr>
        <w:tc>
          <w:tcPr>
            <w:tcW w:w="515" w:type="pct"/>
            <w:vMerge w:val="continue"/>
            <w:tcBorders>
              <w:top w:val="nil"/>
            </w:tcBorders>
          </w:tcPr>
          <w:p w14:paraId="7C15F4A1">
            <w:pPr>
              <w:rPr>
                <w:rFonts w:hint="eastAsia" w:ascii="黑体" w:hAnsi="黑体" w:eastAsia="黑体" w:cs="黑体"/>
                <w:color w:val="auto"/>
                <w:sz w:val="2"/>
                <w:szCs w:val="2"/>
                <w:highlight w:val="none"/>
              </w:rPr>
            </w:pPr>
          </w:p>
        </w:tc>
        <w:tc>
          <w:tcPr>
            <w:tcW w:w="2390" w:type="pct"/>
            <w:gridSpan w:val="2"/>
            <w:vMerge w:val="continue"/>
            <w:tcBorders>
              <w:top w:val="nil"/>
            </w:tcBorders>
          </w:tcPr>
          <w:p w14:paraId="7ED550C7">
            <w:pPr>
              <w:rPr>
                <w:rFonts w:hint="eastAsia" w:ascii="黑体" w:hAnsi="黑体" w:eastAsia="黑体" w:cs="黑体"/>
                <w:color w:val="auto"/>
                <w:sz w:val="2"/>
                <w:szCs w:val="2"/>
                <w:highlight w:val="none"/>
              </w:rPr>
            </w:pPr>
          </w:p>
        </w:tc>
        <w:tc>
          <w:tcPr>
            <w:tcW w:w="2094" w:type="pct"/>
            <w:gridSpan w:val="2"/>
          </w:tcPr>
          <w:p w14:paraId="5B9D4172">
            <w:pPr>
              <w:pStyle w:val="75"/>
              <w:rPr>
                <w:rFonts w:hint="eastAsia" w:ascii="黑体" w:hAnsi="黑体" w:eastAsia="黑体" w:cs="黑体"/>
                <w:b/>
                <w:color w:val="auto"/>
                <w:sz w:val="24"/>
                <w:highlight w:val="none"/>
              </w:rPr>
            </w:pPr>
          </w:p>
          <w:p w14:paraId="586A1A9E">
            <w:pPr>
              <w:pStyle w:val="75"/>
              <w:spacing w:before="9"/>
              <w:rPr>
                <w:rFonts w:hint="eastAsia" w:ascii="黑体" w:hAnsi="黑体" w:eastAsia="黑体" w:cs="黑体"/>
                <w:b/>
                <w:color w:val="auto"/>
                <w:sz w:val="23"/>
                <w:highlight w:val="none"/>
              </w:rPr>
            </w:pPr>
          </w:p>
          <w:p w14:paraId="7F644FC8">
            <w:pPr>
              <w:pStyle w:val="75"/>
              <w:ind w:right="1641"/>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（公章）</w:t>
            </w:r>
          </w:p>
          <w:p w14:paraId="5ABDF8AF">
            <w:pPr>
              <w:pStyle w:val="75"/>
              <w:rPr>
                <w:rFonts w:hint="eastAsia" w:ascii="黑体" w:hAnsi="黑体" w:eastAsia="黑体" w:cs="黑体"/>
                <w:b/>
                <w:color w:val="auto"/>
                <w:sz w:val="24"/>
                <w:highlight w:val="none"/>
              </w:rPr>
            </w:pPr>
          </w:p>
          <w:p w14:paraId="375B0899">
            <w:pPr>
              <w:pStyle w:val="75"/>
              <w:rPr>
                <w:rFonts w:hint="eastAsia" w:ascii="黑体" w:hAnsi="黑体" w:eastAsia="黑体" w:cs="黑体"/>
                <w:b/>
                <w:color w:val="auto"/>
                <w:sz w:val="24"/>
                <w:highlight w:val="none"/>
              </w:rPr>
            </w:pPr>
          </w:p>
          <w:p w14:paraId="777DE575">
            <w:pPr>
              <w:pStyle w:val="75"/>
              <w:spacing w:before="11"/>
              <w:rPr>
                <w:rFonts w:hint="eastAsia" w:ascii="黑体" w:hAnsi="黑体" w:eastAsia="黑体" w:cs="黑体"/>
                <w:b/>
                <w:color w:val="auto"/>
                <w:sz w:val="27"/>
                <w:highlight w:val="none"/>
              </w:rPr>
            </w:pPr>
          </w:p>
          <w:p w14:paraId="4DE58973">
            <w:pPr>
              <w:pStyle w:val="75"/>
              <w:tabs>
                <w:tab w:val="left" w:pos="479"/>
                <w:tab w:val="left" w:pos="959"/>
              </w:tabs>
              <w:spacing w:before="1" w:line="285" w:lineRule="exact"/>
              <w:ind w:right="96"/>
              <w:jc w:val="right"/>
              <w:rPr>
                <w:rFonts w:hint="eastAsia" w:ascii="黑体" w:hAnsi="黑体" w:eastAsia="黑体" w:cs="黑体"/>
                <w:color w:val="auto"/>
                <w:sz w:val="24"/>
                <w:highlight w:val="none"/>
              </w:rPr>
            </w:pPr>
            <w:r>
              <w:rPr>
                <w:rFonts w:hint="eastAsia" w:ascii="黑体" w:hAnsi="黑体" w:eastAsia="黑体" w:cs="黑体"/>
                <w:color w:val="auto"/>
                <w:sz w:val="24"/>
                <w:highlight w:val="none"/>
              </w:rPr>
              <w:t>年</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t>日</w:t>
            </w:r>
          </w:p>
        </w:tc>
      </w:tr>
    </w:tbl>
    <w:p w14:paraId="515ADF24">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br w:type="page"/>
      </w:r>
    </w:p>
    <w:p w14:paraId="26A3B004">
      <w:pPr>
        <w:pStyle w:val="48"/>
        <w:rPr>
          <w:rFonts w:hint="eastAsia" w:ascii="黑体" w:hAnsi="黑体" w:eastAsia="黑体" w:cs="黑体"/>
          <w:color w:val="auto"/>
          <w:highlight w:val="none"/>
          <w:lang w:val="en-US" w:eastAsia="zh-CN"/>
        </w:rPr>
        <w:sectPr>
          <w:pgSz w:w="11906" w:h="16838"/>
          <w:pgMar w:top="1417" w:right="1361" w:bottom="1417" w:left="1474" w:header="851" w:footer="992" w:gutter="0"/>
          <w:pgNumType w:fmt="decimal"/>
          <w:cols w:space="720" w:num="1"/>
          <w:docGrid w:linePitch="312" w:charSpace="0"/>
        </w:sectPr>
      </w:pPr>
    </w:p>
    <w:p w14:paraId="4F05FACF">
      <w:pPr>
        <w:keepNext w:val="0"/>
        <w:keepLines w:val="0"/>
        <w:widowControl w:val="0"/>
        <w:spacing w:before="240" w:beforeLines="0" w:after="120" w:line="360" w:lineRule="auto"/>
        <w:ind w:left="482" w:leftChars="0" w:firstLine="0" w:firstLineChars="0"/>
        <w:jc w:val="left"/>
        <w:outlineLvl w:val="0"/>
        <w:rPr>
          <w:rFonts w:ascii="宋体" w:hAnsi="宋体" w:eastAsia="宋体" w:cs="宋体"/>
          <w:b/>
          <w:bCs/>
          <w:kern w:val="44"/>
          <w:sz w:val="24"/>
          <w:szCs w:val="30"/>
          <w:highlight w:val="none"/>
        </w:rPr>
      </w:pPr>
      <w:bookmarkStart w:id="97" w:name="_Toc24989"/>
      <w:r>
        <w:rPr>
          <w:rFonts w:ascii="宋体" w:hAnsi="宋体" w:eastAsia="宋体" w:cs="宋体"/>
          <w:b/>
          <w:bCs/>
          <w:kern w:val="44"/>
          <w:sz w:val="24"/>
          <w:szCs w:val="30"/>
          <w:highlight w:val="none"/>
        </w:rPr>
        <w:t>（3）无重大违法记录声明</w:t>
      </w:r>
    </w:p>
    <w:p w14:paraId="06F9E5F2">
      <w:pPr>
        <w:pStyle w:val="16"/>
        <w:ind w:firstLine="0" w:firstLineChars="0"/>
        <w:rPr>
          <w:rFonts w:ascii="Times New Roman" w:hAnsi="Times New Roman" w:eastAsia="宋体" w:cs="Times New Roman"/>
          <w:b/>
          <w:color w:val="auto"/>
          <w:sz w:val="24"/>
          <w:highlight w:val="none"/>
        </w:rPr>
      </w:pPr>
      <w:r>
        <w:rPr>
          <w:rFonts w:ascii="Times New Roman" w:hAnsi="Times New Roman" w:eastAsia="宋体" w:cs="Times New Roman"/>
          <w:color w:val="auto"/>
          <w:sz w:val="24"/>
          <w:highlight w:val="none"/>
          <w:u w:val="single"/>
        </w:rPr>
        <w:t>（采购人名称）</w:t>
      </w:r>
      <w:r>
        <w:rPr>
          <w:rFonts w:ascii="Times New Roman" w:hAnsi="Times New Roman" w:eastAsia="宋体" w:cs="Times New Roman"/>
          <w:b w:val="0"/>
          <w:color w:val="auto"/>
          <w:sz w:val="24"/>
          <w:highlight w:val="none"/>
          <w:u w:val="single"/>
        </w:rPr>
        <w:t xml:space="preserve"> </w:t>
      </w:r>
      <w:r>
        <w:rPr>
          <w:rFonts w:ascii="Times New Roman" w:hAnsi="Times New Roman" w:eastAsia="宋体" w:cs="Times New Roman"/>
          <w:b w:val="0"/>
          <w:color w:val="auto"/>
          <w:sz w:val="24"/>
          <w:highlight w:val="none"/>
        </w:rPr>
        <w:t>：</w:t>
      </w:r>
    </w:p>
    <w:p w14:paraId="69048D06">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我公司</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（供应商名称），就参加 </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采购项目（采购项目编号：</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）磋商事宜，在此郑重声明：</w:t>
      </w:r>
    </w:p>
    <w:p w14:paraId="4997C83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1、我公司所提交的竞争性磋商响应文件全部真实有效；</w:t>
      </w:r>
    </w:p>
    <w:p w14:paraId="109FB4D5">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2、我公司参加本次政府采购活动前3年内在经营活动中没有重大违法记录，以及未被列入失信被执行人、重大税收违法案件当事人名单、政府采购严重违法失信行为记录名单的情形存在；</w:t>
      </w:r>
    </w:p>
    <w:p w14:paraId="0727EA5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3、我公司近3年来无违规违法经营受到责令停产(或停止经营)、吊销生产许可证（或经营许可证）、较大数额罚款等行政处罚的情形存在；</w:t>
      </w:r>
    </w:p>
    <w:p w14:paraId="1DEFBEF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4、我公司无企业财产被查封、冻结或处于破产状态或严重亏损状态等情形存在；</w:t>
      </w:r>
    </w:p>
    <w:p w14:paraId="3435E366">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5、我公司承诺在磋商过程中，保证不予其他单位围标、串标，不出让磋商资格，不采取不正当手段诋毁、排挤其他供应商，不向采购人、采购代理机构、磋商小组成员行贿；</w:t>
      </w:r>
    </w:p>
    <w:p w14:paraId="60702A8E">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6、我公司参加政府采购活动近3年内，在经营活动中没有重大违法记录。</w:t>
      </w:r>
    </w:p>
    <w:p w14:paraId="04FE5A7F">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以上声明若有违反，一经查实，我公司愿意接受政府有关部门的相应处罚，并愿意承担由此带来的法律后果。</w:t>
      </w:r>
    </w:p>
    <w:p w14:paraId="1CA8A45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特此声明！</w:t>
      </w:r>
    </w:p>
    <w:p w14:paraId="66CB6DCE">
      <w:pPr>
        <w:pStyle w:val="11"/>
        <w:spacing w:after="120" w:afterAutospacing="0" w:line="360" w:lineRule="auto"/>
        <w:ind w:firstLine="57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供</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商</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（供应商名称、公章）</w:t>
      </w:r>
    </w:p>
    <w:p w14:paraId="2B0C3C4E">
      <w:pPr>
        <w:pStyle w:val="11"/>
        <w:spacing w:after="120" w:afterAutospacing="0" w:line="360" w:lineRule="auto"/>
        <w:ind w:firstLine="573"/>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（盖章或签字）</w:t>
      </w:r>
    </w:p>
    <w:p w14:paraId="2F283DEE">
      <w:pPr>
        <w:pStyle w:val="11"/>
        <w:spacing w:after="120" w:afterAutospacing="0" w:line="360" w:lineRule="auto"/>
        <w:ind w:firstLine="573"/>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 </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日</w:t>
      </w:r>
    </w:p>
    <w:p w14:paraId="0EB61EC2">
      <w:pPr>
        <w:spacing w:line="440" w:lineRule="exact"/>
        <w:jc w:val="center"/>
        <w:rPr>
          <w:rFonts w:hint="eastAsia" w:ascii="黑体" w:hAnsi="黑体" w:eastAsia="黑体" w:cs="黑体"/>
          <w:b/>
          <w:color w:val="auto"/>
          <w:sz w:val="24"/>
          <w:szCs w:val="24"/>
          <w:highlight w:val="none"/>
        </w:rPr>
      </w:pPr>
    </w:p>
    <w:p w14:paraId="4F0654A1">
      <w:pPr>
        <w:pStyle w:val="2"/>
        <w:rPr>
          <w:highlight w:val="none"/>
        </w:rPr>
      </w:pPr>
      <w:r>
        <w:rPr>
          <w:highlight w:val="none"/>
        </w:rPr>
        <w:br w:type="page"/>
      </w:r>
      <w:r>
        <w:rPr>
          <w:highlight w:val="none"/>
        </w:rPr>
        <w:t>（4）履行合同所必需的设备和专业技术能力的书面声明</w:t>
      </w:r>
    </w:p>
    <w:p w14:paraId="51E954C0">
      <w:pPr>
        <w:pStyle w:val="16"/>
        <w:ind w:firstLine="0" w:firstLineChars="0"/>
        <w:rPr>
          <w:rFonts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u w:val="single"/>
        </w:rPr>
        <w:t xml:space="preserve">   （采购人名称）    ：</w:t>
      </w:r>
    </w:p>
    <w:p w14:paraId="3118288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u w:val="single"/>
        </w:rPr>
        <w:t xml:space="preserve">   （供应商名称）    </w:t>
      </w:r>
      <w:r>
        <w:rPr>
          <w:rFonts w:ascii="Times New Roman" w:hAnsi="Times New Roman" w:eastAsia="宋体" w:cs="Times New Roman"/>
          <w:color w:val="auto"/>
          <w:sz w:val="24"/>
          <w:highlight w:val="none"/>
        </w:rPr>
        <w:t xml:space="preserve"> 于</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日在中华人民共和国境内</w:t>
      </w:r>
      <w:r>
        <w:rPr>
          <w:rFonts w:ascii="Times New Roman" w:hAnsi="Times New Roman" w:eastAsia="宋体" w:cs="Times New Roman"/>
          <w:color w:val="auto"/>
          <w:sz w:val="24"/>
          <w:highlight w:val="none"/>
          <w:u w:val="single"/>
        </w:rPr>
        <w:t xml:space="preserve">               （详细注册地址）     </w:t>
      </w:r>
      <w:r>
        <w:rPr>
          <w:rFonts w:ascii="Times New Roman" w:hAnsi="Times New Roman" w:eastAsia="宋体" w:cs="Times New Roman"/>
          <w:color w:val="auto"/>
          <w:sz w:val="24"/>
          <w:highlight w:val="none"/>
        </w:rPr>
        <w:t>合法注册并经营，公司主营业务为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，营业（生产经营）面积为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，现有员工数量为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，其中与履行本合同相关的专业技术人员有（</w:t>
      </w:r>
      <w:r>
        <w:rPr>
          <w:rFonts w:ascii="Times New Roman" w:hAnsi="Times New Roman" w:eastAsia="宋体" w:cs="Times New Roman"/>
          <w:color w:val="auto"/>
          <w:sz w:val="24"/>
          <w:highlight w:val="none"/>
          <w:u w:val="single"/>
        </w:rPr>
        <w:t xml:space="preserve">             专业能力、数量        </w:t>
      </w:r>
      <w:r>
        <w:rPr>
          <w:rFonts w:ascii="Times New Roman" w:hAnsi="Times New Roman" w:eastAsia="宋体" w:cs="Times New Roman"/>
          <w:color w:val="auto"/>
          <w:sz w:val="24"/>
          <w:highlight w:val="none"/>
        </w:rPr>
        <w:t>），本公司郑重声明，具有履行本合同所必需的设备和专业技术能力。如有不实，我方将无条件地退出本项目的采购活动，并遵照《政府采购法》有关"提供虚假材料的规定"接受处罚。</w:t>
      </w:r>
    </w:p>
    <w:p w14:paraId="072D5A51">
      <w:pPr>
        <w:spacing w:line="480" w:lineRule="auto"/>
        <w:rPr>
          <w:rFonts w:hint="eastAsia" w:ascii="黑体" w:hAnsi="黑体" w:eastAsia="黑体" w:cs="黑体"/>
          <w:color w:val="auto"/>
          <w:sz w:val="24"/>
          <w:szCs w:val="24"/>
          <w:highlight w:val="none"/>
        </w:rPr>
      </w:pPr>
    </w:p>
    <w:p w14:paraId="19C9E489">
      <w:pPr>
        <w:spacing w:line="480" w:lineRule="auto"/>
        <w:rPr>
          <w:rFonts w:hint="eastAsia" w:ascii="黑体" w:hAnsi="黑体" w:eastAsia="黑体" w:cs="黑体"/>
          <w:color w:val="auto"/>
          <w:sz w:val="24"/>
          <w:szCs w:val="24"/>
          <w:highlight w:val="none"/>
        </w:rPr>
      </w:pPr>
    </w:p>
    <w:p w14:paraId="3B123AFD">
      <w:pPr>
        <w:pStyle w:val="11"/>
        <w:spacing w:after="120" w:afterAutospacing="0" w:line="360" w:lineRule="auto"/>
        <w:ind w:firstLine="57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承  诺  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（供应商名称、公章）</w:t>
      </w:r>
    </w:p>
    <w:p w14:paraId="777E8391">
      <w:pPr>
        <w:pStyle w:val="11"/>
        <w:spacing w:after="120" w:afterAutospacing="0" w:line="360" w:lineRule="auto"/>
        <w:ind w:firstLine="573"/>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（盖章或签字）</w:t>
      </w:r>
    </w:p>
    <w:p w14:paraId="03A49B78">
      <w:pPr>
        <w:pStyle w:val="11"/>
        <w:spacing w:after="120" w:afterAutospacing="0" w:line="360" w:lineRule="auto"/>
        <w:ind w:firstLine="573"/>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 </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日</w:t>
      </w:r>
    </w:p>
    <w:p w14:paraId="78025BC7">
      <w:pPr>
        <w:pStyle w:val="2"/>
        <w:rPr>
          <w:highlight w:val="none"/>
        </w:rPr>
      </w:pPr>
      <w:r>
        <w:rPr>
          <w:highlight w:val="none"/>
        </w:rPr>
        <w:br w:type="page"/>
      </w:r>
      <w:bookmarkStart w:id="98" w:name="_Toc22396"/>
      <w:bookmarkStart w:id="99" w:name="_Toc7643"/>
      <w:bookmarkStart w:id="100" w:name="_Toc13926"/>
      <w:bookmarkStart w:id="101" w:name="_Toc26483"/>
      <w:bookmarkStart w:id="102" w:name="_Toc22581"/>
      <w:r>
        <w:rPr>
          <w:highlight w:val="none"/>
        </w:rPr>
        <w:t>（5）、</w:t>
      </w:r>
      <w:bookmarkEnd w:id="97"/>
      <w:bookmarkEnd w:id="98"/>
      <w:bookmarkEnd w:id="99"/>
      <w:r>
        <w:rPr>
          <w:highlight w:val="none"/>
        </w:rPr>
        <w:t>供应商企业关系关联承诺书</w:t>
      </w:r>
      <w:bookmarkEnd w:id="100"/>
      <w:bookmarkEnd w:id="101"/>
      <w:bookmarkEnd w:id="102"/>
    </w:p>
    <w:p w14:paraId="56546A3C">
      <w:pPr>
        <w:pStyle w:val="94"/>
        <w:rPr>
          <w:highlight w:val="none"/>
        </w:rPr>
      </w:pPr>
      <w:r>
        <w:rPr>
          <w:highlight w:val="none"/>
        </w:rPr>
        <w:t>供应商企业关系关联承诺书</w:t>
      </w:r>
    </w:p>
    <w:p w14:paraId="3DAB5F06">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一、供应商在本项目投标中，不存在与其它供应商负责人为同一人，有控股、管理等关联关系承诺。</w:t>
      </w:r>
    </w:p>
    <w:p w14:paraId="5FE93A51">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1.管理关系说明：</w:t>
      </w:r>
    </w:p>
    <w:p w14:paraId="3380D8AC">
      <w:pPr>
        <w:pStyle w:val="16"/>
        <w:rPr>
          <w:rFonts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我单位管理的具有独立法人的下属单位：</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(没有填无)。</w:t>
      </w:r>
    </w:p>
    <w:p w14:paraId="4837BAD1">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我单位的上级管理单位 </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(没有填无)。</w:t>
      </w:r>
    </w:p>
    <w:p w14:paraId="5D375DE5">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2.股权关系说明：</w:t>
      </w:r>
    </w:p>
    <w:p w14:paraId="7A7C2E65">
      <w:pPr>
        <w:autoSpaceDE w:val="0"/>
        <w:autoSpaceDN w:val="0"/>
        <w:adjustRightInd w:val="0"/>
        <w:spacing w:after="120" w:afterAutospacing="0" w:line="360" w:lineRule="auto"/>
        <w:ind w:left="480" w:leftChars="0" w:firstLine="0" w:firstLineChars="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我单位控股的单位</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(没有填无) 。</w:t>
      </w:r>
    </w:p>
    <w:p w14:paraId="3DAB8BCA">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我单位</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(没有填无)被</w:t>
      </w:r>
      <w:r>
        <w:rPr>
          <w:rFonts w:ascii="Times New Roman" w:hAnsi="Times New Roman" w:eastAsia="宋体" w:cs="Times New Roman"/>
          <w:color w:val="auto"/>
          <w:sz w:val="24"/>
          <w:highlight w:val="none"/>
          <w:u w:val="single"/>
        </w:rPr>
        <w:t xml:space="preserve">   （控股单位全称）  </w:t>
      </w:r>
      <w:r>
        <w:rPr>
          <w:rFonts w:ascii="Times New Roman" w:hAnsi="Times New Roman" w:eastAsia="宋体" w:cs="Times New Roman"/>
          <w:color w:val="auto"/>
          <w:sz w:val="24"/>
          <w:highlight w:val="none"/>
        </w:rPr>
        <w:t>单位控股。</w:t>
      </w:r>
    </w:p>
    <w:p w14:paraId="534DEE5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3.单位负责人：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(没有填无)。</w:t>
      </w:r>
    </w:p>
    <w:p w14:paraId="6A219BF0">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二、我单位</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（是或否） 为本采购项目提供过整体设计、规范编制或者项目管理、监理、检测等服务的供应商。</w:t>
      </w:r>
    </w:p>
    <w:p w14:paraId="3850A64C">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三、其他与本项目有关的利害关系说明</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(没有填无)。</w:t>
      </w:r>
    </w:p>
    <w:p w14:paraId="52E55597">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四、是否为联合体投标</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（是或否）。</w:t>
      </w:r>
    </w:p>
    <w:p w14:paraId="753A392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我单位承诺以上说明真实有效，无虚假内容或隐瞒。</w:t>
      </w:r>
    </w:p>
    <w:p w14:paraId="234F411A">
      <w:pPr>
        <w:autoSpaceDE w:val="0"/>
        <w:autoSpaceDN w:val="0"/>
        <w:adjustRightInd w:val="0"/>
        <w:spacing w:line="360" w:lineRule="auto"/>
        <w:ind w:firstLine="480" w:firstLineChars="200"/>
        <w:rPr>
          <w:rFonts w:hint="eastAsia" w:ascii="黑体" w:hAnsi="黑体" w:eastAsia="黑体" w:cs="黑体"/>
          <w:bCs/>
          <w:color w:val="auto"/>
          <w:sz w:val="24"/>
          <w:szCs w:val="24"/>
          <w:highlight w:val="none"/>
        </w:rPr>
      </w:pPr>
    </w:p>
    <w:p w14:paraId="408B66DD">
      <w:pPr>
        <w:adjustRightInd w:val="0"/>
        <w:snapToGrid w:val="0"/>
        <w:spacing w:after="120" w:afterAutospacing="0" w:line="360" w:lineRule="auto"/>
        <w:ind w:left="480" w:leftChars="0" w:firstLine="0" w:firstLineChars="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供应商（供应商名称、公章）：   </w:t>
      </w:r>
    </w:p>
    <w:p w14:paraId="5821E7CD">
      <w:pPr>
        <w:adjustRightInd w:val="0"/>
        <w:snapToGrid w:val="0"/>
        <w:spacing w:after="120" w:afterAutospacing="0"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法定代表人或授权代表（签字或盖章）：</w:t>
      </w:r>
    </w:p>
    <w:p w14:paraId="1D8C449C">
      <w:pPr>
        <w:autoSpaceDE w:val="0"/>
        <w:autoSpaceDN w:val="0"/>
        <w:adjustRightInd w:val="0"/>
        <w:spacing w:after="120" w:afterAutospacing="0" w:line="360" w:lineRule="auto"/>
        <w:ind w:firstLine="3600" w:firstLineChars="15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日期：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日</w:t>
      </w:r>
    </w:p>
    <w:p w14:paraId="35FD81A9">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br w:type="page"/>
      </w:r>
    </w:p>
    <w:p w14:paraId="690F6683">
      <w:pPr>
        <w:pStyle w:val="2"/>
        <w:widowControl/>
        <w:rPr>
          <w:highlight w:val="none"/>
        </w:rPr>
      </w:pPr>
      <w:bookmarkStart w:id="103" w:name="_Toc27514"/>
      <w:r>
        <w:rPr>
          <w:highlight w:val="none"/>
        </w:rPr>
        <w:t>（6）、中小企业声明函</w:t>
      </w:r>
    </w:p>
    <w:p w14:paraId="325E9C4D">
      <w:pPr>
        <w:pStyle w:val="94"/>
        <w:rPr>
          <w:highlight w:val="none"/>
        </w:rPr>
      </w:pPr>
      <w:r>
        <w:rPr>
          <w:highlight w:val="none"/>
        </w:rPr>
        <w:t>中小企业声明函</w:t>
      </w:r>
    </w:p>
    <w:p w14:paraId="36F3368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本公司（联合体）郑重声明，根据《政府采购促进中小企业发展管理办法》（财库[2020]46号）的规定，本公司参加</w:t>
      </w:r>
      <w:r>
        <w:rPr>
          <w:rFonts w:ascii="Times New Roman" w:hAnsi="Times New Roman" w:eastAsia="宋体" w:cs="Times New Roman"/>
          <w:color w:val="auto"/>
          <w:sz w:val="24"/>
          <w:highlight w:val="none"/>
          <w:u w:val="single"/>
        </w:rPr>
        <w:t xml:space="preserve">  （单位名称）  </w:t>
      </w:r>
      <w:r>
        <w:rPr>
          <w:rFonts w:ascii="Times New Roman" w:hAnsi="Times New Roman" w:eastAsia="宋体" w:cs="Times New Roman"/>
          <w:color w:val="auto"/>
          <w:sz w:val="24"/>
          <w:highlight w:val="none"/>
        </w:rPr>
        <w:t>的</w:t>
      </w:r>
      <w:r>
        <w:rPr>
          <w:rFonts w:ascii="Times New Roman" w:hAnsi="Times New Roman" w:eastAsia="宋体" w:cs="Times New Roman"/>
          <w:color w:val="auto"/>
          <w:sz w:val="24"/>
          <w:highlight w:val="none"/>
          <w:u w:val="single"/>
        </w:rPr>
        <w:t xml:space="preserve">   （项目名称）    </w:t>
      </w:r>
      <w:r>
        <w:rPr>
          <w:rFonts w:ascii="Times New Roman" w:hAnsi="Times New Roman" w:eastAsia="宋体" w:cs="Times New Roman"/>
          <w:color w:val="auto"/>
          <w:sz w:val="24"/>
          <w:highlight w:val="none"/>
        </w:rPr>
        <w:t>采购活动，服务全部由符合政策要求的中小企业承接。相关企业业（含联合 体中的中小企业、签订分包意向协议的中小企业）的具体情况如下：</w:t>
      </w:r>
    </w:p>
    <w:p w14:paraId="152F5755">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r>
        <w:rPr>
          <w:rFonts w:ascii="Times New Roman" w:hAnsi="Times New Roman" w:eastAsia="宋体" w:cs="Times New Roman"/>
          <w:color w:val="auto"/>
          <w:sz w:val="24"/>
          <w:highlight w:val="none"/>
          <w:u w:val="single"/>
        </w:rPr>
        <w:t xml:space="preserve"> （标的名称）</w:t>
      </w:r>
      <w:r>
        <w:rPr>
          <w:rFonts w:ascii="Times New Roman" w:hAnsi="Times New Roman" w:eastAsia="宋体" w:cs="Times New Roman"/>
          <w:color w:val="auto"/>
          <w:sz w:val="24"/>
          <w:highlight w:val="none"/>
        </w:rPr>
        <w:t xml:space="preserve"> ，属于</w:t>
      </w:r>
      <w:r>
        <w:rPr>
          <w:rFonts w:ascii="Times New Roman" w:hAnsi="Times New Roman" w:eastAsia="宋体" w:cs="Times New Roman"/>
          <w:color w:val="auto"/>
          <w:sz w:val="24"/>
          <w:highlight w:val="none"/>
          <w:u w:val="single"/>
        </w:rPr>
        <w:t>（其他未列明行业）</w:t>
      </w:r>
      <w:r>
        <w:rPr>
          <w:rFonts w:ascii="Times New Roman" w:hAnsi="Times New Roman" w:eastAsia="宋体" w:cs="Times New Roman"/>
          <w:color w:val="auto"/>
          <w:sz w:val="24"/>
          <w:highlight w:val="none"/>
        </w:rPr>
        <w:t>； 承建（承接）企业为</w:t>
      </w:r>
      <w:r>
        <w:rPr>
          <w:rFonts w:ascii="Times New Roman" w:hAnsi="Times New Roman" w:eastAsia="宋体" w:cs="Times New Roman"/>
          <w:color w:val="auto"/>
          <w:sz w:val="24"/>
          <w:highlight w:val="none"/>
          <w:u w:val="single"/>
        </w:rPr>
        <w:t>（企业名称）</w:t>
      </w:r>
      <w:r>
        <w:rPr>
          <w:rFonts w:ascii="Times New Roman" w:hAnsi="Times New Roman" w:eastAsia="宋体" w:cs="Times New Roman"/>
          <w:color w:val="auto"/>
          <w:sz w:val="24"/>
          <w:highlight w:val="none"/>
        </w:rPr>
        <w:t>，从业人员</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人，营业 收入为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万元，资产总额为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万元，属于</w:t>
      </w:r>
      <w:r>
        <w:rPr>
          <w:rFonts w:ascii="Times New Roman" w:hAnsi="Times New Roman" w:eastAsia="宋体" w:cs="Times New Roman"/>
          <w:color w:val="auto"/>
          <w:sz w:val="24"/>
          <w:highlight w:val="none"/>
          <w:u w:val="single"/>
        </w:rPr>
        <w:t>（中型企业、 小型企业、微型企业）</w:t>
      </w:r>
      <w:r>
        <w:rPr>
          <w:rFonts w:ascii="Times New Roman" w:hAnsi="Times New Roman" w:eastAsia="宋体" w:cs="Times New Roman"/>
          <w:color w:val="auto"/>
          <w:sz w:val="24"/>
          <w:highlight w:val="none"/>
        </w:rPr>
        <w:t>；</w:t>
      </w:r>
    </w:p>
    <w:p w14:paraId="0D0947A1">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w:t>
      </w:r>
      <w:r>
        <w:rPr>
          <w:rFonts w:ascii="Times New Roman" w:hAnsi="Times New Roman" w:eastAsia="宋体" w:cs="Times New Roman"/>
          <w:color w:val="auto"/>
          <w:sz w:val="24"/>
          <w:highlight w:val="none"/>
          <w:u w:val="single"/>
        </w:rPr>
        <w:t>（标的名称）</w:t>
      </w:r>
      <w:r>
        <w:rPr>
          <w:rFonts w:ascii="Times New Roman" w:hAnsi="Times New Roman" w:eastAsia="宋体" w:cs="Times New Roman"/>
          <w:color w:val="auto"/>
          <w:sz w:val="24"/>
          <w:highlight w:val="none"/>
        </w:rPr>
        <w:t xml:space="preserve"> ，属于</w:t>
      </w:r>
      <w:r>
        <w:rPr>
          <w:rFonts w:ascii="Times New Roman" w:hAnsi="Times New Roman" w:eastAsia="宋体" w:cs="Times New Roman"/>
          <w:color w:val="auto"/>
          <w:sz w:val="24"/>
          <w:highlight w:val="none"/>
          <w:u w:val="single"/>
        </w:rPr>
        <w:t>（采购文件中明确的所属行业）</w:t>
      </w:r>
      <w:r>
        <w:rPr>
          <w:rFonts w:ascii="Times New Roman" w:hAnsi="Times New Roman" w:eastAsia="宋体" w:cs="Times New Roman"/>
          <w:color w:val="auto"/>
          <w:sz w:val="24"/>
          <w:highlight w:val="none"/>
        </w:rPr>
        <w:t>； 承建（承接）企业为</w:t>
      </w:r>
      <w:r>
        <w:rPr>
          <w:rFonts w:ascii="Times New Roman" w:hAnsi="Times New Roman" w:eastAsia="宋体" w:cs="Times New Roman"/>
          <w:color w:val="auto"/>
          <w:sz w:val="24"/>
          <w:highlight w:val="none"/>
          <w:u w:val="single"/>
        </w:rPr>
        <w:t>（企业名称）</w:t>
      </w:r>
      <w:r>
        <w:rPr>
          <w:rFonts w:ascii="Times New Roman" w:hAnsi="Times New Roman" w:eastAsia="宋体" w:cs="Times New Roman"/>
          <w:color w:val="auto"/>
          <w:sz w:val="24"/>
          <w:highlight w:val="none"/>
        </w:rPr>
        <w:t>，从业人员</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人，营业 收入为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万元，资产总额为</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万元，属于</w:t>
      </w:r>
      <w:r>
        <w:rPr>
          <w:rFonts w:ascii="Times New Roman" w:hAnsi="Times New Roman" w:eastAsia="宋体" w:cs="Times New Roman"/>
          <w:color w:val="auto"/>
          <w:sz w:val="24"/>
          <w:highlight w:val="none"/>
          <w:u w:val="single"/>
        </w:rPr>
        <w:t>（中型企业、 小型企业、微型企业）</w:t>
      </w:r>
      <w:r>
        <w:rPr>
          <w:rFonts w:ascii="Times New Roman" w:hAnsi="Times New Roman" w:eastAsia="宋体" w:cs="Times New Roman"/>
          <w:color w:val="auto"/>
          <w:sz w:val="24"/>
          <w:highlight w:val="none"/>
        </w:rPr>
        <w:t>；</w:t>
      </w:r>
    </w:p>
    <w:p w14:paraId="271D771F">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w:t>
      </w:r>
    </w:p>
    <w:p w14:paraId="3E7AA4A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以上企业，不属于大企业的分支机构，不存在控股股东为大企业的情形，也不存在与大企业的负责人为同一人的情形。</w:t>
      </w:r>
    </w:p>
    <w:p w14:paraId="6377E2C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本企业对上述声明的真实性负责。如有虚假，将依法承担相应责任。</w:t>
      </w:r>
    </w:p>
    <w:p w14:paraId="3BBB22C5">
      <w:pPr>
        <w:spacing w:line="360" w:lineRule="auto"/>
        <w:rPr>
          <w:rFonts w:hint="eastAsia" w:ascii="黑体" w:hAnsi="黑体" w:eastAsia="黑体" w:cs="黑体"/>
          <w:color w:val="auto"/>
          <w:szCs w:val="24"/>
          <w:highlight w:val="none"/>
        </w:rPr>
      </w:pPr>
    </w:p>
    <w:p w14:paraId="43FEBEE4">
      <w:pPr>
        <w:tabs>
          <w:tab w:val="left" w:pos="4860"/>
        </w:tabs>
        <w:spacing w:after="120" w:afterAutospacing="0" w:line="360" w:lineRule="auto"/>
        <w:ind w:right="1560" w:firstLine="480" w:firstLineChars="200"/>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企业</w:t>
      </w:r>
      <w:r>
        <w:rPr>
          <w:rFonts w:hint="eastAsia" w:ascii="Times New Roman" w:hAnsi="Times New Roman" w:eastAsia="宋体" w:cs="Times New Roman"/>
          <w:color w:val="auto"/>
          <w:sz w:val="24"/>
          <w:szCs w:val="24"/>
          <w:highlight w:val="none"/>
        </w:rPr>
        <w:t xml:space="preserve">名称（盖章）： </w:t>
      </w:r>
    </w:p>
    <w:p w14:paraId="65AF87B0">
      <w:pPr>
        <w:spacing w:after="120" w:afterAutospacing="0" w:line="360" w:lineRule="auto"/>
        <w:ind w:firstLine="5280" w:firstLineChars="2200"/>
        <w:rPr>
          <w:rFonts w:hint="eastAsia"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color w:val="auto"/>
          <w:sz w:val="24"/>
          <w:szCs w:val="24"/>
          <w:highlight w:val="none"/>
        </w:rPr>
        <w:t>日</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期：</w:t>
      </w:r>
    </w:p>
    <w:p w14:paraId="6F8AA197">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注：</w:t>
      </w:r>
    </w:p>
    <w:p w14:paraId="65DBB128">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1、供应商如满足《政府采购促进中小企业发展管理办法》（财库[2020]46号）的中小企业，须提供《中小企业声明函》；</w:t>
      </w:r>
    </w:p>
    <w:p w14:paraId="415E6009">
      <w:pPr>
        <w:widowControl/>
        <w:jc w:val="left"/>
        <w:rPr>
          <w:rFonts w:hint="eastAsia" w:ascii="黑体" w:hAnsi="黑体" w:eastAsia="黑体" w:cs="黑体"/>
          <w:color w:val="auto"/>
          <w:szCs w:val="24"/>
          <w:highlight w:val="none"/>
        </w:rPr>
      </w:pPr>
      <w:r>
        <w:rPr>
          <w:rFonts w:hint="eastAsia" w:ascii="黑体" w:hAnsi="黑体" w:eastAsia="黑体" w:cs="黑体"/>
          <w:color w:val="auto"/>
          <w:szCs w:val="24"/>
          <w:highlight w:val="none"/>
        </w:rPr>
        <w:br w:type="page"/>
      </w:r>
    </w:p>
    <w:p w14:paraId="66024EF2">
      <w:pPr>
        <w:pStyle w:val="2"/>
        <w:numPr>
          <w:ilvl w:val="0"/>
          <w:numId w:val="66"/>
        </w:numPr>
        <w:tabs>
          <w:tab w:val="left" w:pos="1123"/>
        </w:tabs>
        <w:topLinePunct w:val="0"/>
        <w:ind w:left="0" w:leftChars="0" w:firstLine="482" w:firstLineChars="200"/>
        <w:rPr>
          <w:b/>
          <w:highlight w:val="none"/>
        </w:rPr>
      </w:pPr>
      <w:r>
        <w:rPr>
          <w:highlight w:val="none"/>
        </w:rPr>
        <w:t>磋商方案</w:t>
      </w:r>
      <w:bookmarkEnd w:id="103"/>
    </w:p>
    <w:p w14:paraId="60F2F3E3">
      <w:pPr>
        <w:spacing w:line="500" w:lineRule="exact"/>
        <w:ind w:firstLine="482" w:firstLineChars="200"/>
        <w:jc w:val="center"/>
        <w:rPr>
          <w:rFonts w:hint="eastAsia" w:ascii="黑体" w:hAnsi="黑体" w:eastAsia="黑体" w:cs="黑体"/>
          <w:b/>
          <w:bCs/>
          <w:color w:val="auto"/>
          <w:highlight w:val="none"/>
        </w:rPr>
      </w:pPr>
      <w:r>
        <w:rPr>
          <w:rFonts w:hint="eastAsia" w:ascii="黑体" w:hAnsi="黑体" w:eastAsia="黑体" w:cs="黑体"/>
          <w:b/>
          <w:bCs/>
          <w:color w:val="auto"/>
          <w:highlight w:val="none"/>
        </w:rPr>
        <w:t>供应商根据本项目实际情况</w:t>
      </w:r>
      <w:r>
        <w:rPr>
          <w:rFonts w:hint="eastAsia" w:ascii="黑体" w:hAnsi="黑体" w:eastAsia="黑体" w:cs="黑体"/>
          <w:b/>
          <w:bCs/>
          <w:color w:val="auto"/>
          <w:highlight w:val="none"/>
          <w:lang w:val="en-US" w:eastAsia="zh-CN"/>
        </w:rPr>
        <w:t>以及评分办法</w:t>
      </w:r>
      <w:r>
        <w:rPr>
          <w:rFonts w:hint="eastAsia" w:ascii="黑体" w:hAnsi="黑体" w:eastAsia="黑体" w:cs="黑体"/>
          <w:b/>
          <w:bCs/>
          <w:color w:val="auto"/>
          <w:highlight w:val="none"/>
        </w:rPr>
        <w:t>编写，格式自拟。</w:t>
      </w:r>
    </w:p>
    <w:p w14:paraId="7E2379A8">
      <w:pPr>
        <w:widowControl w:val="0"/>
        <w:numPr>
          <w:ilvl w:val="0"/>
          <w:numId w:val="0"/>
        </w:numPr>
        <w:jc w:val="both"/>
        <w:rPr>
          <w:rFonts w:hint="eastAsia" w:ascii="黑体" w:hAnsi="黑体" w:eastAsia="黑体" w:cs="黑体"/>
          <w:color w:val="auto"/>
          <w:highlight w:val="none"/>
        </w:rPr>
      </w:pPr>
    </w:p>
    <w:p w14:paraId="19542A0E">
      <w:pPr>
        <w:pStyle w:val="31"/>
        <w:rPr>
          <w:rFonts w:hint="eastAsia" w:ascii="黑体" w:hAnsi="黑体" w:eastAsia="黑体" w:cs="黑体"/>
          <w:color w:val="auto"/>
          <w:highlight w:val="none"/>
          <w:lang w:val="en-US" w:eastAsia="zh-CN"/>
        </w:rPr>
        <w:sectPr>
          <w:pgSz w:w="11920" w:h="16850"/>
          <w:pgMar w:top="1360" w:right="780" w:bottom="1440" w:left="980" w:header="856" w:footer="1250" w:gutter="0"/>
          <w:pgNumType w:fmt="decimal"/>
          <w:cols w:space="720" w:num="1"/>
        </w:sectPr>
      </w:pPr>
    </w:p>
    <w:p w14:paraId="7A6A4D3F">
      <w:pPr>
        <w:pStyle w:val="2"/>
        <w:numPr>
          <w:ilvl w:val="0"/>
          <w:numId w:val="66"/>
        </w:numPr>
        <w:tabs>
          <w:tab w:val="left" w:pos="1123"/>
        </w:tabs>
        <w:topLinePunct w:val="0"/>
        <w:ind w:left="0" w:leftChars="0" w:firstLine="482" w:firstLineChars="200"/>
        <w:rPr>
          <w:b/>
          <w:highlight w:val="none"/>
        </w:rPr>
      </w:pPr>
      <w:r>
        <w:rPr>
          <w:highlight w:val="none"/>
        </w:rPr>
        <w:t>项目实施人员组成</w:t>
      </w:r>
    </w:p>
    <w:tbl>
      <w:tblPr>
        <w:tblStyle w:val="32"/>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0" w:type="dxa"/>
          <w:left w:w="64" w:type="dxa"/>
          <w:bottom w:w="40" w:type="dxa"/>
          <w:right w:w="64" w:type="dxa"/>
        </w:tblCellMar>
      </w:tblPr>
      <w:tblGrid>
        <w:gridCol w:w="1720"/>
        <w:gridCol w:w="919"/>
        <w:gridCol w:w="919"/>
        <w:gridCol w:w="919"/>
        <w:gridCol w:w="1615"/>
        <w:gridCol w:w="2310"/>
        <w:gridCol w:w="1615"/>
      </w:tblGrid>
      <w:tr w14:paraId="7258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tblHeader/>
          <w:jc w:val="center"/>
        </w:trPr>
        <w:tc>
          <w:tcPr>
            <w:tcW w:w="1720" w:type="dxa"/>
            <w:vAlign w:val="center"/>
          </w:tcPr>
          <w:p w14:paraId="75F3C55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序号</w:t>
            </w:r>
          </w:p>
        </w:tc>
        <w:tc>
          <w:tcPr>
            <w:tcW w:w="919" w:type="dxa"/>
            <w:vAlign w:val="center"/>
          </w:tcPr>
          <w:p w14:paraId="52729D87">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姓名</w:t>
            </w:r>
          </w:p>
        </w:tc>
        <w:tc>
          <w:tcPr>
            <w:tcW w:w="919" w:type="dxa"/>
            <w:vAlign w:val="center"/>
          </w:tcPr>
          <w:p w14:paraId="0EF5F7E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性别</w:t>
            </w:r>
          </w:p>
        </w:tc>
        <w:tc>
          <w:tcPr>
            <w:tcW w:w="919" w:type="dxa"/>
            <w:vAlign w:val="center"/>
          </w:tcPr>
          <w:p w14:paraId="0BC3AD2B">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年龄</w:t>
            </w:r>
          </w:p>
        </w:tc>
        <w:tc>
          <w:tcPr>
            <w:tcW w:w="1615" w:type="dxa"/>
            <w:vAlign w:val="center"/>
          </w:tcPr>
          <w:p w14:paraId="509383E2">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工作年限</w:t>
            </w:r>
          </w:p>
        </w:tc>
        <w:tc>
          <w:tcPr>
            <w:tcW w:w="2310" w:type="dxa"/>
            <w:vAlign w:val="center"/>
          </w:tcPr>
          <w:p w14:paraId="65F1A7B3">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拟担任的职务</w:t>
            </w:r>
          </w:p>
        </w:tc>
        <w:tc>
          <w:tcPr>
            <w:tcW w:w="1615" w:type="dxa"/>
            <w:vAlign w:val="center"/>
          </w:tcPr>
          <w:p w14:paraId="1907B414">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b/>
                <w:bCs/>
                <w:color w:val="auto"/>
                <w:highlight w:val="none"/>
                <w:lang w:eastAsia="zh-CN"/>
              </w:rPr>
            </w:pPr>
            <w:r>
              <w:rPr>
                <w:rFonts w:hint="eastAsia" w:ascii="黑体" w:hAnsi="黑体" w:eastAsia="黑体" w:cs="黑体"/>
                <w:b/>
                <w:bCs/>
                <w:color w:val="auto"/>
                <w:highlight w:val="none"/>
                <w:lang w:eastAsia="zh-CN"/>
              </w:rPr>
              <w:t>岗位情况</w:t>
            </w:r>
          </w:p>
        </w:tc>
      </w:tr>
      <w:tr w14:paraId="78C2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71CD0A9E">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57062D56">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743B140C">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63DA662A">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7D9262D">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4028817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48BC48AE">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5023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245A5303">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136C30F2">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4E0CDD6E">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2FB8A6BC">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7D11E6DD">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5C03DF65">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59FE5CFB">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7873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0963792A">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5A812980">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37AB534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725BD4A6">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54F255F">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6B598BE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5F71C62C">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7C85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2E2FB5B9">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107E8CDB">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69173FA7">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58849B5C">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58E4D1D">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026BEB9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5AD4912B">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45ADB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6EB38D26">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4B617ABE">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6A8EC593">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383DC5A8">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075A3AFD">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5D5ED7CB">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355AB646">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4B80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5E99523B">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09D7DE90">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5699FAC5">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4DB663C1">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DFD45D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19307BA5">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6E1AC18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432B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7419AECE">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40259D33">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3375CDA6">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59BCA460">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3FF0E44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11E765D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23635BE0">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6E24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62524E7C">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322AEF32">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006D024E">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0B0A3F7F">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29D01A28">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0BEA6FC3">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0BA6D3E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0A30A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738587EC">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47951BF4">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75D21B6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77E71C4C">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BB2FEDC">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6063FFEF">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22C553DE">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7FCA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2C54F6A3">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26A262AE">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0E15301E">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3D60CF37">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E87D32B">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5A743F74">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7FEBC127">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4BCC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58AEFBC7">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4F0A1A59">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4D84FB96">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7E48433C">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319A8640">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0B41DF33">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51DD60F0">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0038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2F0BA429">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5DA5E8D4">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21B551C6">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680CBF9F">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46BBA893">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14FB8734">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2019671A">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r w14:paraId="262A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0" w:type="dxa"/>
            <w:left w:w="64" w:type="dxa"/>
            <w:bottom w:w="40" w:type="dxa"/>
            <w:right w:w="64" w:type="dxa"/>
          </w:tblCellMar>
        </w:tblPrEx>
        <w:trPr>
          <w:trHeight w:val="0" w:hRule="atLeast"/>
          <w:jc w:val="center"/>
        </w:trPr>
        <w:tc>
          <w:tcPr>
            <w:tcW w:w="1720" w:type="dxa"/>
            <w:vAlign w:val="center"/>
          </w:tcPr>
          <w:p w14:paraId="4F5D09F8">
            <w:pPr>
              <w:pStyle w:val="59"/>
              <w:keepNext w:val="0"/>
              <w:keepLines w:val="0"/>
              <w:suppressLineNumbers w:val="0"/>
              <w:snapToGrid w:val="0"/>
              <w:spacing w:before="0" w:beforeAutospacing="0" w:after="0" w:afterAutospacing="0" w:line="360" w:lineRule="auto"/>
              <w:ind w:left="-1" w:leftChars="-7" w:right="0" w:hanging="16" w:hangingChars="7"/>
              <w:rPr>
                <w:rFonts w:hint="eastAsia" w:ascii="黑体" w:hAnsi="黑体" w:eastAsia="黑体" w:cs="黑体"/>
                <w:color w:val="auto"/>
                <w:szCs w:val="21"/>
                <w:highlight w:val="none"/>
              </w:rPr>
            </w:pPr>
          </w:p>
        </w:tc>
        <w:tc>
          <w:tcPr>
            <w:tcW w:w="919" w:type="dxa"/>
            <w:vAlign w:val="center"/>
          </w:tcPr>
          <w:p w14:paraId="1247C2FB">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919" w:type="dxa"/>
            <w:vAlign w:val="center"/>
          </w:tcPr>
          <w:p w14:paraId="7FCA373F">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919" w:type="dxa"/>
            <w:vAlign w:val="center"/>
          </w:tcPr>
          <w:p w14:paraId="7A1194B7">
            <w:pPr>
              <w:pStyle w:val="59"/>
              <w:keepNext w:val="0"/>
              <w:keepLines w:val="0"/>
              <w:suppressLineNumbers w:val="0"/>
              <w:snapToGrid w:val="0"/>
              <w:spacing w:before="0" w:beforeAutospacing="0" w:after="0" w:afterAutospacing="0" w:line="360" w:lineRule="auto"/>
              <w:ind w:left="0" w:leftChars="-13" w:right="0" w:hanging="31" w:hangingChars="13"/>
              <w:rPr>
                <w:rFonts w:hint="eastAsia" w:ascii="黑体" w:hAnsi="黑体" w:eastAsia="黑体" w:cs="黑体"/>
                <w:color w:val="auto"/>
                <w:szCs w:val="21"/>
                <w:highlight w:val="none"/>
              </w:rPr>
            </w:pPr>
          </w:p>
        </w:tc>
        <w:tc>
          <w:tcPr>
            <w:tcW w:w="1615" w:type="dxa"/>
            <w:vAlign w:val="center"/>
          </w:tcPr>
          <w:p w14:paraId="234A2547">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2310" w:type="dxa"/>
            <w:vAlign w:val="center"/>
          </w:tcPr>
          <w:p w14:paraId="25364B61">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c>
          <w:tcPr>
            <w:tcW w:w="1615" w:type="dxa"/>
            <w:vAlign w:val="center"/>
          </w:tcPr>
          <w:p w14:paraId="0C3679AA">
            <w:pPr>
              <w:pStyle w:val="59"/>
              <w:keepNext w:val="0"/>
              <w:keepLines w:val="0"/>
              <w:suppressLineNumbers w:val="0"/>
              <w:snapToGrid w:val="0"/>
              <w:spacing w:before="0" w:beforeAutospacing="0" w:after="0" w:afterAutospacing="0" w:line="360" w:lineRule="auto"/>
              <w:ind w:left="0" w:leftChars="0" w:right="0"/>
              <w:rPr>
                <w:rFonts w:hint="eastAsia" w:ascii="黑体" w:hAnsi="黑体" w:eastAsia="黑体" w:cs="黑体"/>
                <w:color w:val="auto"/>
                <w:szCs w:val="21"/>
                <w:highlight w:val="none"/>
              </w:rPr>
            </w:pPr>
          </w:p>
        </w:tc>
      </w:tr>
    </w:tbl>
    <w:p w14:paraId="2256C200">
      <w:pPr>
        <w:pStyle w:val="16"/>
        <w:tabs>
          <w:tab w:val="left" w:pos="482"/>
        </w:tabs>
        <w:ind w:left="828" w:leftChars="0" w:hanging="346" w:firstLineChars="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注：1.“岗位情况”须注明该人在本单位是在岗、返聘还是外聘。</w:t>
      </w:r>
    </w:p>
    <w:p w14:paraId="4A2BAEC9">
      <w:pPr>
        <w:pStyle w:val="16"/>
        <w:tabs>
          <w:tab w:val="left" w:pos="48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2.供应商可适当调整该表格式，但不得减少信息内容。</w:t>
      </w:r>
    </w:p>
    <w:p w14:paraId="1A61FBE4">
      <w:pPr>
        <w:spacing w:after="120" w:afterAutospacing="0" w:line="360" w:lineRule="auto"/>
        <w:ind w:firstLine="3132" w:firstLineChars="1300"/>
        <w:jc w:val="both"/>
        <w:rPr>
          <w:rFonts w:hint="eastAsia" w:ascii="Times New Roman" w:hAnsi="Times New Roman" w:eastAsia="宋体" w:cs="Times New Roman"/>
          <w:color w:val="auto"/>
          <w:sz w:val="24"/>
          <w:highlight w:val="none"/>
        </w:rPr>
      </w:pPr>
      <w:r>
        <w:rPr>
          <w:rFonts w:hint="eastAsia" w:ascii="Times New Roman" w:hAnsi="Times New Roman" w:eastAsia="宋体" w:cs="Times New Roman"/>
          <w:b/>
          <w:color w:val="auto"/>
          <w:sz w:val="24"/>
          <w:highlight w:val="none"/>
          <w:lang w:val="en-US" w:eastAsia="zh-CN"/>
        </w:rPr>
        <w:t xml:space="preserve"> </w:t>
      </w:r>
      <w:r>
        <w:rPr>
          <w:rFonts w:hint="eastAsia" w:ascii="Times New Roman" w:hAnsi="Times New Roman" w:eastAsia="宋体" w:cs="Times New Roman"/>
          <w:b/>
          <w:color w:val="auto"/>
          <w:sz w:val="24"/>
          <w:highlight w:val="none"/>
          <w:lang w:eastAsia="zh-CN"/>
        </w:rPr>
        <w:t>供应商</w:t>
      </w:r>
      <w:r>
        <w:rPr>
          <w:rFonts w:hint="eastAsia" w:ascii="Times New Roman" w:hAnsi="Times New Roman" w:eastAsia="宋体" w:cs="Times New Roman"/>
          <w:color w:val="auto"/>
          <w:sz w:val="24"/>
          <w:highlight w:val="none"/>
        </w:rPr>
        <w:t>（盖章）：</w:t>
      </w:r>
    </w:p>
    <w:p w14:paraId="7EDA975C">
      <w:pPr>
        <w:spacing w:after="120" w:afterAutospacing="0" w:line="360" w:lineRule="auto"/>
        <w:ind w:firstLine="482" w:firstLineChars="200"/>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b/>
          <w:color w:val="auto"/>
          <w:sz w:val="24"/>
          <w:highlight w:val="none"/>
          <w:lang w:eastAsia="zh-CN"/>
        </w:rPr>
        <w:t>法定代表人</w:t>
      </w:r>
      <w:r>
        <w:rPr>
          <w:rFonts w:hint="eastAsia" w:ascii="Times New Roman" w:hAnsi="Times New Roman" w:eastAsia="宋体" w:cs="Times New Roman"/>
          <w:b/>
          <w:color w:val="auto"/>
          <w:sz w:val="24"/>
          <w:highlight w:val="none"/>
        </w:rPr>
        <w:t>或授权代表</w:t>
      </w:r>
      <w:r>
        <w:rPr>
          <w:rFonts w:hint="eastAsia" w:ascii="Times New Roman" w:hAnsi="Times New Roman" w:eastAsia="宋体" w:cs="Times New Roman"/>
          <w:color w:val="auto"/>
          <w:sz w:val="24"/>
          <w:highlight w:val="none"/>
        </w:rPr>
        <w:t>（签字或盖章）：</w:t>
      </w:r>
    </w:p>
    <w:p w14:paraId="63931F59">
      <w:pPr>
        <w:spacing w:after="120" w:afterAutospacing="0" w:line="360" w:lineRule="auto"/>
        <w:ind w:firstLine="482" w:firstLineChars="200"/>
        <w:jc w:val="center"/>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日期：</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年</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月</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日</w:t>
      </w:r>
    </w:p>
    <w:p w14:paraId="3AD2B4CF">
      <w:pPr>
        <w:rPr>
          <w:rFonts w:hint="eastAsia" w:ascii="黑体" w:hAnsi="黑体" w:eastAsia="黑体" w:cs="黑体"/>
          <w:color w:val="auto"/>
          <w:highlight w:val="none"/>
          <w:lang w:eastAsia="zh-CN"/>
        </w:rPr>
      </w:pPr>
      <w:bookmarkStart w:id="104" w:name="_Toc15257"/>
      <w:r>
        <w:rPr>
          <w:rFonts w:hint="eastAsia" w:ascii="黑体" w:hAnsi="黑体" w:eastAsia="黑体" w:cs="黑体"/>
          <w:color w:val="auto"/>
          <w:highlight w:val="none"/>
          <w:lang w:eastAsia="zh-CN"/>
        </w:rPr>
        <w:br w:type="page"/>
      </w:r>
    </w:p>
    <w:p w14:paraId="1D656FC2">
      <w:pPr>
        <w:pStyle w:val="2"/>
        <w:numPr>
          <w:ilvl w:val="0"/>
          <w:numId w:val="66"/>
        </w:numPr>
        <w:tabs>
          <w:tab w:val="left" w:pos="1123"/>
        </w:tabs>
        <w:topLinePunct w:val="0"/>
        <w:ind w:left="0" w:leftChars="0" w:firstLine="482" w:firstLineChars="200"/>
        <w:rPr>
          <w:b/>
          <w:highlight w:val="none"/>
        </w:rPr>
      </w:pPr>
      <w:r>
        <w:rPr>
          <w:highlight w:val="none"/>
        </w:rPr>
        <w:t>类似业绩</w:t>
      </w:r>
    </w:p>
    <w:p w14:paraId="666695BA">
      <w:pPr>
        <w:pStyle w:val="16"/>
        <w:ind w:left="0" w:leftChars="0" w:firstLine="480" w:firstLineChars="200"/>
        <w:rPr>
          <w:rFonts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供应商名称：</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none"/>
        </w:rPr>
        <w:t xml:space="preserve">        </w:t>
      </w:r>
      <w:r>
        <w:rPr>
          <w:rFonts w:ascii="Times New Roman" w:hAnsi="Times New Roman" w:eastAsia="宋体" w:cs="Times New Roman"/>
          <w:color w:val="auto"/>
          <w:sz w:val="24"/>
          <w:highlight w:val="none"/>
        </w:rPr>
        <w:t xml:space="preserve">项目编号： </w:t>
      </w:r>
      <w:r>
        <w:rPr>
          <w:rFonts w:ascii="Times New Roman" w:hAnsi="Times New Roman" w:eastAsia="宋体" w:cs="Times New Roman"/>
          <w:color w:val="auto"/>
          <w:sz w:val="24"/>
          <w:highlight w:val="none"/>
          <w:u w:val="single"/>
        </w:rPr>
        <w:t xml:space="preserve">                        </w:t>
      </w:r>
    </w:p>
    <w:tbl>
      <w:tblPr>
        <w:tblStyle w:val="33"/>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6" w:type="dxa"/>
          <w:left w:w="96" w:type="dxa"/>
          <w:bottom w:w="56" w:type="dxa"/>
          <w:right w:w="96" w:type="dxa"/>
        </w:tblCellMar>
      </w:tblPr>
      <w:tblGrid>
        <w:gridCol w:w="1641"/>
        <w:gridCol w:w="2613"/>
        <w:gridCol w:w="2207"/>
        <w:gridCol w:w="2207"/>
        <w:gridCol w:w="1299"/>
      </w:tblGrid>
      <w:tr w14:paraId="0717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tblHeader/>
          <w:jc w:val="center"/>
        </w:trPr>
        <w:tc>
          <w:tcPr>
            <w:tcW w:w="1641" w:type="dxa"/>
            <w:vAlign w:val="center"/>
          </w:tcPr>
          <w:p w14:paraId="6A79250F">
            <w:pPr>
              <w:pStyle w:val="30"/>
              <w:snapToGrid w:val="0"/>
              <w:ind w:left="0" w:leftChars="0" w:firstLine="0" w:firstLineChars="0"/>
              <w:jc w:val="center"/>
              <w:rPr>
                <w:rFonts w:hint="eastAsia" w:ascii="黑体" w:hAnsi="黑体" w:eastAsia="黑体" w:cs="黑体"/>
                <w:b/>
                <w:color w:val="auto"/>
                <w:kern w:val="2"/>
                <w:sz w:val="24"/>
                <w:highlight w:val="none"/>
                <w:lang w:val="en-US" w:eastAsia="zh-CN" w:bidi="ar-SA"/>
              </w:rPr>
            </w:pPr>
            <w:r>
              <w:rPr>
                <w:rFonts w:hint="eastAsia" w:ascii="黑体" w:hAnsi="黑体" w:eastAsia="黑体" w:cs="黑体"/>
                <w:b/>
                <w:color w:val="auto"/>
                <w:kern w:val="2"/>
                <w:sz w:val="24"/>
                <w:highlight w:val="none"/>
                <w:lang w:val="en-US" w:eastAsia="zh-CN" w:bidi="ar-SA"/>
              </w:rPr>
              <w:t>序号</w:t>
            </w:r>
          </w:p>
        </w:tc>
        <w:tc>
          <w:tcPr>
            <w:tcW w:w="2613" w:type="dxa"/>
            <w:vAlign w:val="center"/>
          </w:tcPr>
          <w:p w14:paraId="45F09C30">
            <w:pPr>
              <w:pStyle w:val="30"/>
              <w:snapToGrid w:val="0"/>
              <w:ind w:left="0" w:leftChars="0" w:firstLine="0" w:firstLineChars="0"/>
              <w:jc w:val="center"/>
              <w:rPr>
                <w:rFonts w:hint="eastAsia" w:ascii="黑体" w:hAnsi="黑体" w:eastAsia="黑体" w:cs="黑体"/>
                <w:b/>
                <w:color w:val="auto"/>
                <w:kern w:val="2"/>
                <w:sz w:val="24"/>
                <w:highlight w:val="none"/>
                <w:lang w:val="en-US" w:eastAsia="zh-CN" w:bidi="ar-SA"/>
              </w:rPr>
            </w:pPr>
            <w:r>
              <w:rPr>
                <w:rFonts w:hint="eastAsia" w:ascii="黑体" w:hAnsi="黑体" w:eastAsia="黑体" w:cs="黑体"/>
                <w:b/>
                <w:color w:val="auto"/>
                <w:kern w:val="2"/>
                <w:sz w:val="24"/>
                <w:highlight w:val="none"/>
                <w:lang w:val="en-US" w:eastAsia="zh-CN" w:bidi="ar-SA"/>
              </w:rPr>
              <w:t>项目名称</w:t>
            </w:r>
          </w:p>
        </w:tc>
        <w:tc>
          <w:tcPr>
            <w:tcW w:w="2207" w:type="dxa"/>
            <w:vAlign w:val="center"/>
          </w:tcPr>
          <w:p w14:paraId="0EA083E1">
            <w:pPr>
              <w:pStyle w:val="30"/>
              <w:snapToGrid w:val="0"/>
              <w:ind w:left="0" w:leftChars="0" w:firstLine="0" w:firstLineChars="0"/>
              <w:jc w:val="center"/>
              <w:rPr>
                <w:rFonts w:hint="eastAsia" w:ascii="黑体" w:hAnsi="黑体" w:eastAsia="黑体" w:cs="黑体"/>
                <w:b/>
                <w:color w:val="auto"/>
                <w:kern w:val="2"/>
                <w:sz w:val="24"/>
                <w:highlight w:val="none"/>
                <w:lang w:val="en-US" w:eastAsia="zh-CN" w:bidi="ar-SA"/>
              </w:rPr>
            </w:pPr>
            <w:r>
              <w:rPr>
                <w:rFonts w:hint="eastAsia" w:ascii="黑体" w:hAnsi="黑体" w:eastAsia="黑体" w:cs="黑体"/>
                <w:b/>
                <w:color w:val="auto"/>
                <w:kern w:val="2"/>
                <w:sz w:val="24"/>
                <w:highlight w:val="none"/>
                <w:lang w:val="en-US" w:eastAsia="zh-CN" w:bidi="ar-SA"/>
              </w:rPr>
              <w:t>合同金额</w:t>
            </w:r>
          </w:p>
        </w:tc>
        <w:tc>
          <w:tcPr>
            <w:tcW w:w="2207" w:type="dxa"/>
            <w:vAlign w:val="center"/>
          </w:tcPr>
          <w:p w14:paraId="7724EB45">
            <w:pPr>
              <w:pStyle w:val="30"/>
              <w:snapToGrid w:val="0"/>
              <w:ind w:left="0" w:leftChars="0" w:firstLine="0" w:firstLineChars="0"/>
              <w:jc w:val="center"/>
              <w:rPr>
                <w:rFonts w:hint="eastAsia" w:ascii="黑体" w:hAnsi="黑体" w:eastAsia="黑体" w:cs="黑体"/>
                <w:b/>
                <w:color w:val="auto"/>
                <w:kern w:val="2"/>
                <w:sz w:val="24"/>
                <w:highlight w:val="none"/>
                <w:lang w:val="en-US" w:eastAsia="zh-CN" w:bidi="ar-SA"/>
              </w:rPr>
            </w:pPr>
            <w:r>
              <w:rPr>
                <w:rFonts w:hint="eastAsia" w:ascii="黑体" w:hAnsi="黑体" w:eastAsia="黑体" w:cs="黑体"/>
                <w:b/>
                <w:color w:val="auto"/>
                <w:kern w:val="2"/>
                <w:sz w:val="24"/>
                <w:highlight w:val="none"/>
                <w:lang w:val="en-US" w:eastAsia="zh-CN" w:bidi="ar-SA"/>
              </w:rPr>
              <w:t>签订日期</w:t>
            </w:r>
          </w:p>
        </w:tc>
        <w:tc>
          <w:tcPr>
            <w:tcW w:w="1299" w:type="dxa"/>
            <w:vAlign w:val="center"/>
          </w:tcPr>
          <w:p w14:paraId="49BC4419">
            <w:pPr>
              <w:pStyle w:val="30"/>
              <w:snapToGrid w:val="0"/>
              <w:ind w:left="0" w:leftChars="0" w:firstLine="0" w:firstLineChars="0"/>
              <w:jc w:val="center"/>
              <w:rPr>
                <w:rFonts w:hint="eastAsia" w:ascii="黑体" w:hAnsi="黑体" w:eastAsia="黑体" w:cs="黑体"/>
                <w:b/>
                <w:color w:val="auto"/>
                <w:kern w:val="2"/>
                <w:sz w:val="24"/>
                <w:highlight w:val="none"/>
                <w:lang w:val="en-US" w:eastAsia="zh-CN" w:bidi="ar-SA"/>
              </w:rPr>
            </w:pPr>
            <w:r>
              <w:rPr>
                <w:rFonts w:hint="eastAsia" w:ascii="黑体" w:hAnsi="黑体" w:eastAsia="黑体" w:cs="黑体"/>
                <w:b/>
                <w:color w:val="auto"/>
                <w:kern w:val="2"/>
                <w:sz w:val="24"/>
                <w:highlight w:val="none"/>
                <w:lang w:val="en-US" w:eastAsia="zh-CN" w:bidi="ar-SA"/>
              </w:rPr>
              <w:t>备注</w:t>
            </w:r>
          </w:p>
        </w:tc>
      </w:tr>
      <w:tr w14:paraId="616B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7D088E46">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15E39A16">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026EBAD6">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31CF0161">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65BC6F5F">
            <w:pPr>
              <w:pStyle w:val="30"/>
              <w:snapToGrid w:val="0"/>
              <w:jc w:val="center"/>
              <w:rPr>
                <w:rFonts w:hint="eastAsia" w:ascii="黑体" w:hAnsi="黑体" w:eastAsia="黑体" w:cs="黑体"/>
                <w:color w:val="auto"/>
                <w:kern w:val="2"/>
                <w:sz w:val="24"/>
                <w:highlight w:val="none"/>
                <w:lang w:val="en-US" w:eastAsia="zh-CN" w:bidi="ar-SA"/>
              </w:rPr>
            </w:pPr>
          </w:p>
        </w:tc>
      </w:tr>
      <w:tr w14:paraId="748C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50332EF6">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61EB1F8F">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25F2E092">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18BBBE2D">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38D4B51F">
            <w:pPr>
              <w:pStyle w:val="30"/>
              <w:snapToGrid w:val="0"/>
              <w:jc w:val="center"/>
              <w:rPr>
                <w:rFonts w:hint="eastAsia" w:ascii="黑体" w:hAnsi="黑体" w:eastAsia="黑体" w:cs="黑体"/>
                <w:color w:val="auto"/>
                <w:kern w:val="2"/>
                <w:sz w:val="24"/>
                <w:highlight w:val="none"/>
                <w:lang w:val="en-US" w:eastAsia="zh-CN" w:bidi="ar-SA"/>
              </w:rPr>
            </w:pPr>
          </w:p>
        </w:tc>
      </w:tr>
      <w:tr w14:paraId="2741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24D024FD">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27711384">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339CC507">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75BBAEFE">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2974083C">
            <w:pPr>
              <w:pStyle w:val="30"/>
              <w:snapToGrid w:val="0"/>
              <w:jc w:val="center"/>
              <w:rPr>
                <w:rFonts w:hint="eastAsia" w:ascii="黑体" w:hAnsi="黑体" w:eastAsia="黑体" w:cs="黑体"/>
                <w:color w:val="auto"/>
                <w:kern w:val="2"/>
                <w:sz w:val="24"/>
                <w:highlight w:val="none"/>
                <w:lang w:val="en-US" w:eastAsia="zh-CN" w:bidi="ar-SA"/>
              </w:rPr>
            </w:pPr>
          </w:p>
        </w:tc>
      </w:tr>
      <w:tr w14:paraId="54CC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4ABBFD5B">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5E349954">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74D015FD">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59B7A285">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102A3421">
            <w:pPr>
              <w:pStyle w:val="30"/>
              <w:snapToGrid w:val="0"/>
              <w:jc w:val="center"/>
              <w:rPr>
                <w:rFonts w:hint="eastAsia" w:ascii="黑体" w:hAnsi="黑体" w:eastAsia="黑体" w:cs="黑体"/>
                <w:color w:val="auto"/>
                <w:kern w:val="2"/>
                <w:sz w:val="24"/>
                <w:highlight w:val="none"/>
                <w:lang w:val="en-US" w:eastAsia="zh-CN" w:bidi="ar-SA"/>
              </w:rPr>
            </w:pPr>
          </w:p>
        </w:tc>
      </w:tr>
      <w:tr w14:paraId="5E153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6985A420">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338CB4C0">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2862444E">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73F2B5E6">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2D854E53">
            <w:pPr>
              <w:pStyle w:val="30"/>
              <w:snapToGrid w:val="0"/>
              <w:jc w:val="center"/>
              <w:rPr>
                <w:rFonts w:hint="eastAsia" w:ascii="黑体" w:hAnsi="黑体" w:eastAsia="黑体" w:cs="黑体"/>
                <w:color w:val="auto"/>
                <w:kern w:val="2"/>
                <w:sz w:val="24"/>
                <w:highlight w:val="none"/>
                <w:lang w:val="en-US" w:eastAsia="zh-CN" w:bidi="ar-SA"/>
              </w:rPr>
            </w:pPr>
          </w:p>
        </w:tc>
      </w:tr>
      <w:tr w14:paraId="7DFF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46F2678E">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66E6D1D5">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3DAC30AA">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3A13ACEF">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7513A4BD">
            <w:pPr>
              <w:pStyle w:val="30"/>
              <w:snapToGrid w:val="0"/>
              <w:jc w:val="center"/>
              <w:rPr>
                <w:rFonts w:hint="eastAsia" w:ascii="黑体" w:hAnsi="黑体" w:eastAsia="黑体" w:cs="黑体"/>
                <w:color w:val="auto"/>
                <w:kern w:val="2"/>
                <w:sz w:val="24"/>
                <w:highlight w:val="none"/>
                <w:lang w:val="en-US" w:eastAsia="zh-CN" w:bidi="ar-SA"/>
              </w:rPr>
            </w:pPr>
          </w:p>
        </w:tc>
      </w:tr>
      <w:tr w14:paraId="4ED8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586D81F5">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41FEAC4D">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725A5752">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078B0A1C">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2C2B6C48">
            <w:pPr>
              <w:pStyle w:val="30"/>
              <w:snapToGrid w:val="0"/>
              <w:jc w:val="center"/>
              <w:rPr>
                <w:rFonts w:hint="eastAsia" w:ascii="黑体" w:hAnsi="黑体" w:eastAsia="黑体" w:cs="黑体"/>
                <w:color w:val="auto"/>
                <w:kern w:val="2"/>
                <w:sz w:val="24"/>
                <w:highlight w:val="none"/>
                <w:lang w:val="en-US" w:eastAsia="zh-CN" w:bidi="ar-SA"/>
              </w:rPr>
            </w:pPr>
          </w:p>
        </w:tc>
      </w:tr>
      <w:tr w14:paraId="1E98C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0" w:hRule="atLeast"/>
          <w:jc w:val="center"/>
        </w:trPr>
        <w:tc>
          <w:tcPr>
            <w:tcW w:w="1641" w:type="dxa"/>
            <w:vAlign w:val="center"/>
          </w:tcPr>
          <w:p w14:paraId="1EA603CC">
            <w:pPr>
              <w:pStyle w:val="30"/>
              <w:snapToGrid w:val="0"/>
              <w:jc w:val="center"/>
              <w:rPr>
                <w:rFonts w:hint="eastAsia" w:ascii="黑体" w:hAnsi="黑体" w:eastAsia="黑体" w:cs="黑体"/>
                <w:color w:val="auto"/>
                <w:kern w:val="2"/>
                <w:sz w:val="24"/>
                <w:highlight w:val="none"/>
                <w:lang w:val="en-US" w:eastAsia="zh-CN" w:bidi="ar-SA"/>
              </w:rPr>
            </w:pPr>
          </w:p>
        </w:tc>
        <w:tc>
          <w:tcPr>
            <w:tcW w:w="2613" w:type="dxa"/>
            <w:vAlign w:val="center"/>
          </w:tcPr>
          <w:p w14:paraId="2589ED96">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016AB812">
            <w:pPr>
              <w:pStyle w:val="30"/>
              <w:snapToGrid w:val="0"/>
              <w:jc w:val="center"/>
              <w:rPr>
                <w:rFonts w:hint="eastAsia" w:ascii="黑体" w:hAnsi="黑体" w:eastAsia="黑体" w:cs="黑体"/>
                <w:color w:val="auto"/>
                <w:kern w:val="2"/>
                <w:sz w:val="24"/>
                <w:highlight w:val="none"/>
                <w:lang w:val="en-US" w:eastAsia="zh-CN" w:bidi="ar-SA"/>
              </w:rPr>
            </w:pPr>
          </w:p>
        </w:tc>
        <w:tc>
          <w:tcPr>
            <w:tcW w:w="2207" w:type="dxa"/>
            <w:vAlign w:val="center"/>
          </w:tcPr>
          <w:p w14:paraId="0B5BD890">
            <w:pPr>
              <w:pStyle w:val="30"/>
              <w:snapToGrid w:val="0"/>
              <w:jc w:val="center"/>
              <w:rPr>
                <w:rFonts w:hint="eastAsia" w:ascii="黑体" w:hAnsi="黑体" w:eastAsia="黑体" w:cs="黑体"/>
                <w:color w:val="auto"/>
                <w:kern w:val="2"/>
                <w:sz w:val="24"/>
                <w:highlight w:val="none"/>
                <w:lang w:val="en-US" w:eastAsia="zh-CN" w:bidi="ar-SA"/>
              </w:rPr>
            </w:pPr>
          </w:p>
        </w:tc>
        <w:tc>
          <w:tcPr>
            <w:tcW w:w="1299" w:type="dxa"/>
            <w:vAlign w:val="center"/>
          </w:tcPr>
          <w:p w14:paraId="120AA2EB">
            <w:pPr>
              <w:pStyle w:val="30"/>
              <w:snapToGrid w:val="0"/>
              <w:jc w:val="center"/>
              <w:rPr>
                <w:rFonts w:hint="eastAsia" w:ascii="黑体" w:hAnsi="黑体" w:eastAsia="黑体" w:cs="黑体"/>
                <w:color w:val="auto"/>
                <w:kern w:val="2"/>
                <w:sz w:val="24"/>
                <w:highlight w:val="none"/>
                <w:lang w:val="en-US" w:eastAsia="zh-CN" w:bidi="ar-SA"/>
              </w:rPr>
            </w:pPr>
          </w:p>
        </w:tc>
      </w:tr>
    </w:tbl>
    <w:p w14:paraId="5F9432C6">
      <w:pPr>
        <w:pStyle w:val="16"/>
        <w:tabs>
          <w:tab w:val="left" w:pos="480"/>
        </w:tabs>
        <w:ind w:left="960" w:leftChars="200" w:hanging="480" w:hanging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注：1、本表后须附合同协议书证明。</w:t>
      </w:r>
    </w:p>
    <w:p w14:paraId="3C24EAA5">
      <w:pPr>
        <w:pStyle w:val="16"/>
        <w:tabs>
          <w:tab w:val="left" w:pos="480"/>
        </w:tabs>
        <w:ind w:left="0"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2、如近年来，供应商法人机构发生合法变更或重组或法人名称变更时，应提供相关部门的合法批件或其他相关证明材料来证明其所附业绩的真实性。</w:t>
      </w:r>
    </w:p>
    <w:p w14:paraId="7C155D77">
      <w:pPr>
        <w:spacing w:after="120" w:afterAutospacing="0" w:line="360" w:lineRule="auto"/>
        <w:ind w:firstLine="3132" w:firstLineChars="1300"/>
        <w:jc w:val="both"/>
        <w:rPr>
          <w:rFonts w:hint="eastAsia" w:ascii="Times New Roman" w:hAnsi="Times New Roman" w:eastAsia="宋体" w:cs="Times New Roman"/>
          <w:color w:val="auto"/>
          <w:sz w:val="24"/>
          <w:highlight w:val="none"/>
        </w:rPr>
      </w:pPr>
      <w:r>
        <w:rPr>
          <w:rFonts w:hint="eastAsia" w:ascii="Times New Roman" w:hAnsi="Times New Roman" w:eastAsia="宋体" w:cs="Times New Roman"/>
          <w:b/>
          <w:color w:val="auto"/>
          <w:sz w:val="24"/>
          <w:highlight w:val="none"/>
          <w:lang w:eastAsia="zh-CN"/>
        </w:rPr>
        <w:t>供应商</w:t>
      </w:r>
      <w:r>
        <w:rPr>
          <w:rFonts w:hint="eastAsia" w:ascii="Times New Roman" w:hAnsi="Times New Roman" w:eastAsia="宋体" w:cs="Times New Roman"/>
          <w:color w:val="auto"/>
          <w:sz w:val="24"/>
          <w:highlight w:val="none"/>
        </w:rPr>
        <w:t>（盖章）：</w:t>
      </w:r>
    </w:p>
    <w:p w14:paraId="4B0C0795">
      <w:pPr>
        <w:spacing w:after="120" w:afterAutospacing="0" w:line="360" w:lineRule="auto"/>
        <w:ind w:firstLine="482" w:firstLineChars="200"/>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b/>
          <w:color w:val="auto"/>
          <w:sz w:val="24"/>
          <w:highlight w:val="none"/>
          <w:lang w:eastAsia="zh-CN"/>
        </w:rPr>
        <w:t>法定代表人</w:t>
      </w:r>
      <w:r>
        <w:rPr>
          <w:rFonts w:hint="eastAsia" w:ascii="Times New Roman" w:hAnsi="Times New Roman" w:eastAsia="宋体" w:cs="Times New Roman"/>
          <w:b/>
          <w:color w:val="auto"/>
          <w:sz w:val="24"/>
          <w:highlight w:val="none"/>
        </w:rPr>
        <w:t>或授权代表</w:t>
      </w:r>
      <w:r>
        <w:rPr>
          <w:rFonts w:hint="eastAsia" w:ascii="Times New Roman" w:hAnsi="Times New Roman" w:eastAsia="宋体" w:cs="Times New Roman"/>
          <w:color w:val="auto"/>
          <w:sz w:val="24"/>
          <w:highlight w:val="none"/>
        </w:rPr>
        <w:t>（签字或盖章）：</w:t>
      </w:r>
    </w:p>
    <w:p w14:paraId="2D02F6CF">
      <w:pPr>
        <w:spacing w:after="120" w:afterAutospacing="0" w:line="360" w:lineRule="auto"/>
        <w:ind w:firstLine="482" w:firstLineChars="200"/>
        <w:jc w:val="center"/>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日期：</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年</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月</w:t>
      </w:r>
      <w:r>
        <w:rPr>
          <w:rFonts w:hint="eastAsia" w:ascii="Times New Roman" w:hAnsi="Times New Roman" w:eastAsia="宋体" w:cs="Times New Roman"/>
          <w:b/>
          <w:color w:val="auto"/>
          <w:sz w:val="24"/>
          <w:highlight w:val="none"/>
          <w:u w:val="single"/>
        </w:rPr>
        <w:t xml:space="preserve">      </w:t>
      </w:r>
      <w:r>
        <w:rPr>
          <w:rFonts w:hint="eastAsia" w:ascii="Times New Roman" w:hAnsi="Times New Roman" w:eastAsia="宋体" w:cs="Times New Roman"/>
          <w:b/>
          <w:color w:val="auto"/>
          <w:sz w:val="24"/>
          <w:highlight w:val="none"/>
        </w:rPr>
        <w:t>日</w:t>
      </w:r>
    </w:p>
    <w:p w14:paraId="6F24D601">
      <w:pPr>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br w:type="page"/>
      </w:r>
    </w:p>
    <w:p w14:paraId="2C9F8F3B">
      <w:pPr>
        <w:pStyle w:val="2"/>
        <w:numPr>
          <w:ilvl w:val="0"/>
          <w:numId w:val="66"/>
        </w:numPr>
        <w:tabs>
          <w:tab w:val="left" w:pos="1123"/>
        </w:tabs>
        <w:topLinePunct w:val="0"/>
        <w:ind w:left="0" w:leftChars="0" w:firstLine="482" w:firstLineChars="200"/>
        <w:rPr>
          <w:b/>
          <w:highlight w:val="none"/>
        </w:rPr>
      </w:pPr>
      <w:r>
        <w:rPr>
          <w:highlight w:val="none"/>
        </w:rPr>
        <w:t>陕西省政府采购供应商拒绝政府采购领域商业贿赂承诺书</w:t>
      </w:r>
      <w:bookmarkEnd w:id="104"/>
    </w:p>
    <w:p w14:paraId="2E9FFEC2">
      <w:pPr>
        <w:pStyle w:val="16"/>
        <w:ind w:left="482" w:leftChars="0" w:firstLine="480" w:firstLineChars="20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为响应党中央、国务院关于治理政府采购领域商业贿赂行为的号召，我单位在此庄严承诺：</w:t>
      </w:r>
    </w:p>
    <w:p w14:paraId="2A16485C">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在参与政府采购活动中遵纪守法、诚信经营、公平竞标。</w:t>
      </w:r>
    </w:p>
    <w:p w14:paraId="13451E2B">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不向政府采购人、采购代理机构和政府采购评审专家进行任何形式的商业贿赂以谋取交易机会。</w:t>
      </w:r>
    </w:p>
    <w:p w14:paraId="208448B5">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不向政府采购代理机构和采购人提供虚假资质文件或采用虚假应标方式参与政府采购市场竞争并谋取中标、成交。</w:t>
      </w:r>
    </w:p>
    <w:p w14:paraId="5FF49709">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不采取“围标、陪标”等商业欺诈手段获得政府采购定单。</w:t>
      </w:r>
    </w:p>
    <w:p w14:paraId="45DD3571">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不采取不正当手段诋毁、排挤其他供应商。</w:t>
      </w:r>
    </w:p>
    <w:p w14:paraId="0817E1A2">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不在提供商品和服务时“偷梁换柱、以次充好”损害采购人的合法权益。</w:t>
      </w:r>
    </w:p>
    <w:p w14:paraId="7596F212">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不与采购人、采购代理机构政府采购评审专家或其它供应商恶意串通，进行质疑和投诉，维护政府采购市场秩序。</w:t>
      </w:r>
    </w:p>
    <w:p w14:paraId="20B149A6">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尊重和接受政府采购监督管理部门的监督和政府采购代理机构招标采购要求， 承担因违约行为给采购人造成的损失。</w:t>
      </w:r>
    </w:p>
    <w:p w14:paraId="2E055651">
      <w:pPr>
        <w:pStyle w:val="16"/>
        <w:numPr>
          <w:ilvl w:val="0"/>
          <w:numId w:val="70"/>
        </w:numPr>
        <w:tabs>
          <w:tab w:val="left" w:pos="1798"/>
        </w:tabs>
        <w:topLinePunct w:val="0"/>
        <w:ind w:left="958" w:leftChars="0" w:firstLine="480" w:firstLineChars="200"/>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不发生其他有悖于政府采购公开、公平、公正和诚信原则的行为。</w:t>
      </w:r>
    </w:p>
    <w:p w14:paraId="41D39706">
      <w:pPr>
        <w:pStyle w:val="16"/>
        <w:spacing w:before="4"/>
        <w:rPr>
          <w:rFonts w:hint="eastAsia" w:ascii="黑体" w:hAnsi="黑体" w:eastAsia="黑体" w:cs="黑体"/>
          <w:color w:val="auto"/>
          <w:sz w:val="20"/>
          <w:highlight w:val="none"/>
        </w:rPr>
      </w:pPr>
    </w:p>
    <w:p w14:paraId="5DDE10AA">
      <w:pPr>
        <w:pStyle w:val="16"/>
        <w:tabs>
          <w:tab w:val="left" w:pos="5477"/>
          <w:tab w:val="left" w:pos="10080"/>
        </w:tabs>
        <w:spacing w:after="120" w:afterAutospacing="0" w:line="360" w:lineRule="auto"/>
        <w:ind w:left="916" w:right="80" w:rightChars="0"/>
        <w:jc w:val="both"/>
        <w:rPr>
          <w:rFonts w:hint="eastAsia" w:ascii="Times New Roman" w:hAnsi="Times New Roman" w:eastAsia="宋体" w:cs="Times New Roman"/>
          <w:color w:val="auto"/>
          <w:spacing w:val="-17"/>
          <w:sz w:val="24"/>
          <w:highlight w:val="none"/>
        </w:rPr>
      </w:pPr>
      <w:r>
        <w:rPr>
          <w:rFonts w:hint="eastAsia" w:ascii="Times New Roman" w:hAnsi="Times New Roman" w:eastAsia="宋体" w:cs="Times New Roman"/>
          <w:color w:val="auto"/>
          <w:sz w:val="24"/>
          <w:highlight w:val="none"/>
        </w:rPr>
        <w:t>承诺单位：</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rPr>
        <w:tab/>
      </w:r>
      <w:r>
        <w:rPr>
          <w:rFonts w:hint="eastAsia" w:ascii="Times New Roman" w:hAnsi="Times New Roman" w:eastAsia="宋体" w:cs="Times New Roman"/>
          <w:color w:val="auto"/>
          <w:sz w:val="24"/>
          <w:highlight w:val="none"/>
        </w:rPr>
        <w:t>（盖章</w:t>
      </w:r>
      <w:r>
        <w:rPr>
          <w:rFonts w:hint="eastAsia" w:ascii="Times New Roman" w:hAnsi="Times New Roman" w:eastAsia="宋体" w:cs="Times New Roman"/>
          <w:color w:val="auto"/>
          <w:spacing w:val="-17"/>
          <w:sz w:val="24"/>
          <w:highlight w:val="none"/>
        </w:rPr>
        <w:t>）</w:t>
      </w:r>
    </w:p>
    <w:p w14:paraId="41C05DCE">
      <w:pPr>
        <w:pStyle w:val="16"/>
        <w:tabs>
          <w:tab w:val="left" w:pos="5477"/>
          <w:tab w:val="left" w:pos="10080"/>
        </w:tabs>
        <w:spacing w:after="120" w:afterAutospacing="0" w:line="360" w:lineRule="auto"/>
        <w:ind w:left="916" w:right="80" w:rightChars="0"/>
        <w:jc w:val="both"/>
        <w:rPr>
          <w:rFonts w:hint="eastAsia" w:ascii="Times New Roman" w:hAnsi="Times New Roman" w:eastAsia="宋体" w:cs="Times New Roman"/>
          <w:color w:val="auto"/>
          <w:spacing w:val="-17"/>
          <w:sz w:val="24"/>
          <w:highlight w:val="none"/>
        </w:rPr>
      </w:pPr>
      <w:r>
        <w:rPr>
          <w:rFonts w:hint="eastAsia" w:ascii="Times New Roman" w:hAnsi="Times New Roman" w:eastAsia="宋体" w:cs="Times New Roman"/>
          <w:color w:val="auto"/>
          <w:spacing w:val="-17"/>
          <w:sz w:val="24"/>
          <w:highlight w:val="none"/>
        </w:rPr>
        <w:t xml:space="preserve"> </w:t>
      </w:r>
      <w:r>
        <w:rPr>
          <w:rFonts w:hint="eastAsia" w:ascii="Times New Roman" w:hAnsi="Times New Roman" w:eastAsia="宋体" w:cs="Times New Roman"/>
          <w:color w:val="auto"/>
          <w:sz w:val="24"/>
          <w:highlight w:val="none"/>
        </w:rPr>
        <w:t>法定代表人授权代表：</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rPr>
        <w:tab/>
      </w:r>
      <w:r>
        <w:rPr>
          <w:rFonts w:hint="eastAsia" w:ascii="Times New Roman" w:hAnsi="Times New Roman" w:eastAsia="宋体" w:cs="Times New Roman"/>
          <w:color w:val="auto"/>
          <w:sz w:val="24"/>
          <w:highlight w:val="none"/>
        </w:rPr>
        <w:t>（签字</w:t>
      </w:r>
      <w:r>
        <w:rPr>
          <w:rFonts w:hint="eastAsia" w:ascii="Times New Roman" w:hAnsi="Times New Roman" w:eastAsia="宋体" w:cs="Times New Roman"/>
          <w:color w:val="auto"/>
          <w:sz w:val="24"/>
          <w:highlight w:val="none"/>
          <w:lang w:eastAsia="zh-CN"/>
        </w:rPr>
        <w:t>或盖章</w:t>
      </w:r>
      <w:r>
        <w:rPr>
          <w:rFonts w:hint="eastAsia" w:ascii="Times New Roman" w:hAnsi="Times New Roman" w:eastAsia="宋体" w:cs="Times New Roman"/>
          <w:color w:val="auto"/>
          <w:spacing w:val="-17"/>
          <w:sz w:val="24"/>
          <w:highlight w:val="none"/>
        </w:rPr>
        <w:t xml:space="preserve">） </w:t>
      </w:r>
    </w:p>
    <w:p w14:paraId="40346CF7">
      <w:pPr>
        <w:pStyle w:val="16"/>
        <w:tabs>
          <w:tab w:val="left" w:pos="5477"/>
          <w:tab w:val="left" w:pos="10080"/>
        </w:tabs>
        <w:spacing w:after="120" w:afterAutospacing="0" w:line="360" w:lineRule="auto"/>
        <w:ind w:left="916" w:right="80" w:rightChars="0"/>
        <w:jc w:val="both"/>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地</w:t>
      </w:r>
      <w:r>
        <w:rPr>
          <w:rFonts w:hint="eastAsia" w:ascii="Times New Roman" w:hAnsi="Times New Roman" w:eastAsia="宋体" w:cs="Times New Roman"/>
          <w:color w:val="auto"/>
          <w:spacing w:val="119"/>
          <w:sz w:val="24"/>
          <w:highlight w:val="none"/>
        </w:rPr>
        <w:t xml:space="preserve"> </w:t>
      </w:r>
      <w:r>
        <w:rPr>
          <w:rFonts w:hint="eastAsia" w:ascii="Times New Roman" w:hAnsi="Times New Roman" w:eastAsia="宋体" w:cs="Times New Roman"/>
          <w:color w:val="auto"/>
          <w:sz w:val="24"/>
          <w:highlight w:val="none"/>
        </w:rPr>
        <w:t>址 ：</w:t>
      </w:r>
    </w:p>
    <w:p w14:paraId="483FB7D6">
      <w:pPr>
        <w:pStyle w:val="16"/>
        <w:spacing w:before="1" w:after="120" w:afterAutospacing="0" w:line="360" w:lineRule="auto"/>
        <w:ind w:left="916"/>
        <w:jc w:val="both"/>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pacing w:val="19"/>
          <w:sz w:val="24"/>
          <w:highlight w:val="none"/>
        </w:rPr>
        <w:t>邮  编 ：</w:t>
      </w:r>
    </w:p>
    <w:p w14:paraId="46002A7F">
      <w:pPr>
        <w:pStyle w:val="16"/>
        <w:spacing w:before="134" w:after="120" w:afterAutospacing="0" w:line="360" w:lineRule="auto"/>
        <w:ind w:left="916"/>
        <w:jc w:val="both"/>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pacing w:val="19"/>
          <w:sz w:val="24"/>
          <w:highlight w:val="none"/>
        </w:rPr>
        <w:t>电  话 ：</w:t>
      </w:r>
    </w:p>
    <w:p w14:paraId="3CA4074E">
      <w:pPr>
        <w:pStyle w:val="16"/>
        <w:spacing w:before="1"/>
        <w:rPr>
          <w:rFonts w:hint="eastAsia" w:ascii="黑体" w:hAnsi="黑体" w:eastAsia="黑体" w:cs="黑体"/>
          <w:color w:val="auto"/>
          <w:sz w:val="31"/>
          <w:highlight w:val="none"/>
        </w:rPr>
      </w:pPr>
    </w:p>
    <w:p w14:paraId="30066730">
      <w:pPr>
        <w:pStyle w:val="16"/>
        <w:tabs>
          <w:tab w:val="left" w:pos="720"/>
          <w:tab w:val="left" w:pos="1440"/>
        </w:tabs>
        <w:spacing w:after="120" w:afterAutospacing="0" w:line="360" w:lineRule="auto"/>
        <w:ind w:right="1551"/>
        <w:jc w:val="righ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年</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月</w:t>
      </w:r>
      <w:r>
        <w:rPr>
          <w:rFonts w:hint="eastAsia" w:ascii="Times New Roman" w:hAnsi="Times New Roman" w:eastAsia="宋体" w:cs="Times New Roman"/>
          <w:color w:val="auto"/>
          <w:sz w:val="24"/>
          <w:highlight w:val="none"/>
        </w:rPr>
        <w:tab/>
      </w:r>
      <w:r>
        <w:rPr>
          <w:rFonts w:hint="eastAsia" w:ascii="Times New Roman" w:hAnsi="Times New Roman" w:eastAsia="宋体" w:cs="Times New Roman"/>
          <w:color w:val="auto"/>
          <w:sz w:val="24"/>
          <w:highlight w:val="none"/>
        </w:rPr>
        <w:t>日</w:t>
      </w:r>
    </w:p>
    <w:p w14:paraId="1FABA20D">
      <w:pPr>
        <w:spacing w:after="0"/>
        <w:jc w:val="right"/>
        <w:rPr>
          <w:rFonts w:hint="eastAsia" w:ascii="黑体" w:hAnsi="黑体" w:eastAsia="黑体" w:cs="黑体"/>
          <w:color w:val="auto"/>
          <w:highlight w:val="none"/>
        </w:rPr>
        <w:sectPr>
          <w:headerReference r:id="rId7" w:type="default"/>
          <w:footerReference r:id="rId8" w:type="default"/>
          <w:pgSz w:w="11920" w:h="16850"/>
          <w:pgMar w:top="1360" w:right="780" w:bottom="1440" w:left="980" w:header="856" w:footer="1250" w:gutter="0"/>
          <w:pgNumType w:fmt="decimal"/>
          <w:cols w:space="720" w:num="1"/>
        </w:sectPr>
      </w:pPr>
    </w:p>
    <w:p w14:paraId="38091603">
      <w:pPr>
        <w:pStyle w:val="89"/>
        <w:widowControl/>
        <w:outlineLvl w:val="0"/>
        <w:rPr>
          <w:highlight w:val="none"/>
        </w:rPr>
      </w:pPr>
      <w:bookmarkStart w:id="105" w:name="_Toc25357"/>
      <w:bookmarkStart w:id="106" w:name="_Toc7098_WPSOffice_Level1"/>
      <w:r>
        <w:rPr>
          <w:highlight w:val="none"/>
        </w:rPr>
        <w:t>附件1：</w:t>
      </w:r>
      <w:bookmarkEnd w:id="105"/>
      <w:bookmarkEnd w:id="106"/>
      <w:r>
        <w:rPr>
          <w:highlight w:val="none"/>
        </w:rPr>
        <w:t>《监狱企业证明函》（格式，若有）</w:t>
      </w:r>
    </w:p>
    <w:p w14:paraId="6E19A960">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39927E">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监狱企业参加政府采购活动时，应当提供由省级以上监狱管理局、戒毒管理局（含新疆生产建设兵团）出具的属于监狱企业的证明文件。</w:t>
      </w:r>
    </w:p>
    <w:p w14:paraId="22EB6A40">
      <w:pPr>
        <w:spacing w:line="360" w:lineRule="auto"/>
        <w:rPr>
          <w:rFonts w:hint="eastAsia" w:ascii="黑体" w:hAnsi="黑体" w:eastAsia="黑体" w:cs="黑体"/>
          <w:bCs/>
          <w:color w:val="auto"/>
          <w:szCs w:val="21"/>
          <w:highlight w:val="none"/>
        </w:rPr>
      </w:pPr>
    </w:p>
    <w:p w14:paraId="204A28F3">
      <w:pPr>
        <w:spacing w:line="360" w:lineRule="auto"/>
        <w:rPr>
          <w:rFonts w:hint="eastAsia" w:ascii="黑体" w:hAnsi="黑体" w:eastAsia="黑体" w:cs="黑体"/>
          <w:bCs/>
          <w:color w:val="auto"/>
          <w:szCs w:val="21"/>
          <w:highlight w:val="none"/>
        </w:rPr>
      </w:pPr>
    </w:p>
    <w:p w14:paraId="5CD71C64">
      <w:pPr>
        <w:spacing w:line="360" w:lineRule="auto"/>
        <w:rPr>
          <w:rFonts w:hint="eastAsia" w:ascii="黑体" w:hAnsi="黑体" w:eastAsia="黑体" w:cs="黑体"/>
          <w:bCs/>
          <w:color w:val="auto"/>
          <w:szCs w:val="21"/>
          <w:highlight w:val="none"/>
        </w:rPr>
      </w:pPr>
    </w:p>
    <w:p w14:paraId="5B7B276A">
      <w:pPr>
        <w:spacing w:line="360" w:lineRule="auto"/>
        <w:rPr>
          <w:rFonts w:hint="eastAsia" w:ascii="黑体" w:hAnsi="黑体" w:eastAsia="黑体" w:cs="黑体"/>
          <w:bCs/>
          <w:color w:val="auto"/>
          <w:szCs w:val="21"/>
          <w:highlight w:val="none"/>
        </w:rPr>
      </w:pPr>
    </w:p>
    <w:p w14:paraId="69A72B13">
      <w:pPr>
        <w:spacing w:line="360" w:lineRule="auto"/>
        <w:rPr>
          <w:rFonts w:hint="eastAsia" w:ascii="黑体" w:hAnsi="黑体" w:eastAsia="黑体" w:cs="黑体"/>
          <w:bCs/>
          <w:color w:val="auto"/>
          <w:szCs w:val="21"/>
          <w:highlight w:val="none"/>
        </w:rPr>
      </w:pPr>
    </w:p>
    <w:p w14:paraId="65A4711F">
      <w:pPr>
        <w:spacing w:line="360" w:lineRule="auto"/>
        <w:rPr>
          <w:rFonts w:hint="eastAsia" w:ascii="黑体" w:hAnsi="黑体" w:eastAsia="黑体" w:cs="黑体"/>
          <w:bCs/>
          <w:color w:val="auto"/>
          <w:szCs w:val="21"/>
          <w:highlight w:val="none"/>
        </w:rPr>
      </w:pPr>
    </w:p>
    <w:p w14:paraId="6870D5EA">
      <w:pPr>
        <w:spacing w:line="360" w:lineRule="auto"/>
        <w:rPr>
          <w:rFonts w:hint="eastAsia" w:ascii="黑体" w:hAnsi="黑体" w:eastAsia="黑体" w:cs="黑体"/>
          <w:bCs/>
          <w:color w:val="auto"/>
          <w:szCs w:val="21"/>
          <w:highlight w:val="none"/>
        </w:rPr>
      </w:pPr>
    </w:p>
    <w:p w14:paraId="0BEC6E7E">
      <w:pPr>
        <w:spacing w:line="360" w:lineRule="auto"/>
        <w:rPr>
          <w:rFonts w:hint="eastAsia" w:ascii="黑体" w:hAnsi="黑体" w:eastAsia="黑体" w:cs="黑体"/>
          <w:bCs/>
          <w:color w:val="auto"/>
          <w:szCs w:val="21"/>
          <w:highlight w:val="none"/>
        </w:rPr>
      </w:pPr>
    </w:p>
    <w:p w14:paraId="2A1281DD">
      <w:pPr>
        <w:spacing w:line="360" w:lineRule="auto"/>
        <w:rPr>
          <w:rFonts w:hint="eastAsia" w:ascii="黑体" w:hAnsi="黑体" w:eastAsia="黑体" w:cs="黑体"/>
          <w:bCs/>
          <w:color w:val="auto"/>
          <w:szCs w:val="21"/>
          <w:highlight w:val="none"/>
        </w:rPr>
      </w:pPr>
    </w:p>
    <w:p w14:paraId="0FBEBFD5">
      <w:pPr>
        <w:spacing w:line="360" w:lineRule="auto"/>
        <w:rPr>
          <w:rFonts w:hint="eastAsia" w:ascii="黑体" w:hAnsi="黑体" w:eastAsia="黑体" w:cs="黑体"/>
          <w:bCs/>
          <w:color w:val="auto"/>
          <w:szCs w:val="21"/>
          <w:highlight w:val="none"/>
        </w:rPr>
      </w:pPr>
    </w:p>
    <w:p w14:paraId="04F1A6B2">
      <w:pPr>
        <w:spacing w:line="360" w:lineRule="auto"/>
        <w:rPr>
          <w:rFonts w:hint="eastAsia" w:ascii="黑体" w:hAnsi="黑体" w:eastAsia="黑体" w:cs="黑体"/>
          <w:bCs/>
          <w:color w:val="auto"/>
          <w:szCs w:val="21"/>
          <w:highlight w:val="none"/>
        </w:rPr>
      </w:pPr>
    </w:p>
    <w:p w14:paraId="36D2D9EF">
      <w:pPr>
        <w:spacing w:line="360" w:lineRule="auto"/>
        <w:rPr>
          <w:rFonts w:hint="eastAsia" w:ascii="黑体" w:hAnsi="黑体" w:eastAsia="黑体" w:cs="黑体"/>
          <w:bCs/>
          <w:color w:val="auto"/>
          <w:szCs w:val="21"/>
          <w:highlight w:val="none"/>
        </w:rPr>
      </w:pPr>
    </w:p>
    <w:p w14:paraId="46807262">
      <w:pPr>
        <w:spacing w:line="360" w:lineRule="auto"/>
        <w:rPr>
          <w:rFonts w:hint="eastAsia" w:ascii="黑体" w:hAnsi="黑体" w:eastAsia="黑体" w:cs="黑体"/>
          <w:bCs/>
          <w:color w:val="auto"/>
          <w:szCs w:val="21"/>
          <w:highlight w:val="none"/>
        </w:rPr>
      </w:pPr>
    </w:p>
    <w:p w14:paraId="491A9FC7">
      <w:pPr>
        <w:spacing w:line="360" w:lineRule="auto"/>
        <w:rPr>
          <w:rFonts w:hint="eastAsia" w:ascii="黑体" w:hAnsi="黑体" w:eastAsia="黑体" w:cs="黑体"/>
          <w:bCs/>
          <w:color w:val="auto"/>
          <w:szCs w:val="21"/>
          <w:highlight w:val="none"/>
        </w:rPr>
      </w:pPr>
    </w:p>
    <w:p w14:paraId="12232F52">
      <w:pPr>
        <w:spacing w:line="360" w:lineRule="auto"/>
        <w:rPr>
          <w:rFonts w:hint="eastAsia" w:ascii="黑体" w:hAnsi="黑体" w:eastAsia="黑体" w:cs="黑体"/>
          <w:bCs/>
          <w:color w:val="auto"/>
          <w:szCs w:val="21"/>
          <w:highlight w:val="none"/>
        </w:rPr>
      </w:pPr>
    </w:p>
    <w:p w14:paraId="5514DFCF">
      <w:pPr>
        <w:spacing w:line="360" w:lineRule="auto"/>
        <w:rPr>
          <w:rFonts w:hint="eastAsia" w:ascii="黑体" w:hAnsi="黑体" w:eastAsia="黑体" w:cs="黑体"/>
          <w:bCs/>
          <w:color w:val="auto"/>
          <w:szCs w:val="21"/>
          <w:highlight w:val="none"/>
        </w:rPr>
      </w:pPr>
    </w:p>
    <w:p w14:paraId="03487900">
      <w:pPr>
        <w:spacing w:line="360" w:lineRule="auto"/>
        <w:rPr>
          <w:rFonts w:hint="eastAsia" w:ascii="黑体" w:hAnsi="黑体" w:eastAsia="黑体" w:cs="黑体"/>
          <w:bCs/>
          <w:color w:val="auto"/>
          <w:szCs w:val="21"/>
          <w:highlight w:val="none"/>
        </w:rPr>
      </w:pPr>
    </w:p>
    <w:p w14:paraId="4FFE97AC">
      <w:pPr>
        <w:rPr>
          <w:highlight w:val="none"/>
        </w:rPr>
      </w:pPr>
      <w:bookmarkStart w:id="107" w:name="_Toc31222_WPSOffice_Level1"/>
      <w:r>
        <w:rPr>
          <w:highlight w:val="none"/>
        </w:rPr>
        <w:br w:type="page"/>
      </w:r>
    </w:p>
    <w:p w14:paraId="10B97A60">
      <w:pPr>
        <w:pStyle w:val="89"/>
        <w:widowControl/>
        <w:outlineLvl w:val="0"/>
        <w:rPr>
          <w:highlight w:val="none"/>
        </w:rPr>
      </w:pPr>
      <w:r>
        <w:rPr>
          <w:highlight w:val="none"/>
        </w:rPr>
        <w:t>附件2：残疾人福利性单位声明函（如有）</w:t>
      </w:r>
      <w:bookmarkEnd w:id="107"/>
    </w:p>
    <w:p w14:paraId="271F5442">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A469F5">
      <w:pPr>
        <w:pStyle w:val="16"/>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本单位对上述声明的真实性负责。如有虚假，将依法承担相应责任。</w:t>
      </w:r>
    </w:p>
    <w:p w14:paraId="5F2A3B64">
      <w:pPr>
        <w:spacing w:line="360" w:lineRule="auto"/>
        <w:ind w:firstLine="504" w:firstLineChars="200"/>
        <w:rPr>
          <w:rFonts w:hint="eastAsia" w:ascii="黑体" w:hAnsi="黑体" w:eastAsia="黑体" w:cs="黑体"/>
          <w:color w:val="auto"/>
          <w:spacing w:val="6"/>
          <w:szCs w:val="21"/>
          <w:highlight w:val="none"/>
        </w:rPr>
      </w:pPr>
    </w:p>
    <w:p w14:paraId="070D510E">
      <w:pPr>
        <w:tabs>
          <w:tab w:val="left" w:pos="4860"/>
        </w:tabs>
        <w:spacing w:after="120" w:afterAutospacing="0" w:line="360" w:lineRule="auto"/>
        <w:ind w:right="1560" w:firstLine="504" w:firstLineChars="200"/>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pacing w:val="6"/>
          <w:sz w:val="24"/>
          <w:szCs w:val="21"/>
          <w:highlight w:val="none"/>
        </w:rPr>
        <w:t xml:space="preserve">             </w:t>
      </w:r>
      <w:r>
        <w:rPr>
          <w:rFonts w:hint="eastAsia" w:ascii="Times New Roman" w:hAnsi="Times New Roman" w:eastAsia="宋体" w:cs="Times New Roman"/>
          <w:color w:val="auto"/>
          <w:sz w:val="24"/>
          <w:szCs w:val="24"/>
          <w:highlight w:val="none"/>
        </w:rPr>
        <w:t xml:space="preserve">        单位名称（盖章）：</w:t>
      </w:r>
    </w:p>
    <w:p w14:paraId="6DE125E5">
      <w:pPr>
        <w:tabs>
          <w:tab w:val="left" w:pos="4860"/>
        </w:tabs>
        <w:spacing w:after="120" w:afterAutospacing="0" w:line="360" w:lineRule="auto"/>
        <w:ind w:right="1560" w:firstLine="480" w:firstLineChars="200"/>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日          期：</w:t>
      </w:r>
    </w:p>
    <w:bookmarkEnd w:id="81"/>
    <w:p w14:paraId="43821714">
      <w:pPr>
        <w:spacing w:line="480" w:lineRule="auto"/>
        <w:rPr>
          <w:rFonts w:hint="eastAsia" w:ascii="黑体" w:hAnsi="黑体" w:eastAsia="黑体" w:cs="黑体"/>
          <w:color w:val="auto"/>
          <w:highlight w:val="none"/>
        </w:rPr>
      </w:pPr>
    </w:p>
    <w:sectPr>
      <w:headerReference r:id="rId10" w:type="first"/>
      <w:footerReference r:id="rId12" w:type="first"/>
      <w:headerReference r:id="rId9" w:type="default"/>
      <w:footerReference r:id="rId11" w:type="default"/>
      <w:type w:val="continuous"/>
      <w:pgSz w:w="11907" w:h="16840"/>
      <w:pgMar w:top="1417" w:right="1287" w:bottom="1712" w:left="1054" w:header="936" w:footer="771" w:gutter="567"/>
      <w:pgBorders>
        <w:top w:val="none" w:sz="0" w:space="0"/>
        <w:left w:val="none" w:sz="0" w:space="0"/>
        <w:bottom w:val="none" w:sz="0" w:space="0"/>
        <w:right w:val="none" w:sz="0" w:space="0"/>
      </w:pgBorders>
      <w:pgNumType w:fmt="decimal"/>
      <w:cols w:space="0" w:num="1"/>
      <w:titlePg/>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F71CB">
    <w:pPr>
      <w:pStyle w:val="20"/>
      <w:framePr w:wrap="around" w:vAnchor="text" w:hAnchor="margin" w:xAlign="right" w:y="1"/>
      <w:rPr>
        <w:rStyle w:val="36"/>
        <w:rFonts w:ascii="Times New Roman" w:hAnsi="Times New Roman"/>
      </w:rPr>
    </w:pPr>
    <w:r>
      <w:rPr>
        <w:rStyle w:val="36"/>
        <w:rFonts w:ascii="Times New Roman" w:hAnsi="Times New Roman"/>
      </w:rPr>
      <w:t>.</w:t>
    </w:r>
  </w:p>
  <w:p w14:paraId="70B352CE">
    <w:pPr>
      <w:pStyle w:val="20"/>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2164D">
    <w:pPr>
      <w:pStyle w:val="20"/>
      <w:framePr w:wrap="around" w:vAnchor="text" w:hAnchor="margin" w:xAlign="center" w:y="1"/>
      <w:rPr>
        <w:rStyle w:val="36"/>
      </w:rPr>
    </w:pPr>
    <w:r>
      <w:fldChar w:fldCharType="begin"/>
    </w:r>
    <w:r>
      <w:rPr>
        <w:rStyle w:val="36"/>
      </w:rPr>
      <w:instrText xml:space="preserve">PAGE  </w:instrText>
    </w:r>
    <w:r>
      <w:fldChar w:fldCharType="separate"/>
    </w:r>
    <w:r>
      <w:fldChar w:fldCharType="end"/>
    </w:r>
  </w:p>
  <w:p w14:paraId="17BDA181">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FDF32">
    <w:pPr>
      <w:spacing w:line="196" w:lineRule="auto"/>
      <w:ind w:left="4675"/>
      <w:rPr>
        <w:rFonts w:hint="eastAsia" w:ascii="Times New Roman" w:hAnsi="Times New Roman" w:eastAsia="宋体" w:cs="Times New Roman"/>
        <w:sz w:val="17"/>
        <w:szCs w:val="17"/>
        <w:lang w:val="en-US" w:eastAsia="zh-CN"/>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B40CCE">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CB40CCE">
                    <w:pPr>
                      <w:pStyle w:val="2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Times New Roman" w:hAnsi="Times New Roman" w:eastAsia="宋体" w:cs="Times New Roman"/>
        <w:spacing w:val="4"/>
        <w:sz w:val="17"/>
        <w:szCs w:val="17"/>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C9B65">
    <w:pPr>
      <w:spacing w:line="196" w:lineRule="auto"/>
      <w:ind w:left="4552"/>
      <w:rPr>
        <w:rFonts w:hint="eastAsia" w:ascii="Times New Roman" w:hAnsi="Times New Roman" w:eastAsia="宋体" w:cs="Times New Roman"/>
        <w:sz w:val="17"/>
        <w:szCs w:val="17"/>
        <w:lang w:val="en-US" w:eastAsia="zh-CN"/>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659992">
                          <w:pPr>
                            <w:pStyle w:val="2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659992">
                    <w:pPr>
                      <w:pStyle w:val="20"/>
                    </w:pPr>
                    <w:r>
                      <w:fldChar w:fldCharType="begin"/>
                    </w:r>
                    <w:r>
                      <w:instrText xml:space="preserve"> PAGE  \* MERGEFORMAT </w:instrText>
                    </w:r>
                    <w:r>
                      <w:fldChar w:fldCharType="separate"/>
                    </w:r>
                    <w:r>
                      <w:t>45</w:t>
                    </w:r>
                    <w:r>
                      <w:fldChar w:fldCharType="end"/>
                    </w:r>
                  </w:p>
                </w:txbxContent>
              </v:textbox>
            </v:shape>
          </w:pict>
        </mc:Fallback>
      </mc:AlternateContent>
    </w:r>
    <w:r>
      <w:rPr>
        <w:rFonts w:hint="eastAsia" w:ascii="Times New Roman" w:hAnsi="Times New Roman" w:eastAsia="宋体" w:cs="Times New Roman"/>
        <w:spacing w:val="2"/>
        <w:sz w:val="17"/>
        <w:szCs w:val="17"/>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56056">
    <w:pPr>
      <w:pStyle w:val="20"/>
      <w:jc w:val="center"/>
      <w:rPr>
        <w:rFonts w:ascii="宋体" w:hAnsi="宋体"/>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E70461">
                          <w:pPr>
                            <w:pStyle w:val="2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E70461">
                    <w:pPr>
                      <w:pStyle w:val="2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A48ED">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261C19">
                          <w:pPr>
                            <w:pStyle w:val="2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C261C19">
                    <w:pPr>
                      <w:pStyle w:val="2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36211">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235E1">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6DAE">
    <w:pPr>
      <w:pStyle w:val="16"/>
      <w:bidi w:val="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5D146">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A4C40"/>
    <w:multiLevelType w:val="singleLevel"/>
    <w:tmpl w:val="812A4C40"/>
    <w:lvl w:ilvl="0" w:tentative="0">
      <w:start w:val="1"/>
      <w:numFmt w:val="decimal"/>
      <w:lvlText w:val="3.7.%1"/>
      <w:lvlJc w:val="left"/>
      <w:pPr>
        <w:tabs>
          <w:tab w:val="left" w:pos="210"/>
        </w:tabs>
        <w:ind w:left="0" w:firstLine="480"/>
      </w:pPr>
      <w:rPr>
        <w:rFonts w:hint="default"/>
      </w:rPr>
    </w:lvl>
  </w:abstractNum>
  <w:abstractNum w:abstractNumId="1">
    <w:nsid w:val="84324B11"/>
    <w:multiLevelType w:val="singleLevel"/>
    <w:tmpl w:val="84324B11"/>
    <w:lvl w:ilvl="0" w:tentative="0">
      <w:start w:val="1"/>
      <w:numFmt w:val="decimal"/>
      <w:lvlText w:val="7.%1"/>
      <w:lvlJc w:val="left"/>
      <w:pPr>
        <w:tabs>
          <w:tab w:val="left" w:pos="210"/>
        </w:tabs>
        <w:ind w:left="0" w:firstLine="480"/>
      </w:pPr>
      <w:rPr>
        <w:rFonts w:hint="default"/>
      </w:rPr>
    </w:lvl>
  </w:abstractNum>
  <w:abstractNum w:abstractNumId="2">
    <w:nsid w:val="8C862D07"/>
    <w:multiLevelType w:val="singleLevel"/>
    <w:tmpl w:val="8C862D07"/>
    <w:lvl w:ilvl="0" w:tentative="0">
      <w:start w:val="1"/>
      <w:numFmt w:val="decimal"/>
      <w:lvlText w:val="19.2.%1"/>
      <w:lvlJc w:val="left"/>
      <w:pPr>
        <w:tabs>
          <w:tab w:val="left" w:pos="210"/>
        </w:tabs>
        <w:ind w:left="0" w:firstLine="480"/>
      </w:pPr>
      <w:rPr>
        <w:rFonts w:hint="default"/>
      </w:rPr>
    </w:lvl>
  </w:abstractNum>
  <w:abstractNum w:abstractNumId="3">
    <w:nsid w:val="8F59872A"/>
    <w:multiLevelType w:val="singleLevel"/>
    <w:tmpl w:val="8F59872A"/>
    <w:lvl w:ilvl="0" w:tentative="0">
      <w:start w:val="4"/>
      <w:numFmt w:val="chineseCounting"/>
      <w:lvlText w:val="第%1章"/>
      <w:lvlJc w:val="left"/>
      <w:pPr>
        <w:tabs>
          <w:tab w:val="left" w:pos="210"/>
        </w:tabs>
        <w:ind w:left="0" w:firstLine="0"/>
      </w:pPr>
      <w:rPr>
        <w:rFonts w:hint="eastAsia"/>
      </w:rPr>
    </w:lvl>
  </w:abstractNum>
  <w:abstractNum w:abstractNumId="4">
    <w:nsid w:val="904A1CD0"/>
    <w:multiLevelType w:val="singleLevel"/>
    <w:tmpl w:val="904A1CD0"/>
    <w:lvl w:ilvl="0" w:tentative="0">
      <w:start w:val="1"/>
      <w:numFmt w:val="decimal"/>
      <w:lvlText w:val="3.%1"/>
      <w:lvlJc w:val="left"/>
      <w:pPr>
        <w:tabs>
          <w:tab w:val="left" w:pos="210"/>
        </w:tabs>
        <w:ind w:left="0" w:firstLine="480"/>
      </w:pPr>
      <w:rPr>
        <w:rFonts w:hint="default"/>
      </w:rPr>
    </w:lvl>
  </w:abstractNum>
  <w:abstractNum w:abstractNumId="5">
    <w:nsid w:val="92183655"/>
    <w:multiLevelType w:val="singleLevel"/>
    <w:tmpl w:val="92183655"/>
    <w:lvl w:ilvl="0" w:tentative="0">
      <w:start w:val="1"/>
      <w:numFmt w:val="decimal"/>
      <w:lvlText w:val="8.%1"/>
      <w:lvlJc w:val="left"/>
      <w:pPr>
        <w:tabs>
          <w:tab w:val="left" w:pos="210"/>
        </w:tabs>
        <w:ind w:left="0" w:firstLine="480"/>
      </w:pPr>
      <w:rPr>
        <w:rFonts w:hint="default"/>
      </w:rPr>
    </w:lvl>
  </w:abstractNum>
  <w:abstractNum w:abstractNumId="6">
    <w:nsid w:val="936878E4"/>
    <w:multiLevelType w:val="singleLevel"/>
    <w:tmpl w:val="936878E4"/>
    <w:lvl w:ilvl="0" w:tentative="0">
      <w:start w:val="1"/>
      <w:numFmt w:val="decimal"/>
      <w:lvlText w:val="12.%1"/>
      <w:lvlJc w:val="left"/>
      <w:pPr>
        <w:tabs>
          <w:tab w:val="left" w:pos="210"/>
        </w:tabs>
        <w:ind w:left="0" w:firstLine="480"/>
      </w:pPr>
      <w:rPr>
        <w:rFonts w:hint="default"/>
      </w:rPr>
    </w:lvl>
  </w:abstractNum>
  <w:abstractNum w:abstractNumId="7">
    <w:nsid w:val="98B407A7"/>
    <w:multiLevelType w:val="singleLevel"/>
    <w:tmpl w:val="98B407A7"/>
    <w:lvl w:ilvl="0" w:tentative="0">
      <w:start w:val="6"/>
      <w:numFmt w:val="decimal"/>
      <w:suff w:val="nothing"/>
      <w:lvlText w:val="%1、"/>
      <w:lvlJc w:val="left"/>
      <w:pPr>
        <w:ind w:left="0" w:firstLine="0"/>
      </w:pPr>
      <w:rPr>
        <w:rFonts w:hint="default"/>
      </w:rPr>
    </w:lvl>
  </w:abstractNum>
  <w:abstractNum w:abstractNumId="8">
    <w:nsid w:val="9CD04DA2"/>
    <w:multiLevelType w:val="singleLevel"/>
    <w:tmpl w:val="9CD04DA2"/>
    <w:lvl w:ilvl="0" w:tentative="0">
      <w:start w:val="1"/>
      <w:numFmt w:val="decimal"/>
      <w:lvlText w:val="16.%1"/>
      <w:lvlJc w:val="left"/>
      <w:pPr>
        <w:tabs>
          <w:tab w:val="left" w:pos="210"/>
        </w:tabs>
        <w:ind w:left="0" w:firstLine="480"/>
      </w:pPr>
      <w:rPr>
        <w:rFonts w:hint="default"/>
      </w:rPr>
    </w:lvl>
  </w:abstractNum>
  <w:abstractNum w:abstractNumId="9">
    <w:nsid w:val="AF93BA63"/>
    <w:multiLevelType w:val="singleLevel"/>
    <w:tmpl w:val="AF93BA63"/>
    <w:lvl w:ilvl="0" w:tentative="0">
      <w:start w:val="1"/>
      <w:numFmt w:val="decimal"/>
      <w:suff w:val="nothing"/>
      <w:lvlText w:val="%1、"/>
      <w:lvlJc w:val="left"/>
      <w:pPr>
        <w:ind w:left="0" w:firstLine="480"/>
      </w:pPr>
      <w:rPr>
        <w:rFonts w:hint="default"/>
      </w:rPr>
    </w:lvl>
  </w:abstractNum>
  <w:abstractNum w:abstractNumId="10">
    <w:nsid w:val="B2144954"/>
    <w:multiLevelType w:val="singleLevel"/>
    <w:tmpl w:val="B2144954"/>
    <w:lvl w:ilvl="0" w:tentative="0">
      <w:start w:val="1"/>
      <w:numFmt w:val="decimal"/>
      <w:suff w:val="nothing"/>
      <w:lvlText w:val="%1、"/>
      <w:lvlJc w:val="left"/>
      <w:pPr>
        <w:ind w:left="0" w:firstLine="480"/>
      </w:pPr>
      <w:rPr>
        <w:rFonts w:hint="default"/>
      </w:rPr>
    </w:lvl>
  </w:abstractNum>
  <w:abstractNum w:abstractNumId="11">
    <w:nsid w:val="B6820799"/>
    <w:multiLevelType w:val="singleLevel"/>
    <w:tmpl w:val="B6820799"/>
    <w:lvl w:ilvl="0" w:tentative="0">
      <w:start w:val="14"/>
      <w:numFmt w:val="decimal"/>
      <w:suff w:val="nothing"/>
      <w:lvlText w:val="%1、"/>
      <w:lvlJc w:val="left"/>
      <w:pPr>
        <w:ind w:left="0" w:firstLine="0"/>
      </w:pPr>
      <w:rPr>
        <w:rFonts w:hint="default"/>
      </w:rPr>
    </w:lvl>
  </w:abstractNum>
  <w:abstractNum w:abstractNumId="12">
    <w:nsid w:val="B799044E"/>
    <w:multiLevelType w:val="singleLevel"/>
    <w:tmpl w:val="B799044E"/>
    <w:lvl w:ilvl="0" w:tentative="0">
      <w:start w:val="1"/>
      <w:numFmt w:val="decimal"/>
      <w:lvlText w:val="4.%1"/>
      <w:lvlJc w:val="left"/>
      <w:pPr>
        <w:tabs>
          <w:tab w:val="left" w:pos="210"/>
        </w:tabs>
        <w:ind w:left="0" w:firstLine="0"/>
      </w:pPr>
      <w:rPr>
        <w:rFonts w:hint="default"/>
      </w:rPr>
    </w:lvl>
  </w:abstractNum>
  <w:abstractNum w:abstractNumId="13">
    <w:nsid w:val="B87A8EAA"/>
    <w:multiLevelType w:val="singleLevel"/>
    <w:tmpl w:val="B87A8EAA"/>
    <w:lvl w:ilvl="0" w:tentative="0">
      <w:start w:val="1"/>
      <w:numFmt w:val="decimal"/>
      <w:suff w:val="nothing"/>
      <w:lvlText w:val="（%1）"/>
      <w:lvlJc w:val="left"/>
      <w:pPr>
        <w:ind w:left="0" w:firstLine="480"/>
      </w:pPr>
      <w:rPr>
        <w:rFonts w:hint="default"/>
      </w:rPr>
    </w:lvl>
  </w:abstractNum>
  <w:abstractNum w:abstractNumId="14">
    <w:nsid w:val="BABCA84D"/>
    <w:multiLevelType w:val="singleLevel"/>
    <w:tmpl w:val="BABCA84D"/>
    <w:lvl w:ilvl="0" w:tentative="0">
      <w:start w:val="1"/>
      <w:numFmt w:val="decimal"/>
      <w:lvlText w:val="17.%1"/>
      <w:lvlJc w:val="left"/>
      <w:pPr>
        <w:tabs>
          <w:tab w:val="left" w:pos="210"/>
        </w:tabs>
        <w:ind w:left="0" w:firstLine="480"/>
      </w:pPr>
      <w:rPr>
        <w:rFonts w:hint="default"/>
      </w:rPr>
    </w:lvl>
  </w:abstractNum>
  <w:abstractNum w:abstractNumId="15">
    <w:nsid w:val="BE32E2F5"/>
    <w:multiLevelType w:val="singleLevel"/>
    <w:tmpl w:val="BE32E2F5"/>
    <w:lvl w:ilvl="0" w:tentative="0">
      <w:start w:val="1"/>
      <w:numFmt w:val="chineseCounting"/>
      <w:suff w:val="nothing"/>
      <w:lvlText w:val="（%1）"/>
      <w:lvlJc w:val="left"/>
      <w:pPr>
        <w:ind w:left="0" w:firstLine="0"/>
      </w:pPr>
      <w:rPr>
        <w:rFonts w:hint="eastAsia"/>
      </w:rPr>
    </w:lvl>
  </w:abstractNum>
  <w:abstractNum w:abstractNumId="16">
    <w:nsid w:val="C04EA86D"/>
    <w:multiLevelType w:val="singleLevel"/>
    <w:tmpl w:val="C04EA86D"/>
    <w:lvl w:ilvl="0" w:tentative="0">
      <w:start w:val="1"/>
      <w:numFmt w:val="decimal"/>
      <w:lvlText w:val="20.%1"/>
      <w:lvlJc w:val="left"/>
      <w:pPr>
        <w:tabs>
          <w:tab w:val="left" w:pos="210"/>
        </w:tabs>
        <w:ind w:left="0" w:firstLine="480"/>
      </w:pPr>
      <w:rPr>
        <w:rFonts w:hint="default"/>
      </w:rPr>
    </w:lvl>
  </w:abstractNum>
  <w:abstractNum w:abstractNumId="17">
    <w:nsid w:val="C6B8AB68"/>
    <w:multiLevelType w:val="singleLevel"/>
    <w:tmpl w:val="C6B8AB68"/>
    <w:lvl w:ilvl="0" w:tentative="0">
      <w:start w:val="1"/>
      <w:numFmt w:val="decimal"/>
      <w:suff w:val="nothing"/>
      <w:lvlText w:val="2-%1、"/>
      <w:lvlJc w:val="left"/>
      <w:pPr>
        <w:ind w:left="0" w:firstLine="480"/>
      </w:pPr>
      <w:rPr>
        <w:rFonts w:hint="default"/>
      </w:rPr>
    </w:lvl>
  </w:abstractNum>
  <w:abstractNum w:abstractNumId="18">
    <w:nsid w:val="CB2B2821"/>
    <w:multiLevelType w:val="singleLevel"/>
    <w:tmpl w:val="CB2B2821"/>
    <w:lvl w:ilvl="0" w:tentative="0">
      <w:start w:val="9"/>
      <w:numFmt w:val="decimal"/>
      <w:suff w:val="nothing"/>
      <w:lvlText w:val="%1、"/>
      <w:lvlJc w:val="left"/>
      <w:pPr>
        <w:ind w:left="0" w:firstLine="0"/>
      </w:pPr>
      <w:rPr>
        <w:rFonts w:hint="default"/>
      </w:rPr>
    </w:lvl>
  </w:abstractNum>
  <w:abstractNum w:abstractNumId="19">
    <w:nsid w:val="CD6942F2"/>
    <w:multiLevelType w:val="singleLevel"/>
    <w:tmpl w:val="CD6942F2"/>
    <w:lvl w:ilvl="0" w:tentative="0">
      <w:start w:val="1"/>
      <w:numFmt w:val="decimal"/>
      <w:lvlText w:val="4.1.%1"/>
      <w:lvlJc w:val="left"/>
      <w:pPr>
        <w:tabs>
          <w:tab w:val="left" w:pos="210"/>
        </w:tabs>
        <w:ind w:left="0" w:firstLine="480"/>
      </w:pPr>
      <w:rPr>
        <w:rFonts w:hint="default"/>
      </w:rPr>
    </w:lvl>
  </w:abstractNum>
  <w:abstractNum w:abstractNumId="20">
    <w:nsid w:val="D064604A"/>
    <w:multiLevelType w:val="singleLevel"/>
    <w:tmpl w:val="D064604A"/>
    <w:lvl w:ilvl="0" w:tentative="0">
      <w:start w:val="1"/>
      <w:numFmt w:val="decimal"/>
      <w:suff w:val="nothing"/>
      <w:lvlText w:val="%1、"/>
      <w:lvlJc w:val="left"/>
      <w:pPr>
        <w:ind w:left="0" w:firstLine="0"/>
      </w:pPr>
      <w:rPr>
        <w:rFonts w:hint="default"/>
      </w:rPr>
    </w:lvl>
  </w:abstractNum>
  <w:abstractNum w:abstractNumId="21">
    <w:nsid w:val="D0C574DF"/>
    <w:multiLevelType w:val="singleLevel"/>
    <w:tmpl w:val="D0C574DF"/>
    <w:lvl w:ilvl="0" w:tentative="0">
      <w:start w:val="1"/>
      <w:numFmt w:val="decimal"/>
      <w:lvlText w:val="19.%1"/>
      <w:lvlJc w:val="left"/>
      <w:pPr>
        <w:tabs>
          <w:tab w:val="left" w:pos="210"/>
        </w:tabs>
        <w:ind w:left="0" w:firstLine="480"/>
      </w:pPr>
      <w:rPr>
        <w:rFonts w:hint="default"/>
      </w:rPr>
    </w:lvl>
  </w:abstractNum>
  <w:abstractNum w:abstractNumId="22">
    <w:nsid w:val="D23231CB"/>
    <w:multiLevelType w:val="singleLevel"/>
    <w:tmpl w:val="D23231CB"/>
    <w:lvl w:ilvl="0" w:tentative="0">
      <w:start w:val="1"/>
      <w:numFmt w:val="decimal"/>
      <w:suff w:val="nothing"/>
      <w:lvlText w:val="（%1）"/>
      <w:lvlJc w:val="left"/>
      <w:pPr>
        <w:ind w:left="0" w:firstLine="480"/>
      </w:pPr>
      <w:rPr>
        <w:rFonts w:hint="default"/>
      </w:rPr>
    </w:lvl>
  </w:abstractNum>
  <w:abstractNum w:abstractNumId="23">
    <w:nsid w:val="D4766AE0"/>
    <w:multiLevelType w:val="singleLevel"/>
    <w:tmpl w:val="D4766AE0"/>
    <w:lvl w:ilvl="0" w:tentative="0">
      <w:start w:val="1"/>
      <w:numFmt w:val="chineseCounting"/>
      <w:suff w:val="nothing"/>
      <w:lvlText w:val="%1、"/>
      <w:lvlJc w:val="left"/>
      <w:pPr>
        <w:ind w:left="0" w:firstLine="0"/>
      </w:pPr>
      <w:rPr>
        <w:rFonts w:hint="eastAsia"/>
      </w:rPr>
    </w:lvl>
  </w:abstractNum>
  <w:abstractNum w:abstractNumId="24">
    <w:nsid w:val="D4ACD382"/>
    <w:multiLevelType w:val="singleLevel"/>
    <w:tmpl w:val="D4ACD382"/>
    <w:lvl w:ilvl="0" w:tentative="0">
      <w:start w:val="1"/>
      <w:numFmt w:val="decimal"/>
      <w:lvlText w:val="%1."/>
      <w:lvlJc w:val="left"/>
      <w:pPr>
        <w:tabs>
          <w:tab w:val="left" w:pos="210"/>
        </w:tabs>
        <w:ind w:left="0" w:firstLine="480"/>
      </w:pPr>
      <w:rPr>
        <w:rFonts w:hint="default"/>
      </w:rPr>
    </w:lvl>
  </w:abstractNum>
  <w:abstractNum w:abstractNumId="25">
    <w:nsid w:val="D652DA50"/>
    <w:multiLevelType w:val="singleLevel"/>
    <w:tmpl w:val="D652DA50"/>
    <w:lvl w:ilvl="0" w:tentative="0">
      <w:start w:val="1"/>
      <w:numFmt w:val="decimal"/>
      <w:lvlText w:val="14.%1"/>
      <w:lvlJc w:val="left"/>
      <w:pPr>
        <w:tabs>
          <w:tab w:val="left" w:pos="210"/>
        </w:tabs>
        <w:ind w:left="0" w:firstLine="480"/>
      </w:pPr>
      <w:rPr>
        <w:rFonts w:hint="default"/>
      </w:rPr>
    </w:lvl>
  </w:abstractNum>
  <w:abstractNum w:abstractNumId="26">
    <w:nsid w:val="DE5104B7"/>
    <w:multiLevelType w:val="singleLevel"/>
    <w:tmpl w:val="DE5104B7"/>
    <w:lvl w:ilvl="0" w:tentative="0">
      <w:start w:val="1"/>
      <w:numFmt w:val="decimal"/>
      <w:suff w:val="nothing"/>
      <w:lvlText w:val="（%1）"/>
      <w:lvlJc w:val="left"/>
      <w:pPr>
        <w:ind w:left="0" w:firstLine="480"/>
      </w:pPr>
      <w:rPr>
        <w:rFonts w:hint="default"/>
      </w:rPr>
    </w:lvl>
  </w:abstractNum>
  <w:abstractNum w:abstractNumId="27">
    <w:nsid w:val="E2A76966"/>
    <w:multiLevelType w:val="singleLevel"/>
    <w:tmpl w:val="E2A76966"/>
    <w:lvl w:ilvl="0" w:tentative="0">
      <w:start w:val="1"/>
      <w:numFmt w:val="lowerLetter"/>
      <w:suff w:val="nothing"/>
      <w:lvlText w:val="%1、"/>
      <w:lvlJc w:val="left"/>
      <w:pPr>
        <w:ind w:left="0" w:firstLine="480"/>
      </w:pPr>
      <w:rPr>
        <w:rFonts w:hint="default"/>
      </w:rPr>
    </w:lvl>
  </w:abstractNum>
  <w:abstractNum w:abstractNumId="28">
    <w:nsid w:val="E373972E"/>
    <w:multiLevelType w:val="singleLevel"/>
    <w:tmpl w:val="E373972E"/>
    <w:lvl w:ilvl="0" w:tentative="0">
      <w:start w:val="1"/>
      <w:numFmt w:val="decimal"/>
      <w:suff w:val="nothing"/>
      <w:lvlText w:val="（%1）"/>
      <w:lvlJc w:val="left"/>
      <w:pPr>
        <w:ind w:left="0" w:firstLine="480"/>
      </w:pPr>
      <w:rPr>
        <w:rFonts w:hint="default"/>
      </w:rPr>
    </w:lvl>
  </w:abstractNum>
  <w:abstractNum w:abstractNumId="29">
    <w:nsid w:val="E5D664BE"/>
    <w:multiLevelType w:val="singleLevel"/>
    <w:tmpl w:val="E5D664BE"/>
    <w:lvl w:ilvl="0" w:tentative="0">
      <w:start w:val="1"/>
      <w:numFmt w:val="decimal"/>
      <w:suff w:val="nothing"/>
      <w:lvlText w:val="%1、"/>
      <w:lvlJc w:val="left"/>
      <w:pPr>
        <w:ind w:left="0" w:firstLine="480"/>
      </w:pPr>
      <w:rPr>
        <w:rFonts w:hint="default"/>
      </w:rPr>
    </w:lvl>
  </w:abstractNum>
  <w:abstractNum w:abstractNumId="30">
    <w:nsid w:val="EE9855A5"/>
    <w:multiLevelType w:val="singleLevel"/>
    <w:tmpl w:val="EE9855A5"/>
    <w:lvl w:ilvl="0" w:tentative="0">
      <w:start w:val="1"/>
      <w:numFmt w:val="decimal"/>
      <w:suff w:val="nothing"/>
      <w:lvlText w:val="4-%1、"/>
      <w:lvlJc w:val="left"/>
      <w:pPr>
        <w:ind w:left="0" w:firstLine="480"/>
      </w:pPr>
      <w:rPr>
        <w:rFonts w:hint="default"/>
      </w:rPr>
    </w:lvl>
  </w:abstractNum>
  <w:abstractNum w:abstractNumId="31">
    <w:nsid w:val="EF09228D"/>
    <w:multiLevelType w:val="singleLevel"/>
    <w:tmpl w:val="EF09228D"/>
    <w:lvl w:ilvl="0" w:tentative="0">
      <w:start w:val="1"/>
      <w:numFmt w:val="decimal"/>
      <w:lvlText w:val="3.%1"/>
      <w:lvlJc w:val="left"/>
      <w:pPr>
        <w:tabs>
          <w:tab w:val="left" w:pos="210"/>
        </w:tabs>
        <w:ind w:left="0" w:firstLine="480"/>
      </w:pPr>
      <w:rPr>
        <w:rFonts w:hint="default"/>
      </w:rPr>
    </w:lvl>
  </w:abstractNum>
  <w:abstractNum w:abstractNumId="32">
    <w:nsid w:val="F0E8C195"/>
    <w:multiLevelType w:val="singleLevel"/>
    <w:tmpl w:val="F0E8C195"/>
    <w:lvl w:ilvl="0" w:tentative="0">
      <w:start w:val="1"/>
      <w:numFmt w:val="decimal"/>
      <w:suff w:val="nothing"/>
      <w:lvlText w:val="5-%1、"/>
      <w:lvlJc w:val="left"/>
      <w:pPr>
        <w:ind w:left="0" w:firstLine="480"/>
      </w:pPr>
      <w:rPr>
        <w:rFonts w:hint="default"/>
      </w:rPr>
    </w:lvl>
  </w:abstractNum>
  <w:abstractNum w:abstractNumId="33">
    <w:nsid w:val="F272988B"/>
    <w:multiLevelType w:val="singleLevel"/>
    <w:tmpl w:val="F272988B"/>
    <w:lvl w:ilvl="0" w:tentative="0">
      <w:start w:val="1"/>
      <w:numFmt w:val="chineseCounting"/>
      <w:lvlText w:val="第%1章"/>
      <w:lvlJc w:val="left"/>
      <w:pPr>
        <w:tabs>
          <w:tab w:val="left" w:pos="210"/>
        </w:tabs>
        <w:ind w:firstLine="0"/>
      </w:pPr>
      <w:rPr>
        <w:rFonts w:hint="eastAsia"/>
      </w:rPr>
    </w:lvl>
  </w:abstractNum>
  <w:abstractNum w:abstractNumId="34">
    <w:nsid w:val="F5BE5EC5"/>
    <w:multiLevelType w:val="singleLevel"/>
    <w:tmpl w:val="F5BE5EC5"/>
    <w:lvl w:ilvl="0" w:tentative="0">
      <w:start w:val="1"/>
      <w:numFmt w:val="decimal"/>
      <w:lvlText w:val="%1."/>
      <w:lvlJc w:val="left"/>
      <w:pPr>
        <w:tabs>
          <w:tab w:val="left" w:pos="210"/>
        </w:tabs>
        <w:ind w:left="0" w:firstLine="480"/>
      </w:pPr>
      <w:rPr>
        <w:rFonts w:hint="default"/>
      </w:rPr>
    </w:lvl>
  </w:abstractNum>
  <w:abstractNum w:abstractNumId="35">
    <w:nsid w:val="F5FA2E33"/>
    <w:multiLevelType w:val="singleLevel"/>
    <w:tmpl w:val="F5FA2E33"/>
    <w:lvl w:ilvl="0" w:tentative="0">
      <w:start w:val="1"/>
      <w:numFmt w:val="decimal"/>
      <w:suff w:val="nothing"/>
      <w:lvlText w:val="（%1）"/>
      <w:lvlJc w:val="left"/>
      <w:pPr>
        <w:ind w:left="0" w:firstLine="480"/>
      </w:pPr>
      <w:rPr>
        <w:rFonts w:hint="default"/>
      </w:rPr>
    </w:lvl>
  </w:abstractNum>
  <w:abstractNum w:abstractNumId="36">
    <w:nsid w:val="F62C5D9A"/>
    <w:multiLevelType w:val="singleLevel"/>
    <w:tmpl w:val="F62C5D9A"/>
    <w:lvl w:ilvl="0" w:tentative="0">
      <w:start w:val="1"/>
      <w:numFmt w:val="decimal"/>
      <w:lvlText w:val="4.2.%1"/>
      <w:lvlJc w:val="left"/>
      <w:pPr>
        <w:tabs>
          <w:tab w:val="left" w:pos="210"/>
        </w:tabs>
        <w:ind w:left="0" w:firstLine="480"/>
      </w:pPr>
      <w:rPr>
        <w:rFonts w:hint="default"/>
      </w:rPr>
    </w:lvl>
  </w:abstractNum>
  <w:abstractNum w:abstractNumId="37">
    <w:nsid w:val="F6E99D63"/>
    <w:multiLevelType w:val="singleLevel"/>
    <w:tmpl w:val="F6E99D63"/>
    <w:lvl w:ilvl="0" w:tentative="0">
      <w:start w:val="1"/>
      <w:numFmt w:val="decimal"/>
      <w:lvlText w:val="18.3.%1"/>
      <w:lvlJc w:val="left"/>
      <w:pPr>
        <w:tabs>
          <w:tab w:val="left" w:pos="210"/>
        </w:tabs>
        <w:ind w:left="0" w:firstLine="480"/>
      </w:pPr>
      <w:rPr>
        <w:rFonts w:hint="default"/>
      </w:rPr>
    </w:lvl>
  </w:abstractNum>
  <w:abstractNum w:abstractNumId="38">
    <w:nsid w:val="F854EC2C"/>
    <w:multiLevelType w:val="singleLevel"/>
    <w:tmpl w:val="F854EC2C"/>
    <w:lvl w:ilvl="0" w:tentative="0">
      <w:start w:val="1"/>
      <w:numFmt w:val="decimal"/>
      <w:lvlText w:val="19.1.%1"/>
      <w:lvlJc w:val="left"/>
      <w:pPr>
        <w:tabs>
          <w:tab w:val="left" w:pos="210"/>
        </w:tabs>
        <w:ind w:left="0" w:firstLine="0"/>
      </w:pPr>
      <w:rPr>
        <w:rFonts w:hint="default"/>
      </w:rPr>
    </w:lvl>
  </w:abstractNum>
  <w:abstractNum w:abstractNumId="39">
    <w:nsid w:val="F9649DAA"/>
    <w:multiLevelType w:val="singleLevel"/>
    <w:tmpl w:val="F9649DAA"/>
    <w:lvl w:ilvl="0" w:tentative="0">
      <w:start w:val="1"/>
      <w:numFmt w:val="decimal"/>
      <w:lvlText w:val="2.%1"/>
      <w:lvlJc w:val="left"/>
      <w:pPr>
        <w:tabs>
          <w:tab w:val="left" w:pos="210"/>
        </w:tabs>
        <w:ind w:left="0" w:firstLine="480"/>
      </w:pPr>
      <w:rPr>
        <w:rFonts w:hint="default"/>
      </w:rPr>
    </w:lvl>
  </w:abstractNum>
  <w:abstractNum w:abstractNumId="40">
    <w:nsid w:val="0053208E"/>
    <w:multiLevelType w:val="singleLevel"/>
    <w:tmpl w:val="0053208E"/>
    <w:lvl w:ilvl="0" w:tentative="0">
      <w:start w:val="1"/>
      <w:numFmt w:val="decimal"/>
      <w:lvlText w:val="%1."/>
      <w:lvlJc w:val="left"/>
      <w:pPr>
        <w:ind w:left="0"/>
      </w:pPr>
    </w:lvl>
  </w:abstractNum>
  <w:abstractNum w:abstractNumId="41">
    <w:nsid w:val="03BED16A"/>
    <w:multiLevelType w:val="singleLevel"/>
    <w:tmpl w:val="03BED16A"/>
    <w:lvl w:ilvl="0" w:tentative="0">
      <w:start w:val="1"/>
      <w:numFmt w:val="decimal"/>
      <w:suff w:val="nothing"/>
      <w:lvlText w:val="%1）"/>
      <w:lvlJc w:val="left"/>
      <w:pPr>
        <w:ind w:left="0" w:firstLine="480"/>
      </w:pPr>
      <w:rPr>
        <w:rFonts w:hint="default"/>
      </w:rPr>
    </w:lvl>
  </w:abstractNum>
  <w:abstractNum w:abstractNumId="42">
    <w:nsid w:val="05DCBF06"/>
    <w:multiLevelType w:val="singleLevel"/>
    <w:tmpl w:val="05DCBF06"/>
    <w:lvl w:ilvl="0" w:tentative="0">
      <w:start w:val="18"/>
      <w:numFmt w:val="decimal"/>
      <w:suff w:val="nothing"/>
      <w:lvlText w:val="%1、"/>
      <w:lvlJc w:val="left"/>
      <w:pPr>
        <w:ind w:left="0" w:firstLine="0"/>
      </w:pPr>
      <w:rPr>
        <w:rFonts w:hint="default"/>
      </w:rPr>
    </w:lvl>
  </w:abstractNum>
  <w:abstractNum w:abstractNumId="43">
    <w:nsid w:val="09809A0B"/>
    <w:multiLevelType w:val="singleLevel"/>
    <w:tmpl w:val="09809A0B"/>
    <w:lvl w:ilvl="0" w:tentative="0">
      <w:start w:val="1"/>
      <w:numFmt w:val="decimal"/>
      <w:suff w:val="nothing"/>
      <w:lvlText w:val="%1、"/>
      <w:lvlJc w:val="left"/>
      <w:pPr>
        <w:ind w:left="0" w:firstLine="0"/>
      </w:pPr>
      <w:rPr>
        <w:rFonts w:hint="default"/>
      </w:rPr>
    </w:lvl>
  </w:abstractNum>
  <w:abstractNum w:abstractNumId="44">
    <w:nsid w:val="0FBEE1D9"/>
    <w:multiLevelType w:val="singleLevel"/>
    <w:tmpl w:val="0FBEE1D9"/>
    <w:lvl w:ilvl="0" w:tentative="0">
      <w:start w:val="1"/>
      <w:numFmt w:val="decimal"/>
      <w:suff w:val="nothing"/>
      <w:lvlText w:val="（%1）"/>
      <w:lvlJc w:val="left"/>
      <w:pPr>
        <w:ind w:left="0" w:firstLine="480"/>
      </w:pPr>
      <w:rPr>
        <w:rFonts w:hint="default"/>
      </w:rPr>
    </w:lvl>
  </w:abstractNum>
  <w:abstractNum w:abstractNumId="45">
    <w:nsid w:val="126476C1"/>
    <w:multiLevelType w:val="singleLevel"/>
    <w:tmpl w:val="126476C1"/>
    <w:lvl w:ilvl="0" w:tentative="0">
      <w:start w:val="1"/>
      <w:numFmt w:val="decimal"/>
      <w:lvlText w:val="5.%1"/>
      <w:lvlJc w:val="left"/>
      <w:pPr>
        <w:tabs>
          <w:tab w:val="left" w:pos="210"/>
        </w:tabs>
        <w:ind w:left="0" w:firstLine="480"/>
      </w:pPr>
      <w:rPr>
        <w:rFonts w:hint="default"/>
      </w:rPr>
    </w:lvl>
  </w:abstractNum>
  <w:abstractNum w:abstractNumId="46">
    <w:nsid w:val="15C41109"/>
    <w:multiLevelType w:val="singleLevel"/>
    <w:tmpl w:val="15C41109"/>
    <w:lvl w:ilvl="0" w:tentative="0">
      <w:start w:val="1"/>
      <w:numFmt w:val="decimal"/>
      <w:suff w:val="nothing"/>
      <w:lvlText w:val="6-%1、"/>
      <w:lvlJc w:val="left"/>
      <w:pPr>
        <w:ind w:left="0" w:firstLine="480"/>
      </w:pPr>
      <w:rPr>
        <w:rFonts w:hint="default"/>
      </w:rPr>
    </w:lvl>
  </w:abstractNum>
  <w:abstractNum w:abstractNumId="47">
    <w:nsid w:val="162EC63E"/>
    <w:multiLevelType w:val="singleLevel"/>
    <w:tmpl w:val="162EC63E"/>
    <w:lvl w:ilvl="0" w:tentative="0">
      <w:start w:val="16"/>
      <w:numFmt w:val="decimal"/>
      <w:suff w:val="nothing"/>
      <w:lvlText w:val="%1、"/>
      <w:lvlJc w:val="left"/>
      <w:pPr>
        <w:ind w:left="0" w:firstLine="0"/>
      </w:pPr>
      <w:rPr>
        <w:rFonts w:hint="default"/>
      </w:rPr>
    </w:lvl>
  </w:abstractNum>
  <w:abstractNum w:abstractNumId="48">
    <w:nsid w:val="19901FC5"/>
    <w:multiLevelType w:val="singleLevel"/>
    <w:tmpl w:val="19901FC5"/>
    <w:lvl w:ilvl="0" w:tentative="0">
      <w:start w:val="1"/>
      <w:numFmt w:val="lowerLetter"/>
      <w:lvlText w:val="%1."/>
      <w:lvlJc w:val="left"/>
      <w:pPr>
        <w:tabs>
          <w:tab w:val="left" w:pos="210"/>
        </w:tabs>
        <w:ind w:left="0" w:firstLine="480"/>
      </w:pPr>
      <w:rPr>
        <w:rFonts w:hint="default"/>
      </w:rPr>
    </w:lvl>
  </w:abstractNum>
  <w:abstractNum w:abstractNumId="49">
    <w:nsid w:val="1C2CBC78"/>
    <w:multiLevelType w:val="singleLevel"/>
    <w:tmpl w:val="1C2CBC78"/>
    <w:lvl w:ilvl="0" w:tentative="0">
      <w:start w:val="1"/>
      <w:numFmt w:val="decimal"/>
      <w:lvlText w:val="11.%1"/>
      <w:lvlJc w:val="left"/>
      <w:pPr>
        <w:tabs>
          <w:tab w:val="left" w:pos="210"/>
        </w:tabs>
        <w:ind w:left="0" w:firstLine="480"/>
      </w:pPr>
      <w:rPr>
        <w:rFonts w:hint="default"/>
      </w:rPr>
    </w:lvl>
  </w:abstractNum>
  <w:abstractNum w:abstractNumId="50">
    <w:nsid w:val="2A5A267F"/>
    <w:multiLevelType w:val="singleLevel"/>
    <w:tmpl w:val="2A5A267F"/>
    <w:lvl w:ilvl="0" w:tentative="0">
      <w:start w:val="1"/>
      <w:numFmt w:val="decimal"/>
      <w:lvlText w:val="2.%1"/>
      <w:lvlJc w:val="left"/>
      <w:pPr>
        <w:tabs>
          <w:tab w:val="left" w:pos="210"/>
        </w:tabs>
        <w:ind w:left="0" w:firstLine="0"/>
      </w:pPr>
      <w:rPr>
        <w:rFonts w:hint="default"/>
      </w:rPr>
    </w:lvl>
  </w:abstractNum>
  <w:abstractNum w:abstractNumId="51">
    <w:nsid w:val="330551B4"/>
    <w:multiLevelType w:val="singleLevel"/>
    <w:tmpl w:val="330551B4"/>
    <w:lvl w:ilvl="0" w:tentative="0">
      <w:start w:val="1"/>
      <w:numFmt w:val="decimal"/>
      <w:suff w:val="nothing"/>
      <w:lvlText w:val="%1、"/>
      <w:lvlJc w:val="left"/>
      <w:pPr>
        <w:ind w:left="0" w:firstLine="0"/>
      </w:pPr>
      <w:rPr>
        <w:rFonts w:hint="default"/>
      </w:rPr>
    </w:lvl>
  </w:abstractNum>
  <w:abstractNum w:abstractNumId="52">
    <w:nsid w:val="339AFB93"/>
    <w:multiLevelType w:val="singleLevel"/>
    <w:tmpl w:val="339AFB93"/>
    <w:lvl w:ilvl="0" w:tentative="0">
      <w:start w:val="4"/>
      <w:numFmt w:val="decimal"/>
      <w:suff w:val="nothing"/>
      <w:lvlText w:val="%1、"/>
      <w:lvlJc w:val="left"/>
      <w:pPr>
        <w:ind w:left="0" w:firstLine="0"/>
      </w:pPr>
      <w:rPr>
        <w:rFonts w:hint="default"/>
      </w:rPr>
    </w:lvl>
  </w:abstractNum>
  <w:abstractNum w:abstractNumId="53">
    <w:nsid w:val="35AE3531"/>
    <w:multiLevelType w:val="singleLevel"/>
    <w:tmpl w:val="35AE3531"/>
    <w:lvl w:ilvl="0" w:tentative="0">
      <w:start w:val="1"/>
      <w:numFmt w:val="decimal"/>
      <w:suff w:val="nothing"/>
      <w:lvlText w:val="%1）"/>
      <w:lvlJc w:val="left"/>
      <w:pPr>
        <w:ind w:left="0" w:firstLine="480"/>
      </w:pPr>
      <w:rPr>
        <w:rFonts w:hint="default"/>
      </w:rPr>
    </w:lvl>
  </w:abstractNum>
  <w:abstractNum w:abstractNumId="54">
    <w:nsid w:val="3A02C0D4"/>
    <w:multiLevelType w:val="singleLevel"/>
    <w:tmpl w:val="3A02C0D4"/>
    <w:lvl w:ilvl="0" w:tentative="0">
      <w:start w:val="1"/>
      <w:numFmt w:val="decimal"/>
      <w:lvlText w:val="18.%1"/>
      <w:lvlJc w:val="left"/>
      <w:pPr>
        <w:tabs>
          <w:tab w:val="left" w:pos="210"/>
        </w:tabs>
        <w:ind w:left="0" w:firstLine="480"/>
      </w:pPr>
      <w:rPr>
        <w:rFonts w:hint="default"/>
      </w:rPr>
    </w:lvl>
  </w:abstractNum>
  <w:abstractNum w:abstractNumId="55">
    <w:nsid w:val="3FFA4BAA"/>
    <w:multiLevelType w:val="singleLevel"/>
    <w:tmpl w:val="3FFA4BAA"/>
    <w:lvl w:ilvl="0" w:tentative="0">
      <w:start w:val="1"/>
      <w:numFmt w:val="decimal"/>
      <w:lvlText w:val="8.%1"/>
      <w:lvlJc w:val="left"/>
      <w:pPr>
        <w:tabs>
          <w:tab w:val="left" w:pos="210"/>
        </w:tabs>
        <w:ind w:left="0" w:firstLine="480"/>
      </w:pPr>
      <w:rPr>
        <w:rFonts w:hint="default"/>
      </w:rPr>
    </w:lvl>
  </w:abstractNum>
  <w:abstractNum w:abstractNumId="56">
    <w:nsid w:val="40EC5B43"/>
    <w:multiLevelType w:val="singleLevel"/>
    <w:tmpl w:val="40EC5B43"/>
    <w:lvl w:ilvl="0" w:tentative="0">
      <w:start w:val="1"/>
      <w:numFmt w:val="chineseCounting"/>
      <w:lvlText w:val="第%1条"/>
      <w:lvlJc w:val="left"/>
      <w:pPr>
        <w:tabs>
          <w:tab w:val="left" w:pos="210"/>
        </w:tabs>
        <w:ind w:left="0" w:firstLine="0"/>
      </w:pPr>
      <w:rPr>
        <w:rFonts w:hint="eastAsia"/>
      </w:rPr>
    </w:lvl>
  </w:abstractNum>
  <w:abstractNum w:abstractNumId="57">
    <w:nsid w:val="412BCBE7"/>
    <w:multiLevelType w:val="singleLevel"/>
    <w:tmpl w:val="412BCBE7"/>
    <w:lvl w:ilvl="0" w:tentative="0">
      <w:start w:val="1"/>
      <w:numFmt w:val="decimal"/>
      <w:suff w:val="nothing"/>
      <w:lvlText w:val="（%1）"/>
      <w:lvlJc w:val="left"/>
      <w:pPr>
        <w:ind w:firstLine="480"/>
      </w:pPr>
    </w:lvl>
  </w:abstractNum>
  <w:abstractNum w:abstractNumId="58">
    <w:nsid w:val="442848A0"/>
    <w:multiLevelType w:val="singleLevel"/>
    <w:tmpl w:val="442848A0"/>
    <w:lvl w:ilvl="0" w:tentative="0">
      <w:start w:val="1"/>
      <w:numFmt w:val="decimal"/>
      <w:suff w:val="nothing"/>
      <w:lvlText w:val="（%1）"/>
      <w:lvlJc w:val="left"/>
      <w:pPr>
        <w:ind w:left="0" w:firstLine="480"/>
      </w:pPr>
      <w:rPr>
        <w:rFonts w:hint="default"/>
      </w:rPr>
    </w:lvl>
  </w:abstractNum>
  <w:abstractNum w:abstractNumId="59">
    <w:nsid w:val="45AEF573"/>
    <w:multiLevelType w:val="singleLevel"/>
    <w:tmpl w:val="45AEF573"/>
    <w:lvl w:ilvl="0" w:tentative="0">
      <w:start w:val="1"/>
      <w:numFmt w:val="decimal"/>
      <w:lvlText w:val="19.2.2.%1"/>
      <w:lvlJc w:val="left"/>
      <w:pPr>
        <w:tabs>
          <w:tab w:val="left" w:pos="210"/>
        </w:tabs>
        <w:ind w:left="0" w:firstLine="480"/>
      </w:pPr>
      <w:rPr>
        <w:rFonts w:hint="default"/>
      </w:rPr>
    </w:lvl>
  </w:abstractNum>
  <w:abstractNum w:abstractNumId="60">
    <w:nsid w:val="46DD2D0E"/>
    <w:multiLevelType w:val="singleLevel"/>
    <w:tmpl w:val="46DD2D0E"/>
    <w:lvl w:ilvl="0" w:tentative="0">
      <w:start w:val="1"/>
      <w:numFmt w:val="decimal"/>
      <w:suff w:val="nothing"/>
      <w:lvlText w:val="（%1）"/>
      <w:lvlJc w:val="left"/>
      <w:pPr>
        <w:ind w:left="0" w:firstLine="480"/>
      </w:pPr>
      <w:rPr>
        <w:rFonts w:hint="default"/>
      </w:rPr>
    </w:lvl>
  </w:abstractNum>
  <w:abstractNum w:abstractNumId="61">
    <w:nsid w:val="5087399D"/>
    <w:multiLevelType w:val="singleLevel"/>
    <w:tmpl w:val="5087399D"/>
    <w:lvl w:ilvl="0" w:tentative="0">
      <w:start w:val="1"/>
      <w:numFmt w:val="decimal"/>
      <w:suff w:val="nothing"/>
      <w:lvlText w:val="%1、"/>
      <w:lvlJc w:val="left"/>
      <w:pPr>
        <w:ind w:left="0" w:firstLine="480"/>
      </w:pPr>
      <w:rPr>
        <w:rFonts w:hint="default"/>
      </w:rPr>
    </w:lvl>
  </w:abstractNum>
  <w:abstractNum w:abstractNumId="62">
    <w:nsid w:val="5D50A618"/>
    <w:multiLevelType w:val="singleLevel"/>
    <w:tmpl w:val="5D50A618"/>
    <w:lvl w:ilvl="0" w:tentative="0">
      <w:start w:val="1"/>
      <w:numFmt w:val="chineseCounting"/>
      <w:suff w:val="nothing"/>
      <w:lvlText w:val="%1、"/>
      <w:lvlJc w:val="left"/>
      <w:pPr>
        <w:ind w:left="0" w:firstLine="0"/>
      </w:pPr>
      <w:rPr>
        <w:rFonts w:hint="eastAsia"/>
      </w:rPr>
    </w:lvl>
  </w:abstractNum>
  <w:abstractNum w:abstractNumId="63">
    <w:nsid w:val="5E7708D2"/>
    <w:multiLevelType w:val="singleLevel"/>
    <w:tmpl w:val="5E7708D2"/>
    <w:lvl w:ilvl="0" w:tentative="0">
      <w:start w:val="1"/>
      <w:numFmt w:val="decimal"/>
      <w:suff w:val="nothing"/>
      <w:lvlText w:val="3-7-%1、"/>
      <w:lvlJc w:val="left"/>
      <w:pPr>
        <w:ind w:left="0" w:firstLine="0"/>
      </w:pPr>
      <w:rPr>
        <w:rFonts w:hint="default"/>
      </w:rPr>
    </w:lvl>
  </w:abstractNum>
  <w:abstractNum w:abstractNumId="64">
    <w:nsid w:val="62463931"/>
    <w:multiLevelType w:val="singleLevel"/>
    <w:tmpl w:val="62463931"/>
    <w:lvl w:ilvl="0" w:tentative="0">
      <w:start w:val="1"/>
      <w:numFmt w:val="decimal"/>
      <w:lvlText w:val="10.%1"/>
      <w:lvlJc w:val="left"/>
      <w:pPr>
        <w:tabs>
          <w:tab w:val="left" w:pos="210"/>
        </w:tabs>
        <w:ind w:left="0" w:firstLine="480"/>
      </w:pPr>
      <w:rPr>
        <w:rFonts w:hint="default"/>
      </w:rPr>
    </w:lvl>
  </w:abstractNum>
  <w:abstractNum w:abstractNumId="65">
    <w:nsid w:val="63F69E4F"/>
    <w:multiLevelType w:val="singleLevel"/>
    <w:tmpl w:val="63F69E4F"/>
    <w:lvl w:ilvl="0" w:tentative="0">
      <w:start w:val="1"/>
      <w:numFmt w:val="chineseCounting"/>
      <w:suff w:val="nothing"/>
      <w:lvlText w:val="（%1）"/>
      <w:lvlJc w:val="left"/>
      <w:pPr>
        <w:ind w:left="0" w:firstLine="0"/>
      </w:pPr>
      <w:rPr>
        <w:rFonts w:hint="eastAsia"/>
      </w:rPr>
    </w:lvl>
  </w:abstractNum>
  <w:abstractNum w:abstractNumId="66">
    <w:nsid w:val="6406A100"/>
    <w:multiLevelType w:val="singleLevel"/>
    <w:tmpl w:val="6406A100"/>
    <w:lvl w:ilvl="0" w:tentative="0">
      <w:start w:val="1"/>
      <w:numFmt w:val="decimal"/>
      <w:lvlText w:val="7.%1"/>
      <w:lvlJc w:val="left"/>
      <w:pPr>
        <w:tabs>
          <w:tab w:val="left" w:pos="210"/>
        </w:tabs>
        <w:ind w:left="0" w:firstLine="480"/>
      </w:pPr>
      <w:rPr>
        <w:rFonts w:hint="default"/>
      </w:rPr>
    </w:lvl>
  </w:abstractNum>
  <w:abstractNum w:abstractNumId="67">
    <w:nsid w:val="65FEB1A2"/>
    <w:multiLevelType w:val="singleLevel"/>
    <w:tmpl w:val="65FEB1A2"/>
    <w:lvl w:ilvl="0" w:tentative="0">
      <w:start w:val="1"/>
      <w:numFmt w:val="decimal"/>
      <w:lvlText w:val="15.%1"/>
      <w:lvlJc w:val="left"/>
      <w:pPr>
        <w:tabs>
          <w:tab w:val="left" w:pos="210"/>
        </w:tabs>
        <w:ind w:left="0" w:firstLine="480"/>
      </w:pPr>
      <w:rPr>
        <w:rFonts w:hint="default"/>
      </w:rPr>
    </w:lvl>
  </w:abstractNum>
  <w:abstractNum w:abstractNumId="68">
    <w:nsid w:val="726B8D0C"/>
    <w:multiLevelType w:val="singleLevel"/>
    <w:tmpl w:val="726B8D0C"/>
    <w:lvl w:ilvl="0" w:tentative="0">
      <w:start w:val="1"/>
      <w:numFmt w:val="decimal"/>
      <w:suff w:val="nothing"/>
      <w:lvlText w:val="%1、"/>
      <w:lvlJc w:val="left"/>
      <w:pPr>
        <w:ind w:left="0" w:firstLine="0"/>
      </w:pPr>
      <w:rPr>
        <w:rFonts w:hint="default"/>
      </w:rPr>
    </w:lvl>
  </w:abstractNum>
  <w:abstractNum w:abstractNumId="69">
    <w:nsid w:val="72C112C2"/>
    <w:multiLevelType w:val="singleLevel"/>
    <w:tmpl w:val="72C112C2"/>
    <w:lvl w:ilvl="0" w:tentative="0">
      <w:start w:val="1"/>
      <w:numFmt w:val="decimal"/>
      <w:lvlText w:val="%1."/>
      <w:lvlJc w:val="left"/>
      <w:pPr>
        <w:tabs>
          <w:tab w:val="left" w:pos="210"/>
        </w:tabs>
        <w:ind w:left="0" w:firstLine="480"/>
      </w:pPr>
      <w:rPr>
        <w:rFonts w:hint="default"/>
      </w:rPr>
    </w:lvl>
  </w:abstractNum>
  <w:num w:numId="1">
    <w:abstractNumId w:val="33"/>
  </w:num>
  <w:num w:numId="2">
    <w:abstractNumId w:val="40"/>
  </w:num>
  <w:num w:numId="3">
    <w:abstractNumId w:val="15"/>
  </w:num>
  <w:num w:numId="4">
    <w:abstractNumId w:val="43"/>
  </w:num>
  <w:num w:numId="5">
    <w:abstractNumId w:val="39"/>
  </w:num>
  <w:num w:numId="6">
    <w:abstractNumId w:val="4"/>
  </w:num>
  <w:num w:numId="7">
    <w:abstractNumId w:val="7"/>
  </w:num>
  <w:num w:numId="8">
    <w:abstractNumId w:val="22"/>
  </w:num>
  <w:num w:numId="9">
    <w:abstractNumId w:val="66"/>
  </w:num>
  <w:num w:numId="10">
    <w:abstractNumId w:val="5"/>
  </w:num>
  <w:num w:numId="11">
    <w:abstractNumId w:val="51"/>
  </w:num>
  <w:num w:numId="12">
    <w:abstractNumId w:val="48"/>
  </w:num>
  <w:num w:numId="13">
    <w:abstractNumId w:val="18"/>
  </w:num>
  <w:num w:numId="14">
    <w:abstractNumId w:val="64"/>
  </w:num>
  <w:num w:numId="15">
    <w:abstractNumId w:val="49"/>
  </w:num>
  <w:num w:numId="16">
    <w:abstractNumId w:val="6"/>
  </w:num>
  <w:num w:numId="17">
    <w:abstractNumId w:val="11"/>
  </w:num>
  <w:num w:numId="18">
    <w:abstractNumId w:val="25"/>
  </w:num>
  <w:num w:numId="19">
    <w:abstractNumId w:val="67"/>
  </w:num>
  <w:num w:numId="20">
    <w:abstractNumId w:val="47"/>
  </w:num>
  <w:num w:numId="21">
    <w:abstractNumId w:val="8"/>
  </w:num>
  <w:num w:numId="22">
    <w:abstractNumId w:val="14"/>
  </w:num>
  <w:num w:numId="23">
    <w:abstractNumId w:val="42"/>
  </w:num>
  <w:num w:numId="24">
    <w:abstractNumId w:val="54"/>
  </w:num>
  <w:num w:numId="25">
    <w:abstractNumId w:val="37"/>
  </w:num>
  <w:num w:numId="26">
    <w:abstractNumId w:val="21"/>
  </w:num>
  <w:num w:numId="27">
    <w:abstractNumId w:val="38"/>
  </w:num>
  <w:num w:numId="28">
    <w:abstractNumId w:val="2"/>
  </w:num>
  <w:num w:numId="29">
    <w:abstractNumId w:val="59"/>
  </w:num>
  <w:num w:numId="30">
    <w:abstractNumId w:val="16"/>
  </w:num>
  <w:num w:numId="31">
    <w:abstractNumId w:val="27"/>
  </w:num>
  <w:num w:numId="32">
    <w:abstractNumId w:val="63"/>
  </w:num>
  <w:num w:numId="33">
    <w:abstractNumId w:val="26"/>
  </w:num>
  <w:num w:numId="34">
    <w:abstractNumId w:val="58"/>
  </w:num>
  <w:num w:numId="35">
    <w:abstractNumId w:val="28"/>
  </w:num>
  <w:num w:numId="36">
    <w:abstractNumId w:val="44"/>
  </w:num>
  <w:num w:numId="37">
    <w:abstractNumId w:val="52"/>
  </w:num>
  <w:num w:numId="38">
    <w:abstractNumId w:val="30"/>
  </w:num>
  <w:num w:numId="39">
    <w:abstractNumId w:val="57"/>
  </w:num>
  <w:num w:numId="40">
    <w:abstractNumId w:val="32"/>
  </w:num>
  <w:num w:numId="41">
    <w:abstractNumId w:val="46"/>
  </w:num>
  <w:num w:numId="42">
    <w:abstractNumId w:val="29"/>
  </w:num>
  <w:num w:numId="43">
    <w:abstractNumId w:val="60"/>
  </w:num>
  <w:num w:numId="44">
    <w:abstractNumId w:val="20"/>
  </w:num>
  <w:num w:numId="45">
    <w:abstractNumId w:val="17"/>
  </w:num>
  <w:num w:numId="46">
    <w:abstractNumId w:val="35"/>
  </w:num>
  <w:num w:numId="47">
    <w:abstractNumId w:val="13"/>
  </w:num>
  <w:num w:numId="48">
    <w:abstractNumId w:val="10"/>
  </w:num>
  <w:num w:numId="49">
    <w:abstractNumId w:val="56"/>
  </w:num>
  <w:num w:numId="50">
    <w:abstractNumId w:val="50"/>
  </w:num>
  <w:num w:numId="51">
    <w:abstractNumId w:val="53"/>
  </w:num>
  <w:num w:numId="52">
    <w:abstractNumId w:val="41"/>
  </w:num>
  <w:num w:numId="53">
    <w:abstractNumId w:val="31"/>
  </w:num>
  <w:num w:numId="54">
    <w:abstractNumId w:val="0"/>
  </w:num>
  <w:num w:numId="55">
    <w:abstractNumId w:val="12"/>
  </w:num>
  <w:num w:numId="56">
    <w:abstractNumId w:val="19"/>
  </w:num>
  <w:num w:numId="57">
    <w:abstractNumId w:val="36"/>
  </w:num>
  <w:num w:numId="58">
    <w:abstractNumId w:val="45"/>
  </w:num>
  <w:num w:numId="59">
    <w:abstractNumId w:val="1"/>
  </w:num>
  <w:num w:numId="60">
    <w:abstractNumId w:val="55"/>
  </w:num>
  <w:num w:numId="61">
    <w:abstractNumId w:val="3"/>
  </w:num>
  <w:num w:numId="62">
    <w:abstractNumId w:val="62"/>
  </w:num>
  <w:num w:numId="63">
    <w:abstractNumId w:val="34"/>
  </w:num>
  <w:num w:numId="64">
    <w:abstractNumId w:val="65"/>
  </w:num>
  <w:num w:numId="65">
    <w:abstractNumId w:val="69"/>
  </w:num>
  <w:num w:numId="66">
    <w:abstractNumId w:val="23"/>
  </w:num>
  <w:num w:numId="67">
    <w:abstractNumId w:val="24"/>
  </w:num>
  <w:num w:numId="68">
    <w:abstractNumId w:val="61"/>
  </w:num>
  <w:num w:numId="69">
    <w:abstractNumId w:val="68"/>
  </w:num>
  <w:num w:numId="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lOTQ1MjVjODc1NmYyN2Q3MDQ3Yjk4Njg5ODk3ZTMifQ=="/>
  </w:docVars>
  <w:rsids>
    <w:rsidRoot w:val="3E045EC4"/>
    <w:rsid w:val="0002066E"/>
    <w:rsid w:val="000326C5"/>
    <w:rsid w:val="000551E2"/>
    <w:rsid w:val="00075CBF"/>
    <w:rsid w:val="00090498"/>
    <w:rsid w:val="00092509"/>
    <w:rsid w:val="000B34A5"/>
    <w:rsid w:val="00133528"/>
    <w:rsid w:val="00150C30"/>
    <w:rsid w:val="00150EAD"/>
    <w:rsid w:val="0015623B"/>
    <w:rsid w:val="0019196C"/>
    <w:rsid w:val="001B54F5"/>
    <w:rsid w:val="00213CF6"/>
    <w:rsid w:val="00225378"/>
    <w:rsid w:val="002A552F"/>
    <w:rsid w:val="002F72BF"/>
    <w:rsid w:val="00312CE5"/>
    <w:rsid w:val="0032082D"/>
    <w:rsid w:val="00341293"/>
    <w:rsid w:val="003D0404"/>
    <w:rsid w:val="003F23CE"/>
    <w:rsid w:val="003F417C"/>
    <w:rsid w:val="00447C82"/>
    <w:rsid w:val="00496DA9"/>
    <w:rsid w:val="004E2611"/>
    <w:rsid w:val="00585021"/>
    <w:rsid w:val="005A0FB6"/>
    <w:rsid w:val="0062283A"/>
    <w:rsid w:val="006367BE"/>
    <w:rsid w:val="00644CAD"/>
    <w:rsid w:val="00652F66"/>
    <w:rsid w:val="006E05BE"/>
    <w:rsid w:val="006F56AE"/>
    <w:rsid w:val="00777AB0"/>
    <w:rsid w:val="007A1658"/>
    <w:rsid w:val="007C717F"/>
    <w:rsid w:val="00811BE4"/>
    <w:rsid w:val="00840C51"/>
    <w:rsid w:val="00883170"/>
    <w:rsid w:val="008B74C8"/>
    <w:rsid w:val="008D138C"/>
    <w:rsid w:val="00973DD4"/>
    <w:rsid w:val="00977B14"/>
    <w:rsid w:val="009A5485"/>
    <w:rsid w:val="009E5EB5"/>
    <w:rsid w:val="00A05CA7"/>
    <w:rsid w:val="00AA78FC"/>
    <w:rsid w:val="00AB35C0"/>
    <w:rsid w:val="00B037A0"/>
    <w:rsid w:val="00B153DB"/>
    <w:rsid w:val="00B40F4E"/>
    <w:rsid w:val="00BC57CD"/>
    <w:rsid w:val="00BE1081"/>
    <w:rsid w:val="00BE6A15"/>
    <w:rsid w:val="00C0433E"/>
    <w:rsid w:val="00C14B91"/>
    <w:rsid w:val="00C951CA"/>
    <w:rsid w:val="00CF3752"/>
    <w:rsid w:val="00D33898"/>
    <w:rsid w:val="00D348C5"/>
    <w:rsid w:val="00D45D3F"/>
    <w:rsid w:val="00D57DC6"/>
    <w:rsid w:val="00D9775E"/>
    <w:rsid w:val="00DA5F20"/>
    <w:rsid w:val="00DC7C1D"/>
    <w:rsid w:val="00DC7C6D"/>
    <w:rsid w:val="00E40880"/>
    <w:rsid w:val="00EC036F"/>
    <w:rsid w:val="00F52687"/>
    <w:rsid w:val="00FF616E"/>
    <w:rsid w:val="010333FC"/>
    <w:rsid w:val="01064C9A"/>
    <w:rsid w:val="010A24E5"/>
    <w:rsid w:val="01147543"/>
    <w:rsid w:val="01166306"/>
    <w:rsid w:val="01284AA6"/>
    <w:rsid w:val="012B45EC"/>
    <w:rsid w:val="01341807"/>
    <w:rsid w:val="0135314E"/>
    <w:rsid w:val="013F65E1"/>
    <w:rsid w:val="01441350"/>
    <w:rsid w:val="01461501"/>
    <w:rsid w:val="014F219D"/>
    <w:rsid w:val="01527EDF"/>
    <w:rsid w:val="015522D5"/>
    <w:rsid w:val="01570CFE"/>
    <w:rsid w:val="016234C4"/>
    <w:rsid w:val="01685878"/>
    <w:rsid w:val="01687703"/>
    <w:rsid w:val="016942C3"/>
    <w:rsid w:val="01745474"/>
    <w:rsid w:val="017E0CD4"/>
    <w:rsid w:val="0194104F"/>
    <w:rsid w:val="019C03C5"/>
    <w:rsid w:val="019C1CD4"/>
    <w:rsid w:val="01A93104"/>
    <w:rsid w:val="01AE15BA"/>
    <w:rsid w:val="01B420F6"/>
    <w:rsid w:val="01B91D0C"/>
    <w:rsid w:val="01C04E49"/>
    <w:rsid w:val="01C26E13"/>
    <w:rsid w:val="01C40DDD"/>
    <w:rsid w:val="01C7267B"/>
    <w:rsid w:val="01D134FA"/>
    <w:rsid w:val="01D32DCE"/>
    <w:rsid w:val="01D408F4"/>
    <w:rsid w:val="01E90844"/>
    <w:rsid w:val="01EA0118"/>
    <w:rsid w:val="01F571E8"/>
    <w:rsid w:val="01FF3BC3"/>
    <w:rsid w:val="020B6A0C"/>
    <w:rsid w:val="020E6409"/>
    <w:rsid w:val="020F164A"/>
    <w:rsid w:val="021D564F"/>
    <w:rsid w:val="023530D9"/>
    <w:rsid w:val="023B0973"/>
    <w:rsid w:val="024400AB"/>
    <w:rsid w:val="02517B8E"/>
    <w:rsid w:val="025657AD"/>
    <w:rsid w:val="0262247B"/>
    <w:rsid w:val="026359D8"/>
    <w:rsid w:val="02641C78"/>
    <w:rsid w:val="027A5940"/>
    <w:rsid w:val="02810A7C"/>
    <w:rsid w:val="02816CCE"/>
    <w:rsid w:val="02875AD5"/>
    <w:rsid w:val="028E4F47"/>
    <w:rsid w:val="02935341"/>
    <w:rsid w:val="029502BE"/>
    <w:rsid w:val="029C3B08"/>
    <w:rsid w:val="02A84F40"/>
    <w:rsid w:val="02A97FD3"/>
    <w:rsid w:val="02B63160"/>
    <w:rsid w:val="02B82724"/>
    <w:rsid w:val="02C92423"/>
    <w:rsid w:val="02DB25BF"/>
    <w:rsid w:val="02EE59E6"/>
    <w:rsid w:val="03043A6E"/>
    <w:rsid w:val="030D2310"/>
    <w:rsid w:val="030D40BE"/>
    <w:rsid w:val="031304FA"/>
    <w:rsid w:val="03174F3D"/>
    <w:rsid w:val="03195159"/>
    <w:rsid w:val="031F232E"/>
    <w:rsid w:val="03395885"/>
    <w:rsid w:val="033B50CF"/>
    <w:rsid w:val="0341645D"/>
    <w:rsid w:val="035148F2"/>
    <w:rsid w:val="035937A7"/>
    <w:rsid w:val="03595555"/>
    <w:rsid w:val="035F5C48"/>
    <w:rsid w:val="03630182"/>
    <w:rsid w:val="036331DA"/>
    <w:rsid w:val="03634626"/>
    <w:rsid w:val="0365214C"/>
    <w:rsid w:val="036F2FCB"/>
    <w:rsid w:val="03766107"/>
    <w:rsid w:val="037F4000"/>
    <w:rsid w:val="038500F8"/>
    <w:rsid w:val="038530E6"/>
    <w:rsid w:val="03933955"/>
    <w:rsid w:val="039C5442"/>
    <w:rsid w:val="03A4569A"/>
    <w:rsid w:val="03A52548"/>
    <w:rsid w:val="03A76D42"/>
    <w:rsid w:val="03A8028B"/>
    <w:rsid w:val="03AA44E7"/>
    <w:rsid w:val="03AF786B"/>
    <w:rsid w:val="03B17EF2"/>
    <w:rsid w:val="03C642B5"/>
    <w:rsid w:val="03DB41BC"/>
    <w:rsid w:val="03DD6186"/>
    <w:rsid w:val="03E67188"/>
    <w:rsid w:val="03EE3D99"/>
    <w:rsid w:val="03F27D66"/>
    <w:rsid w:val="03F31506"/>
    <w:rsid w:val="03FA543D"/>
    <w:rsid w:val="03FF60FC"/>
    <w:rsid w:val="04050091"/>
    <w:rsid w:val="040C25C7"/>
    <w:rsid w:val="04147841"/>
    <w:rsid w:val="041858FE"/>
    <w:rsid w:val="041A7CCC"/>
    <w:rsid w:val="042057C7"/>
    <w:rsid w:val="04275653"/>
    <w:rsid w:val="04304E1A"/>
    <w:rsid w:val="04402271"/>
    <w:rsid w:val="04447FB3"/>
    <w:rsid w:val="044F0706"/>
    <w:rsid w:val="04522041"/>
    <w:rsid w:val="045B0493"/>
    <w:rsid w:val="045D1075"/>
    <w:rsid w:val="04610B65"/>
    <w:rsid w:val="04651CD8"/>
    <w:rsid w:val="04654475"/>
    <w:rsid w:val="046A140B"/>
    <w:rsid w:val="046F7C7A"/>
    <w:rsid w:val="047E2507"/>
    <w:rsid w:val="047F338F"/>
    <w:rsid w:val="048E7480"/>
    <w:rsid w:val="04910D1F"/>
    <w:rsid w:val="04AD696C"/>
    <w:rsid w:val="04B266CE"/>
    <w:rsid w:val="04B3257A"/>
    <w:rsid w:val="04C2154A"/>
    <w:rsid w:val="04CF2C81"/>
    <w:rsid w:val="04DF7CDC"/>
    <w:rsid w:val="04E11CA6"/>
    <w:rsid w:val="04EE7F1F"/>
    <w:rsid w:val="05166B03"/>
    <w:rsid w:val="05231A5C"/>
    <w:rsid w:val="052676B9"/>
    <w:rsid w:val="05354458"/>
    <w:rsid w:val="053578FC"/>
    <w:rsid w:val="053E0EA6"/>
    <w:rsid w:val="053F077B"/>
    <w:rsid w:val="054A15F9"/>
    <w:rsid w:val="054D00B7"/>
    <w:rsid w:val="055661F0"/>
    <w:rsid w:val="05616943"/>
    <w:rsid w:val="05634469"/>
    <w:rsid w:val="05655BB0"/>
    <w:rsid w:val="05656433"/>
    <w:rsid w:val="05661631"/>
    <w:rsid w:val="05665D07"/>
    <w:rsid w:val="056B5802"/>
    <w:rsid w:val="057743B8"/>
    <w:rsid w:val="05860158"/>
    <w:rsid w:val="059F7C1E"/>
    <w:rsid w:val="05A54A82"/>
    <w:rsid w:val="05A65EB8"/>
    <w:rsid w:val="05AD3936"/>
    <w:rsid w:val="05AE24E7"/>
    <w:rsid w:val="05B30EA1"/>
    <w:rsid w:val="05C869C2"/>
    <w:rsid w:val="05CB6690"/>
    <w:rsid w:val="05D2545B"/>
    <w:rsid w:val="05D52DA6"/>
    <w:rsid w:val="05D67331"/>
    <w:rsid w:val="05E526FB"/>
    <w:rsid w:val="05EC0902"/>
    <w:rsid w:val="05F872A7"/>
    <w:rsid w:val="060D5D1C"/>
    <w:rsid w:val="060E0879"/>
    <w:rsid w:val="06135E8F"/>
    <w:rsid w:val="06142680"/>
    <w:rsid w:val="061C5292"/>
    <w:rsid w:val="06287461"/>
    <w:rsid w:val="063B52C4"/>
    <w:rsid w:val="06533A69"/>
    <w:rsid w:val="066C1DC8"/>
    <w:rsid w:val="066C559F"/>
    <w:rsid w:val="06734B80"/>
    <w:rsid w:val="068943A3"/>
    <w:rsid w:val="068C5C42"/>
    <w:rsid w:val="068E57C7"/>
    <w:rsid w:val="069C1A4D"/>
    <w:rsid w:val="06A26645"/>
    <w:rsid w:val="06AD5B88"/>
    <w:rsid w:val="06AD7555"/>
    <w:rsid w:val="06C943F2"/>
    <w:rsid w:val="06D00B43"/>
    <w:rsid w:val="06DB122F"/>
    <w:rsid w:val="06EC048E"/>
    <w:rsid w:val="06EE2458"/>
    <w:rsid w:val="06F85085"/>
    <w:rsid w:val="070103DE"/>
    <w:rsid w:val="070F63C1"/>
    <w:rsid w:val="07133CEB"/>
    <w:rsid w:val="07134E94"/>
    <w:rsid w:val="07152ADF"/>
    <w:rsid w:val="07202736"/>
    <w:rsid w:val="072222A9"/>
    <w:rsid w:val="07245E7A"/>
    <w:rsid w:val="072B65BF"/>
    <w:rsid w:val="074116C6"/>
    <w:rsid w:val="0744557C"/>
    <w:rsid w:val="074A431D"/>
    <w:rsid w:val="07504508"/>
    <w:rsid w:val="07504EC1"/>
    <w:rsid w:val="075E426D"/>
    <w:rsid w:val="07610E7C"/>
    <w:rsid w:val="076B13DA"/>
    <w:rsid w:val="076B3AA9"/>
    <w:rsid w:val="077A7D82"/>
    <w:rsid w:val="077E558A"/>
    <w:rsid w:val="078057A6"/>
    <w:rsid w:val="078310A2"/>
    <w:rsid w:val="07832BA1"/>
    <w:rsid w:val="078A03D3"/>
    <w:rsid w:val="07982212"/>
    <w:rsid w:val="079B25E0"/>
    <w:rsid w:val="07A64AE1"/>
    <w:rsid w:val="07AC78AF"/>
    <w:rsid w:val="07B13D7E"/>
    <w:rsid w:val="07B47DDC"/>
    <w:rsid w:val="07B54D24"/>
    <w:rsid w:val="07BC60B3"/>
    <w:rsid w:val="07C23D17"/>
    <w:rsid w:val="07C31866"/>
    <w:rsid w:val="07C35693"/>
    <w:rsid w:val="07CC279A"/>
    <w:rsid w:val="07E35B82"/>
    <w:rsid w:val="07E46AA8"/>
    <w:rsid w:val="07E87511"/>
    <w:rsid w:val="07F55DB0"/>
    <w:rsid w:val="07F61518"/>
    <w:rsid w:val="07F97307"/>
    <w:rsid w:val="08017C5E"/>
    <w:rsid w:val="080F08D8"/>
    <w:rsid w:val="08114650"/>
    <w:rsid w:val="081859DF"/>
    <w:rsid w:val="081F45DC"/>
    <w:rsid w:val="0822060B"/>
    <w:rsid w:val="08254DDF"/>
    <w:rsid w:val="08314CF2"/>
    <w:rsid w:val="08395955"/>
    <w:rsid w:val="083B7055"/>
    <w:rsid w:val="08400A92"/>
    <w:rsid w:val="08471E20"/>
    <w:rsid w:val="08484205"/>
    <w:rsid w:val="084E1401"/>
    <w:rsid w:val="085221EC"/>
    <w:rsid w:val="08540D5A"/>
    <w:rsid w:val="085E4CD2"/>
    <w:rsid w:val="085E53BC"/>
    <w:rsid w:val="086504F8"/>
    <w:rsid w:val="086A628C"/>
    <w:rsid w:val="086E55FF"/>
    <w:rsid w:val="087846CF"/>
    <w:rsid w:val="0885192A"/>
    <w:rsid w:val="08882D3A"/>
    <w:rsid w:val="08913DDD"/>
    <w:rsid w:val="08935065"/>
    <w:rsid w:val="089441F1"/>
    <w:rsid w:val="08A14169"/>
    <w:rsid w:val="08A70B11"/>
    <w:rsid w:val="08A80283"/>
    <w:rsid w:val="08AA23AF"/>
    <w:rsid w:val="08C303AF"/>
    <w:rsid w:val="08CA47FF"/>
    <w:rsid w:val="08D51B22"/>
    <w:rsid w:val="08D60973"/>
    <w:rsid w:val="08D73E8D"/>
    <w:rsid w:val="08ED354E"/>
    <w:rsid w:val="08F13BA6"/>
    <w:rsid w:val="090441B5"/>
    <w:rsid w:val="09071F68"/>
    <w:rsid w:val="090D12BC"/>
    <w:rsid w:val="09153FCA"/>
    <w:rsid w:val="09216C57"/>
    <w:rsid w:val="092E2FE0"/>
    <w:rsid w:val="09322AD0"/>
    <w:rsid w:val="09383AE7"/>
    <w:rsid w:val="093C56FD"/>
    <w:rsid w:val="094770F8"/>
    <w:rsid w:val="09554502"/>
    <w:rsid w:val="09694018"/>
    <w:rsid w:val="096B5FE2"/>
    <w:rsid w:val="09706777"/>
    <w:rsid w:val="097114F7"/>
    <w:rsid w:val="098175B4"/>
    <w:rsid w:val="09896468"/>
    <w:rsid w:val="098D77D0"/>
    <w:rsid w:val="0992531D"/>
    <w:rsid w:val="099B68C7"/>
    <w:rsid w:val="09AB2883"/>
    <w:rsid w:val="09AE19D1"/>
    <w:rsid w:val="09B13FF7"/>
    <w:rsid w:val="09B74D83"/>
    <w:rsid w:val="09C04776"/>
    <w:rsid w:val="09C94AB7"/>
    <w:rsid w:val="09CD4307"/>
    <w:rsid w:val="09D26061"/>
    <w:rsid w:val="09D66848"/>
    <w:rsid w:val="09E15232"/>
    <w:rsid w:val="09E35B78"/>
    <w:rsid w:val="09E439ED"/>
    <w:rsid w:val="09EC3E8C"/>
    <w:rsid w:val="09F07868"/>
    <w:rsid w:val="0A067AB9"/>
    <w:rsid w:val="0A075D0B"/>
    <w:rsid w:val="0A163EED"/>
    <w:rsid w:val="0A165F4E"/>
    <w:rsid w:val="0A190D46"/>
    <w:rsid w:val="0A1A46F9"/>
    <w:rsid w:val="0A1B5E42"/>
    <w:rsid w:val="0A221267"/>
    <w:rsid w:val="0A27015B"/>
    <w:rsid w:val="0A2C5771"/>
    <w:rsid w:val="0A3463D4"/>
    <w:rsid w:val="0A3A38C6"/>
    <w:rsid w:val="0A3D39DE"/>
    <w:rsid w:val="0A40121D"/>
    <w:rsid w:val="0A4D3B4C"/>
    <w:rsid w:val="0A500051"/>
    <w:rsid w:val="0A51730C"/>
    <w:rsid w:val="0A52600E"/>
    <w:rsid w:val="0A536F11"/>
    <w:rsid w:val="0A5953D2"/>
    <w:rsid w:val="0A5C592B"/>
    <w:rsid w:val="0A6949ED"/>
    <w:rsid w:val="0A6A6C00"/>
    <w:rsid w:val="0A7259E3"/>
    <w:rsid w:val="0A8F3F52"/>
    <w:rsid w:val="0A904012"/>
    <w:rsid w:val="0A972926"/>
    <w:rsid w:val="0A9E6101"/>
    <w:rsid w:val="0A9F1322"/>
    <w:rsid w:val="0AA01CBB"/>
    <w:rsid w:val="0AA27AE9"/>
    <w:rsid w:val="0AA3648C"/>
    <w:rsid w:val="0AB55A76"/>
    <w:rsid w:val="0AB614DF"/>
    <w:rsid w:val="0ABB6138"/>
    <w:rsid w:val="0ACA6D38"/>
    <w:rsid w:val="0AE04A2E"/>
    <w:rsid w:val="0AE24082"/>
    <w:rsid w:val="0AE65DC3"/>
    <w:rsid w:val="0AE918B4"/>
    <w:rsid w:val="0AE94E99"/>
    <w:rsid w:val="0AF047ED"/>
    <w:rsid w:val="0AFB3396"/>
    <w:rsid w:val="0B043FF8"/>
    <w:rsid w:val="0B0E30C9"/>
    <w:rsid w:val="0B1D155E"/>
    <w:rsid w:val="0B2718FF"/>
    <w:rsid w:val="0B2C14B7"/>
    <w:rsid w:val="0B3A3049"/>
    <w:rsid w:val="0B3F14D4"/>
    <w:rsid w:val="0B41349E"/>
    <w:rsid w:val="0B53349C"/>
    <w:rsid w:val="0B584344"/>
    <w:rsid w:val="0B5F3AD0"/>
    <w:rsid w:val="0B756CA4"/>
    <w:rsid w:val="0B7F3FC7"/>
    <w:rsid w:val="0B847B07"/>
    <w:rsid w:val="0B8B296C"/>
    <w:rsid w:val="0B923CFA"/>
    <w:rsid w:val="0B926995"/>
    <w:rsid w:val="0B9D4787"/>
    <w:rsid w:val="0BA457DB"/>
    <w:rsid w:val="0BB1736C"/>
    <w:rsid w:val="0BB51797"/>
    <w:rsid w:val="0BBA6DD2"/>
    <w:rsid w:val="0BD460C1"/>
    <w:rsid w:val="0BDA2FAB"/>
    <w:rsid w:val="0BDA5211"/>
    <w:rsid w:val="0BDE6F3F"/>
    <w:rsid w:val="0BF92409"/>
    <w:rsid w:val="0BFF0F2C"/>
    <w:rsid w:val="0C0040AC"/>
    <w:rsid w:val="0C012C2E"/>
    <w:rsid w:val="0C0308FB"/>
    <w:rsid w:val="0C0D3381"/>
    <w:rsid w:val="0C1067F6"/>
    <w:rsid w:val="0C110077"/>
    <w:rsid w:val="0C133958"/>
    <w:rsid w:val="0C1A365D"/>
    <w:rsid w:val="0C1E10EA"/>
    <w:rsid w:val="0C1E558E"/>
    <w:rsid w:val="0C2517A6"/>
    <w:rsid w:val="0C34090D"/>
    <w:rsid w:val="0C4007CD"/>
    <w:rsid w:val="0C41302A"/>
    <w:rsid w:val="0C441FC0"/>
    <w:rsid w:val="0C492D7A"/>
    <w:rsid w:val="0C632FA1"/>
    <w:rsid w:val="0C676F35"/>
    <w:rsid w:val="0C801DA5"/>
    <w:rsid w:val="0C833538"/>
    <w:rsid w:val="0C8A25A2"/>
    <w:rsid w:val="0C9B098C"/>
    <w:rsid w:val="0CA02447"/>
    <w:rsid w:val="0CA37841"/>
    <w:rsid w:val="0CA90CB0"/>
    <w:rsid w:val="0CAA6E21"/>
    <w:rsid w:val="0CBF0A79"/>
    <w:rsid w:val="0CD520F0"/>
    <w:rsid w:val="0CEA36C2"/>
    <w:rsid w:val="0CF32576"/>
    <w:rsid w:val="0D097FEC"/>
    <w:rsid w:val="0D0C3638"/>
    <w:rsid w:val="0D0D147B"/>
    <w:rsid w:val="0D136775"/>
    <w:rsid w:val="0D1424ED"/>
    <w:rsid w:val="0D26294C"/>
    <w:rsid w:val="0D29243C"/>
    <w:rsid w:val="0D2E4628"/>
    <w:rsid w:val="0D314E4D"/>
    <w:rsid w:val="0D383D2E"/>
    <w:rsid w:val="0D3E620D"/>
    <w:rsid w:val="0D531267"/>
    <w:rsid w:val="0D5926B3"/>
    <w:rsid w:val="0D6B4803"/>
    <w:rsid w:val="0D6C6ADC"/>
    <w:rsid w:val="0D7868C1"/>
    <w:rsid w:val="0D7A67F4"/>
    <w:rsid w:val="0D7B6561"/>
    <w:rsid w:val="0D7F205C"/>
    <w:rsid w:val="0D8E229F"/>
    <w:rsid w:val="0D9C676A"/>
    <w:rsid w:val="0D9D0734"/>
    <w:rsid w:val="0D9F44AC"/>
    <w:rsid w:val="0DA04667"/>
    <w:rsid w:val="0DAE60A8"/>
    <w:rsid w:val="0DB14666"/>
    <w:rsid w:val="0DC029D3"/>
    <w:rsid w:val="0DCB34F3"/>
    <w:rsid w:val="0DCD57A2"/>
    <w:rsid w:val="0DDB26C1"/>
    <w:rsid w:val="0DDB2D28"/>
    <w:rsid w:val="0DEA1BCB"/>
    <w:rsid w:val="0DF30186"/>
    <w:rsid w:val="0E06277D"/>
    <w:rsid w:val="0E0D1416"/>
    <w:rsid w:val="0E0F325C"/>
    <w:rsid w:val="0E1327A4"/>
    <w:rsid w:val="0E134C7B"/>
    <w:rsid w:val="0E143A77"/>
    <w:rsid w:val="0E1A3B33"/>
    <w:rsid w:val="0E1C73C2"/>
    <w:rsid w:val="0E1C7C18"/>
    <w:rsid w:val="0E366E03"/>
    <w:rsid w:val="0E3C5C83"/>
    <w:rsid w:val="0E407A3D"/>
    <w:rsid w:val="0E4560EA"/>
    <w:rsid w:val="0E570458"/>
    <w:rsid w:val="0E6354DA"/>
    <w:rsid w:val="0E71736D"/>
    <w:rsid w:val="0E721BC1"/>
    <w:rsid w:val="0E8408A1"/>
    <w:rsid w:val="0E9B294E"/>
    <w:rsid w:val="0EA24254"/>
    <w:rsid w:val="0EA551B3"/>
    <w:rsid w:val="0EAA4EB7"/>
    <w:rsid w:val="0EAE6C5A"/>
    <w:rsid w:val="0EB42E07"/>
    <w:rsid w:val="0EBD01A1"/>
    <w:rsid w:val="0EBF5BBF"/>
    <w:rsid w:val="0EC32BD5"/>
    <w:rsid w:val="0EC4030D"/>
    <w:rsid w:val="0ED308B1"/>
    <w:rsid w:val="0EE06B2A"/>
    <w:rsid w:val="0EE26D46"/>
    <w:rsid w:val="0EEE56EB"/>
    <w:rsid w:val="0EF97BEC"/>
    <w:rsid w:val="0F056591"/>
    <w:rsid w:val="0F0740B7"/>
    <w:rsid w:val="0F13211D"/>
    <w:rsid w:val="0F20161D"/>
    <w:rsid w:val="0F252425"/>
    <w:rsid w:val="0F27753C"/>
    <w:rsid w:val="0F334F78"/>
    <w:rsid w:val="0F3375A2"/>
    <w:rsid w:val="0F417DAE"/>
    <w:rsid w:val="0F431208"/>
    <w:rsid w:val="0F4D3E61"/>
    <w:rsid w:val="0F521FB4"/>
    <w:rsid w:val="0F5850F4"/>
    <w:rsid w:val="0F586A97"/>
    <w:rsid w:val="0F5948AC"/>
    <w:rsid w:val="0F5C5774"/>
    <w:rsid w:val="0F5C6D10"/>
    <w:rsid w:val="0F5D4983"/>
    <w:rsid w:val="0F601A19"/>
    <w:rsid w:val="0F661726"/>
    <w:rsid w:val="0F6950FB"/>
    <w:rsid w:val="0F8971C2"/>
    <w:rsid w:val="0F8B4CE8"/>
    <w:rsid w:val="0F962C38"/>
    <w:rsid w:val="0F9811B3"/>
    <w:rsid w:val="0F985657"/>
    <w:rsid w:val="0FA21D06"/>
    <w:rsid w:val="0FA364D6"/>
    <w:rsid w:val="0FC24482"/>
    <w:rsid w:val="0FD43238"/>
    <w:rsid w:val="0FD6532D"/>
    <w:rsid w:val="0FED59A3"/>
    <w:rsid w:val="0FF40082"/>
    <w:rsid w:val="0FF42FEE"/>
    <w:rsid w:val="0FF54858"/>
    <w:rsid w:val="0FFC5BE6"/>
    <w:rsid w:val="0FFF1E6E"/>
    <w:rsid w:val="100D6DD3"/>
    <w:rsid w:val="10141182"/>
    <w:rsid w:val="101A42BE"/>
    <w:rsid w:val="102B2D1C"/>
    <w:rsid w:val="10321608"/>
    <w:rsid w:val="1032785A"/>
    <w:rsid w:val="103554AA"/>
    <w:rsid w:val="1037729E"/>
    <w:rsid w:val="10390BE8"/>
    <w:rsid w:val="103E1D5B"/>
    <w:rsid w:val="103F3D25"/>
    <w:rsid w:val="10412BF2"/>
    <w:rsid w:val="104A4BA3"/>
    <w:rsid w:val="1052454F"/>
    <w:rsid w:val="10593DE8"/>
    <w:rsid w:val="10615A49"/>
    <w:rsid w:val="10635C65"/>
    <w:rsid w:val="10683686"/>
    <w:rsid w:val="106C7FEF"/>
    <w:rsid w:val="107C1F28"/>
    <w:rsid w:val="108856CC"/>
    <w:rsid w:val="10897638"/>
    <w:rsid w:val="108D437F"/>
    <w:rsid w:val="1097535F"/>
    <w:rsid w:val="109C2F25"/>
    <w:rsid w:val="10AC0CD1"/>
    <w:rsid w:val="10B76AEF"/>
    <w:rsid w:val="10C42BFF"/>
    <w:rsid w:val="10C61D50"/>
    <w:rsid w:val="10CA5CE4"/>
    <w:rsid w:val="10CC201F"/>
    <w:rsid w:val="10CC2C8A"/>
    <w:rsid w:val="10CE552F"/>
    <w:rsid w:val="10D163DC"/>
    <w:rsid w:val="10D64689"/>
    <w:rsid w:val="10F60887"/>
    <w:rsid w:val="10F92411"/>
    <w:rsid w:val="10FF1F7B"/>
    <w:rsid w:val="110034B4"/>
    <w:rsid w:val="11034D52"/>
    <w:rsid w:val="1111121D"/>
    <w:rsid w:val="112C42A9"/>
    <w:rsid w:val="11304696"/>
    <w:rsid w:val="11311322"/>
    <w:rsid w:val="113B50F4"/>
    <w:rsid w:val="113D64B6"/>
    <w:rsid w:val="113E50AF"/>
    <w:rsid w:val="113F5716"/>
    <w:rsid w:val="114333A1"/>
    <w:rsid w:val="11442A03"/>
    <w:rsid w:val="114A1CBF"/>
    <w:rsid w:val="115213B8"/>
    <w:rsid w:val="115630D4"/>
    <w:rsid w:val="1158718D"/>
    <w:rsid w:val="115A344B"/>
    <w:rsid w:val="115A7068"/>
    <w:rsid w:val="115D53D0"/>
    <w:rsid w:val="115E367D"/>
    <w:rsid w:val="11603F53"/>
    <w:rsid w:val="11715B79"/>
    <w:rsid w:val="118934A9"/>
    <w:rsid w:val="11967974"/>
    <w:rsid w:val="119964E0"/>
    <w:rsid w:val="11A36E4A"/>
    <w:rsid w:val="11A45E7C"/>
    <w:rsid w:val="11A93B4C"/>
    <w:rsid w:val="11AF1E4F"/>
    <w:rsid w:val="11B13E88"/>
    <w:rsid w:val="11B147AE"/>
    <w:rsid w:val="11BB73DB"/>
    <w:rsid w:val="11BD13A5"/>
    <w:rsid w:val="11BF6ECB"/>
    <w:rsid w:val="11C11DFE"/>
    <w:rsid w:val="11C664AC"/>
    <w:rsid w:val="11CC0A24"/>
    <w:rsid w:val="11D566EF"/>
    <w:rsid w:val="11D66445"/>
    <w:rsid w:val="11E07AD1"/>
    <w:rsid w:val="11E132E5"/>
    <w:rsid w:val="11F16542"/>
    <w:rsid w:val="11F8062F"/>
    <w:rsid w:val="120C7C36"/>
    <w:rsid w:val="12106124"/>
    <w:rsid w:val="121A67F7"/>
    <w:rsid w:val="121E6D55"/>
    <w:rsid w:val="12361EE6"/>
    <w:rsid w:val="123A7798"/>
    <w:rsid w:val="12463148"/>
    <w:rsid w:val="12463290"/>
    <w:rsid w:val="12521AED"/>
    <w:rsid w:val="125D0492"/>
    <w:rsid w:val="125F72C4"/>
    <w:rsid w:val="12606131"/>
    <w:rsid w:val="12673C52"/>
    <w:rsid w:val="12675754"/>
    <w:rsid w:val="127203E1"/>
    <w:rsid w:val="12747CB6"/>
    <w:rsid w:val="12816DCD"/>
    <w:rsid w:val="128D6C4E"/>
    <w:rsid w:val="128F2599"/>
    <w:rsid w:val="129A47DB"/>
    <w:rsid w:val="12A06CFD"/>
    <w:rsid w:val="12BA7692"/>
    <w:rsid w:val="12BE6781"/>
    <w:rsid w:val="12C337FF"/>
    <w:rsid w:val="12DA1AE3"/>
    <w:rsid w:val="12DB5F87"/>
    <w:rsid w:val="12E20634"/>
    <w:rsid w:val="12E52961"/>
    <w:rsid w:val="12EF558E"/>
    <w:rsid w:val="12F708E7"/>
    <w:rsid w:val="13042897"/>
    <w:rsid w:val="13073187"/>
    <w:rsid w:val="13135A5E"/>
    <w:rsid w:val="1322502B"/>
    <w:rsid w:val="133667C6"/>
    <w:rsid w:val="13392CAD"/>
    <w:rsid w:val="133B55E0"/>
    <w:rsid w:val="13497394"/>
    <w:rsid w:val="134D0507"/>
    <w:rsid w:val="13573133"/>
    <w:rsid w:val="135C16EA"/>
    <w:rsid w:val="1360648C"/>
    <w:rsid w:val="13670B96"/>
    <w:rsid w:val="136A4749"/>
    <w:rsid w:val="136F65A9"/>
    <w:rsid w:val="138B67D2"/>
    <w:rsid w:val="138C0C3B"/>
    <w:rsid w:val="13A740BB"/>
    <w:rsid w:val="13AC54C1"/>
    <w:rsid w:val="13B660AC"/>
    <w:rsid w:val="13CF05E5"/>
    <w:rsid w:val="13F22478"/>
    <w:rsid w:val="13F57E55"/>
    <w:rsid w:val="13F6574B"/>
    <w:rsid w:val="13FD017F"/>
    <w:rsid w:val="140B63F8"/>
    <w:rsid w:val="14101C60"/>
    <w:rsid w:val="141379A2"/>
    <w:rsid w:val="141C5225"/>
    <w:rsid w:val="141F386C"/>
    <w:rsid w:val="1422074E"/>
    <w:rsid w:val="142536EE"/>
    <w:rsid w:val="14264812"/>
    <w:rsid w:val="143A0A8B"/>
    <w:rsid w:val="144759F9"/>
    <w:rsid w:val="14496F20"/>
    <w:rsid w:val="144C03FD"/>
    <w:rsid w:val="144D716D"/>
    <w:rsid w:val="14531B4D"/>
    <w:rsid w:val="14593607"/>
    <w:rsid w:val="145E0C1D"/>
    <w:rsid w:val="145F6743"/>
    <w:rsid w:val="14715373"/>
    <w:rsid w:val="1475227B"/>
    <w:rsid w:val="14753E02"/>
    <w:rsid w:val="14770200"/>
    <w:rsid w:val="14847F58"/>
    <w:rsid w:val="14865062"/>
    <w:rsid w:val="148748B0"/>
    <w:rsid w:val="14890FD0"/>
    <w:rsid w:val="14900FF3"/>
    <w:rsid w:val="149810D4"/>
    <w:rsid w:val="14991C55"/>
    <w:rsid w:val="14A803B6"/>
    <w:rsid w:val="14AD12E2"/>
    <w:rsid w:val="14B32F92"/>
    <w:rsid w:val="14C91E0F"/>
    <w:rsid w:val="14CC524A"/>
    <w:rsid w:val="14D013EF"/>
    <w:rsid w:val="14D13FBE"/>
    <w:rsid w:val="14DB226E"/>
    <w:rsid w:val="14E354CF"/>
    <w:rsid w:val="15026D87"/>
    <w:rsid w:val="15091250"/>
    <w:rsid w:val="150D5207"/>
    <w:rsid w:val="1514284F"/>
    <w:rsid w:val="151C4634"/>
    <w:rsid w:val="152359C3"/>
    <w:rsid w:val="153568B9"/>
    <w:rsid w:val="153C6A85"/>
    <w:rsid w:val="15461C4A"/>
    <w:rsid w:val="154B447A"/>
    <w:rsid w:val="155618F4"/>
    <w:rsid w:val="1574621E"/>
    <w:rsid w:val="15761F97"/>
    <w:rsid w:val="157955E3"/>
    <w:rsid w:val="157A077C"/>
    <w:rsid w:val="15826B8D"/>
    <w:rsid w:val="158346B4"/>
    <w:rsid w:val="15863E01"/>
    <w:rsid w:val="15915A30"/>
    <w:rsid w:val="15B96535"/>
    <w:rsid w:val="15C062DA"/>
    <w:rsid w:val="15CC1BB7"/>
    <w:rsid w:val="15CC7E09"/>
    <w:rsid w:val="15CE1DD3"/>
    <w:rsid w:val="15D34D63"/>
    <w:rsid w:val="15D651FB"/>
    <w:rsid w:val="15DD020B"/>
    <w:rsid w:val="15F01D49"/>
    <w:rsid w:val="15F86EC1"/>
    <w:rsid w:val="15FD6214"/>
    <w:rsid w:val="15FF01DE"/>
    <w:rsid w:val="16070E41"/>
    <w:rsid w:val="16201F02"/>
    <w:rsid w:val="16294419"/>
    <w:rsid w:val="163C6D3C"/>
    <w:rsid w:val="16405EB8"/>
    <w:rsid w:val="16465E0D"/>
    <w:rsid w:val="164E4CC1"/>
    <w:rsid w:val="165247B2"/>
    <w:rsid w:val="16526560"/>
    <w:rsid w:val="165A0836"/>
    <w:rsid w:val="165D25A4"/>
    <w:rsid w:val="165F0B90"/>
    <w:rsid w:val="166242C0"/>
    <w:rsid w:val="16630A8D"/>
    <w:rsid w:val="16656090"/>
    <w:rsid w:val="1666025D"/>
    <w:rsid w:val="166629FB"/>
    <w:rsid w:val="16785ADE"/>
    <w:rsid w:val="16785C0E"/>
    <w:rsid w:val="167D7355"/>
    <w:rsid w:val="168222AC"/>
    <w:rsid w:val="169052DA"/>
    <w:rsid w:val="16987866"/>
    <w:rsid w:val="16B27A0F"/>
    <w:rsid w:val="16CB1E6E"/>
    <w:rsid w:val="16DE4D83"/>
    <w:rsid w:val="16DF0D20"/>
    <w:rsid w:val="16E865F6"/>
    <w:rsid w:val="16F13FCB"/>
    <w:rsid w:val="16F21AF1"/>
    <w:rsid w:val="17146DC1"/>
    <w:rsid w:val="171750B3"/>
    <w:rsid w:val="17187539"/>
    <w:rsid w:val="172123D6"/>
    <w:rsid w:val="172372DF"/>
    <w:rsid w:val="172759D4"/>
    <w:rsid w:val="172779EC"/>
    <w:rsid w:val="173B424A"/>
    <w:rsid w:val="174073BA"/>
    <w:rsid w:val="17485BB5"/>
    <w:rsid w:val="174B5C64"/>
    <w:rsid w:val="174D08AC"/>
    <w:rsid w:val="175005C5"/>
    <w:rsid w:val="175809FB"/>
    <w:rsid w:val="17957DB8"/>
    <w:rsid w:val="179D1A5D"/>
    <w:rsid w:val="17BB1C9C"/>
    <w:rsid w:val="17C93BBA"/>
    <w:rsid w:val="17CF091B"/>
    <w:rsid w:val="17D411F6"/>
    <w:rsid w:val="17D54AEE"/>
    <w:rsid w:val="17D67B5E"/>
    <w:rsid w:val="17DC7726"/>
    <w:rsid w:val="17DF1BF6"/>
    <w:rsid w:val="17E35BFD"/>
    <w:rsid w:val="17EB6C6C"/>
    <w:rsid w:val="17EE050A"/>
    <w:rsid w:val="17F4237D"/>
    <w:rsid w:val="18023FB5"/>
    <w:rsid w:val="180970F2"/>
    <w:rsid w:val="1821121F"/>
    <w:rsid w:val="18291542"/>
    <w:rsid w:val="1840688C"/>
    <w:rsid w:val="18447CDC"/>
    <w:rsid w:val="184C6FDF"/>
    <w:rsid w:val="18537B27"/>
    <w:rsid w:val="18574301"/>
    <w:rsid w:val="185D12B3"/>
    <w:rsid w:val="186006EE"/>
    <w:rsid w:val="186662F2"/>
    <w:rsid w:val="186A2C2D"/>
    <w:rsid w:val="187744D2"/>
    <w:rsid w:val="18787DD4"/>
    <w:rsid w:val="18790C18"/>
    <w:rsid w:val="187D6141"/>
    <w:rsid w:val="188C55DA"/>
    <w:rsid w:val="1890336F"/>
    <w:rsid w:val="189B3AC2"/>
    <w:rsid w:val="18B5483C"/>
    <w:rsid w:val="18B828C6"/>
    <w:rsid w:val="18BD771F"/>
    <w:rsid w:val="18BF5EC1"/>
    <w:rsid w:val="18C33745"/>
    <w:rsid w:val="18CE5C46"/>
    <w:rsid w:val="18D04A32"/>
    <w:rsid w:val="18DA0A8E"/>
    <w:rsid w:val="18DA0ABF"/>
    <w:rsid w:val="18E37943"/>
    <w:rsid w:val="18F1400C"/>
    <w:rsid w:val="18F25DD8"/>
    <w:rsid w:val="18FA2EDF"/>
    <w:rsid w:val="18FE29CF"/>
    <w:rsid w:val="19054E08"/>
    <w:rsid w:val="190A1374"/>
    <w:rsid w:val="190D5E0F"/>
    <w:rsid w:val="191B38AB"/>
    <w:rsid w:val="19257F5C"/>
    <w:rsid w:val="192F2B88"/>
    <w:rsid w:val="1934019F"/>
    <w:rsid w:val="19393A07"/>
    <w:rsid w:val="193B777F"/>
    <w:rsid w:val="19406B43"/>
    <w:rsid w:val="194D74B2"/>
    <w:rsid w:val="19505714"/>
    <w:rsid w:val="19510D51"/>
    <w:rsid w:val="195E346D"/>
    <w:rsid w:val="19742C91"/>
    <w:rsid w:val="19866520"/>
    <w:rsid w:val="198729C4"/>
    <w:rsid w:val="1990113F"/>
    <w:rsid w:val="19941B3D"/>
    <w:rsid w:val="1997072D"/>
    <w:rsid w:val="1998697F"/>
    <w:rsid w:val="19B21636"/>
    <w:rsid w:val="19C332D1"/>
    <w:rsid w:val="19CF48DF"/>
    <w:rsid w:val="19CF6119"/>
    <w:rsid w:val="19D15CB8"/>
    <w:rsid w:val="19DD25E4"/>
    <w:rsid w:val="19E007B8"/>
    <w:rsid w:val="19E3762A"/>
    <w:rsid w:val="19E73463"/>
    <w:rsid w:val="19F1538B"/>
    <w:rsid w:val="19FB0CBC"/>
    <w:rsid w:val="1A0A2984"/>
    <w:rsid w:val="1A0C4C78"/>
    <w:rsid w:val="1A1A55E6"/>
    <w:rsid w:val="1A2C356C"/>
    <w:rsid w:val="1A2D3849"/>
    <w:rsid w:val="1A4A53FC"/>
    <w:rsid w:val="1A646862"/>
    <w:rsid w:val="1A736BF6"/>
    <w:rsid w:val="1A7A42D7"/>
    <w:rsid w:val="1A7B42C1"/>
    <w:rsid w:val="1A9001D7"/>
    <w:rsid w:val="1A92383E"/>
    <w:rsid w:val="1A945703"/>
    <w:rsid w:val="1A951111"/>
    <w:rsid w:val="1AAF4797"/>
    <w:rsid w:val="1AB11126"/>
    <w:rsid w:val="1AB53561"/>
    <w:rsid w:val="1AB570BD"/>
    <w:rsid w:val="1AB7151F"/>
    <w:rsid w:val="1ABD2416"/>
    <w:rsid w:val="1AC13CB4"/>
    <w:rsid w:val="1ADF4948"/>
    <w:rsid w:val="1AE17EB2"/>
    <w:rsid w:val="1AE9320B"/>
    <w:rsid w:val="1AF20F2C"/>
    <w:rsid w:val="1AFA28DA"/>
    <w:rsid w:val="1B03607B"/>
    <w:rsid w:val="1B0A5404"/>
    <w:rsid w:val="1B0D514B"/>
    <w:rsid w:val="1B1C6D5F"/>
    <w:rsid w:val="1B2143CF"/>
    <w:rsid w:val="1B2D10FF"/>
    <w:rsid w:val="1B475782"/>
    <w:rsid w:val="1B557B67"/>
    <w:rsid w:val="1B5814A4"/>
    <w:rsid w:val="1B5F26AB"/>
    <w:rsid w:val="1B685351"/>
    <w:rsid w:val="1B787546"/>
    <w:rsid w:val="1B7A3E63"/>
    <w:rsid w:val="1B7B31C2"/>
    <w:rsid w:val="1B7C2BC6"/>
    <w:rsid w:val="1B83540D"/>
    <w:rsid w:val="1B873E41"/>
    <w:rsid w:val="1BA41646"/>
    <w:rsid w:val="1BAA65CE"/>
    <w:rsid w:val="1BBB6955"/>
    <w:rsid w:val="1BBD75AF"/>
    <w:rsid w:val="1BC23855"/>
    <w:rsid w:val="1BC3580A"/>
    <w:rsid w:val="1BD641FE"/>
    <w:rsid w:val="1BDB2B53"/>
    <w:rsid w:val="1BE13EE2"/>
    <w:rsid w:val="1BEF4796"/>
    <w:rsid w:val="1BF43C15"/>
    <w:rsid w:val="1BF81957"/>
    <w:rsid w:val="1BF954D1"/>
    <w:rsid w:val="1C0C0F5F"/>
    <w:rsid w:val="1C1E121E"/>
    <w:rsid w:val="1C1E4C5B"/>
    <w:rsid w:val="1C202C5C"/>
    <w:rsid w:val="1C286450"/>
    <w:rsid w:val="1C292298"/>
    <w:rsid w:val="1C2A55AA"/>
    <w:rsid w:val="1C3D55BC"/>
    <w:rsid w:val="1C3F609F"/>
    <w:rsid w:val="1C5D5C5E"/>
    <w:rsid w:val="1C626DD1"/>
    <w:rsid w:val="1C640D9B"/>
    <w:rsid w:val="1C6A3ED7"/>
    <w:rsid w:val="1C8A0079"/>
    <w:rsid w:val="1C8B7FE4"/>
    <w:rsid w:val="1C96043F"/>
    <w:rsid w:val="1CBC581E"/>
    <w:rsid w:val="1CC21858"/>
    <w:rsid w:val="1CC75664"/>
    <w:rsid w:val="1CD221A8"/>
    <w:rsid w:val="1CD37CCF"/>
    <w:rsid w:val="1CE7377A"/>
    <w:rsid w:val="1CE974F2"/>
    <w:rsid w:val="1CF163A7"/>
    <w:rsid w:val="1CF20830"/>
    <w:rsid w:val="1CF51591"/>
    <w:rsid w:val="1CF67A42"/>
    <w:rsid w:val="1CFA16FF"/>
    <w:rsid w:val="1D036806"/>
    <w:rsid w:val="1D0C3793"/>
    <w:rsid w:val="1D102CD1"/>
    <w:rsid w:val="1D161FE2"/>
    <w:rsid w:val="1D1B2442"/>
    <w:rsid w:val="1D2C5C35"/>
    <w:rsid w:val="1D2D7D61"/>
    <w:rsid w:val="1D2F75FB"/>
    <w:rsid w:val="1D352737"/>
    <w:rsid w:val="1D383FD6"/>
    <w:rsid w:val="1D4E37F9"/>
    <w:rsid w:val="1D4F36FD"/>
    <w:rsid w:val="1D50131F"/>
    <w:rsid w:val="1D515E52"/>
    <w:rsid w:val="1D517755"/>
    <w:rsid w:val="1D526E45"/>
    <w:rsid w:val="1D5A03F0"/>
    <w:rsid w:val="1D5C4168"/>
    <w:rsid w:val="1D64686F"/>
    <w:rsid w:val="1D6A0E36"/>
    <w:rsid w:val="1D6D3C7F"/>
    <w:rsid w:val="1D6F3E9B"/>
    <w:rsid w:val="1D711F41"/>
    <w:rsid w:val="1D7A45EE"/>
    <w:rsid w:val="1D85574E"/>
    <w:rsid w:val="1D886D0B"/>
    <w:rsid w:val="1D94745E"/>
    <w:rsid w:val="1D9900B6"/>
    <w:rsid w:val="1D9B4C90"/>
    <w:rsid w:val="1DBE50BB"/>
    <w:rsid w:val="1DC4555A"/>
    <w:rsid w:val="1DCD3911"/>
    <w:rsid w:val="1DD12044"/>
    <w:rsid w:val="1DD261D8"/>
    <w:rsid w:val="1DE1641B"/>
    <w:rsid w:val="1DE5415D"/>
    <w:rsid w:val="1DE72767"/>
    <w:rsid w:val="1DEF6D8A"/>
    <w:rsid w:val="1DF3687A"/>
    <w:rsid w:val="1DFB74DD"/>
    <w:rsid w:val="1DFD44DE"/>
    <w:rsid w:val="1E0711CD"/>
    <w:rsid w:val="1E0B35BF"/>
    <w:rsid w:val="1E0D6FC5"/>
    <w:rsid w:val="1E107C03"/>
    <w:rsid w:val="1E124827"/>
    <w:rsid w:val="1E171E3D"/>
    <w:rsid w:val="1E270E6C"/>
    <w:rsid w:val="1E2A7DC2"/>
    <w:rsid w:val="1E312A87"/>
    <w:rsid w:val="1E320A25"/>
    <w:rsid w:val="1E360515"/>
    <w:rsid w:val="1E4E7A3B"/>
    <w:rsid w:val="1E51385F"/>
    <w:rsid w:val="1E551568"/>
    <w:rsid w:val="1E5A3DEC"/>
    <w:rsid w:val="1E660479"/>
    <w:rsid w:val="1E6C2189"/>
    <w:rsid w:val="1E6E5F01"/>
    <w:rsid w:val="1E6E7DA4"/>
    <w:rsid w:val="1E723E77"/>
    <w:rsid w:val="1E733517"/>
    <w:rsid w:val="1E7A2AF8"/>
    <w:rsid w:val="1E7A3019"/>
    <w:rsid w:val="1E8C282B"/>
    <w:rsid w:val="1E8F1902"/>
    <w:rsid w:val="1E9276E5"/>
    <w:rsid w:val="1E9A6CF6"/>
    <w:rsid w:val="1E9F255E"/>
    <w:rsid w:val="1E9F4D1A"/>
    <w:rsid w:val="1EA069EA"/>
    <w:rsid w:val="1EAA1C73"/>
    <w:rsid w:val="1EAF16F6"/>
    <w:rsid w:val="1EB108E4"/>
    <w:rsid w:val="1EC0660D"/>
    <w:rsid w:val="1EC27FFB"/>
    <w:rsid w:val="1ECB3353"/>
    <w:rsid w:val="1ED33FB6"/>
    <w:rsid w:val="1ED64675"/>
    <w:rsid w:val="1EDB2FE2"/>
    <w:rsid w:val="1EE241F9"/>
    <w:rsid w:val="1EE33A27"/>
    <w:rsid w:val="1EE75CB3"/>
    <w:rsid w:val="1EF04B68"/>
    <w:rsid w:val="1EFE632C"/>
    <w:rsid w:val="1EFF124F"/>
    <w:rsid w:val="1F016D75"/>
    <w:rsid w:val="1F0814AD"/>
    <w:rsid w:val="1F1D7CC8"/>
    <w:rsid w:val="1F1F544D"/>
    <w:rsid w:val="1F43738D"/>
    <w:rsid w:val="1F482454"/>
    <w:rsid w:val="1F484EC4"/>
    <w:rsid w:val="1F494278"/>
    <w:rsid w:val="1F4B090D"/>
    <w:rsid w:val="1F58036D"/>
    <w:rsid w:val="1F59095F"/>
    <w:rsid w:val="1F657494"/>
    <w:rsid w:val="1F6D0842"/>
    <w:rsid w:val="1F745799"/>
    <w:rsid w:val="1F802760"/>
    <w:rsid w:val="1F8654CC"/>
    <w:rsid w:val="1F8A262C"/>
    <w:rsid w:val="1F8E612F"/>
    <w:rsid w:val="1F9614A3"/>
    <w:rsid w:val="1F9F20EA"/>
    <w:rsid w:val="1FA009DE"/>
    <w:rsid w:val="1FB43DE7"/>
    <w:rsid w:val="1FBB33C8"/>
    <w:rsid w:val="1FBC1A21"/>
    <w:rsid w:val="1FBC2C9C"/>
    <w:rsid w:val="1FCA26FF"/>
    <w:rsid w:val="1FD208B1"/>
    <w:rsid w:val="1FE166AE"/>
    <w:rsid w:val="1FE7192A"/>
    <w:rsid w:val="1FED10A7"/>
    <w:rsid w:val="1FF40688"/>
    <w:rsid w:val="200A1C59"/>
    <w:rsid w:val="200D2B71"/>
    <w:rsid w:val="200D34F7"/>
    <w:rsid w:val="201258F6"/>
    <w:rsid w:val="20176124"/>
    <w:rsid w:val="201900EE"/>
    <w:rsid w:val="201E74B3"/>
    <w:rsid w:val="20241885"/>
    <w:rsid w:val="202D3B9A"/>
    <w:rsid w:val="20384A18"/>
    <w:rsid w:val="203C01AA"/>
    <w:rsid w:val="20511636"/>
    <w:rsid w:val="20635EA1"/>
    <w:rsid w:val="20692E24"/>
    <w:rsid w:val="20711CD8"/>
    <w:rsid w:val="20743577"/>
    <w:rsid w:val="20755B40"/>
    <w:rsid w:val="207870C0"/>
    <w:rsid w:val="208F03B0"/>
    <w:rsid w:val="20930F83"/>
    <w:rsid w:val="20A65983"/>
    <w:rsid w:val="20AB04FB"/>
    <w:rsid w:val="20B87199"/>
    <w:rsid w:val="20C20786"/>
    <w:rsid w:val="20D858B3"/>
    <w:rsid w:val="20F7171C"/>
    <w:rsid w:val="20F841A8"/>
    <w:rsid w:val="21075EA6"/>
    <w:rsid w:val="210C7C53"/>
    <w:rsid w:val="210D2B5A"/>
    <w:rsid w:val="21104959"/>
    <w:rsid w:val="211351D9"/>
    <w:rsid w:val="211469CB"/>
    <w:rsid w:val="21196F9F"/>
    <w:rsid w:val="21213308"/>
    <w:rsid w:val="213522B3"/>
    <w:rsid w:val="21425423"/>
    <w:rsid w:val="2144119B"/>
    <w:rsid w:val="21532969"/>
    <w:rsid w:val="21535882"/>
    <w:rsid w:val="21577120"/>
    <w:rsid w:val="216655B5"/>
    <w:rsid w:val="216D6944"/>
    <w:rsid w:val="21815F4B"/>
    <w:rsid w:val="21843EDE"/>
    <w:rsid w:val="218D2B42"/>
    <w:rsid w:val="21937A2C"/>
    <w:rsid w:val="21966DC4"/>
    <w:rsid w:val="21986917"/>
    <w:rsid w:val="219A700D"/>
    <w:rsid w:val="219F7D27"/>
    <w:rsid w:val="21A165ED"/>
    <w:rsid w:val="21AA5120"/>
    <w:rsid w:val="21B207FA"/>
    <w:rsid w:val="21B84A9A"/>
    <w:rsid w:val="21C35847"/>
    <w:rsid w:val="21D172E3"/>
    <w:rsid w:val="21D267A7"/>
    <w:rsid w:val="21E352ED"/>
    <w:rsid w:val="21E36384"/>
    <w:rsid w:val="21E50FFC"/>
    <w:rsid w:val="21E67BA7"/>
    <w:rsid w:val="21F512EF"/>
    <w:rsid w:val="21FD0BA1"/>
    <w:rsid w:val="220D375C"/>
    <w:rsid w:val="2221328A"/>
    <w:rsid w:val="2221772E"/>
    <w:rsid w:val="22245E9F"/>
    <w:rsid w:val="222A485E"/>
    <w:rsid w:val="222A7529"/>
    <w:rsid w:val="222D1C2F"/>
    <w:rsid w:val="222E479A"/>
    <w:rsid w:val="222F6821"/>
    <w:rsid w:val="22460F5F"/>
    <w:rsid w:val="224F7DF7"/>
    <w:rsid w:val="22513B6F"/>
    <w:rsid w:val="225D6E18"/>
    <w:rsid w:val="22625D7D"/>
    <w:rsid w:val="22684860"/>
    <w:rsid w:val="226F0499"/>
    <w:rsid w:val="227265A3"/>
    <w:rsid w:val="227C4964"/>
    <w:rsid w:val="22807A5E"/>
    <w:rsid w:val="228C4BA7"/>
    <w:rsid w:val="229323DA"/>
    <w:rsid w:val="22A05692"/>
    <w:rsid w:val="22A52070"/>
    <w:rsid w:val="22AC3644"/>
    <w:rsid w:val="22B60C38"/>
    <w:rsid w:val="22B62BF6"/>
    <w:rsid w:val="22BC1C76"/>
    <w:rsid w:val="22CF2CE6"/>
    <w:rsid w:val="22CF611B"/>
    <w:rsid w:val="22DE117B"/>
    <w:rsid w:val="22E03145"/>
    <w:rsid w:val="22E63BF5"/>
    <w:rsid w:val="22F741AF"/>
    <w:rsid w:val="22FF351C"/>
    <w:rsid w:val="22FF3BB7"/>
    <w:rsid w:val="230B6414"/>
    <w:rsid w:val="230E7CB2"/>
    <w:rsid w:val="23121C4A"/>
    <w:rsid w:val="23372ABA"/>
    <w:rsid w:val="233C2402"/>
    <w:rsid w:val="23472E2D"/>
    <w:rsid w:val="234C73A3"/>
    <w:rsid w:val="235558E1"/>
    <w:rsid w:val="2361620F"/>
    <w:rsid w:val="236B64A0"/>
    <w:rsid w:val="236F7F4F"/>
    <w:rsid w:val="237815D0"/>
    <w:rsid w:val="237D2742"/>
    <w:rsid w:val="23812232"/>
    <w:rsid w:val="238849B0"/>
    <w:rsid w:val="238A5611"/>
    <w:rsid w:val="238F21A2"/>
    <w:rsid w:val="239C706C"/>
    <w:rsid w:val="23B2067F"/>
    <w:rsid w:val="23BC326A"/>
    <w:rsid w:val="23BF1896"/>
    <w:rsid w:val="23BF2D5B"/>
    <w:rsid w:val="23CA00C1"/>
    <w:rsid w:val="23D06D16"/>
    <w:rsid w:val="23D17AB2"/>
    <w:rsid w:val="23D9206E"/>
    <w:rsid w:val="23E4554C"/>
    <w:rsid w:val="23E55DEC"/>
    <w:rsid w:val="23EC5C89"/>
    <w:rsid w:val="23FA3D93"/>
    <w:rsid w:val="240510B5"/>
    <w:rsid w:val="240D1D18"/>
    <w:rsid w:val="24284DA4"/>
    <w:rsid w:val="243F3E9B"/>
    <w:rsid w:val="24415E66"/>
    <w:rsid w:val="244514B2"/>
    <w:rsid w:val="24482D50"/>
    <w:rsid w:val="244B0A92"/>
    <w:rsid w:val="244B45EE"/>
    <w:rsid w:val="2455546D"/>
    <w:rsid w:val="245A4463"/>
    <w:rsid w:val="24741D97"/>
    <w:rsid w:val="24822706"/>
    <w:rsid w:val="2483022C"/>
    <w:rsid w:val="248A3369"/>
    <w:rsid w:val="249B7324"/>
    <w:rsid w:val="24A04C2E"/>
    <w:rsid w:val="24A26904"/>
    <w:rsid w:val="24A40FD5"/>
    <w:rsid w:val="24AC34CC"/>
    <w:rsid w:val="24B108F5"/>
    <w:rsid w:val="24B37D77"/>
    <w:rsid w:val="24F32749"/>
    <w:rsid w:val="24FD7A6A"/>
    <w:rsid w:val="2501523B"/>
    <w:rsid w:val="25034EC9"/>
    <w:rsid w:val="250C1FD0"/>
    <w:rsid w:val="252235A1"/>
    <w:rsid w:val="25234F5C"/>
    <w:rsid w:val="253306F3"/>
    <w:rsid w:val="2547509E"/>
    <w:rsid w:val="25495722"/>
    <w:rsid w:val="25513A28"/>
    <w:rsid w:val="25544061"/>
    <w:rsid w:val="25576833"/>
    <w:rsid w:val="2559461D"/>
    <w:rsid w:val="25695674"/>
    <w:rsid w:val="256E2C8A"/>
    <w:rsid w:val="2576465A"/>
    <w:rsid w:val="25845869"/>
    <w:rsid w:val="2588648A"/>
    <w:rsid w:val="259717C3"/>
    <w:rsid w:val="259C15A5"/>
    <w:rsid w:val="25A602EE"/>
    <w:rsid w:val="25A829F7"/>
    <w:rsid w:val="25AA4B69"/>
    <w:rsid w:val="25BB72E5"/>
    <w:rsid w:val="25BC1498"/>
    <w:rsid w:val="25BF7042"/>
    <w:rsid w:val="25C10B4D"/>
    <w:rsid w:val="25C563BE"/>
    <w:rsid w:val="25C639F0"/>
    <w:rsid w:val="25CE280B"/>
    <w:rsid w:val="25CE3A73"/>
    <w:rsid w:val="25D23219"/>
    <w:rsid w:val="25D80ECC"/>
    <w:rsid w:val="25DA3E7C"/>
    <w:rsid w:val="25E20F82"/>
    <w:rsid w:val="25EB2378"/>
    <w:rsid w:val="25F0544D"/>
    <w:rsid w:val="25F25669"/>
    <w:rsid w:val="25F4285C"/>
    <w:rsid w:val="25F807A6"/>
    <w:rsid w:val="25FD5DBC"/>
    <w:rsid w:val="25FF52A0"/>
    <w:rsid w:val="26025BD8"/>
    <w:rsid w:val="2604539D"/>
    <w:rsid w:val="260739EE"/>
    <w:rsid w:val="260F621B"/>
    <w:rsid w:val="26153106"/>
    <w:rsid w:val="261849A4"/>
    <w:rsid w:val="26323CB8"/>
    <w:rsid w:val="263A0385"/>
    <w:rsid w:val="263E440B"/>
    <w:rsid w:val="26592CCB"/>
    <w:rsid w:val="265B65EF"/>
    <w:rsid w:val="267267AA"/>
    <w:rsid w:val="26770792"/>
    <w:rsid w:val="26783810"/>
    <w:rsid w:val="267C748B"/>
    <w:rsid w:val="268564DD"/>
    <w:rsid w:val="268D166B"/>
    <w:rsid w:val="26931497"/>
    <w:rsid w:val="269404CF"/>
    <w:rsid w:val="26A1532E"/>
    <w:rsid w:val="26A7622F"/>
    <w:rsid w:val="26A975AE"/>
    <w:rsid w:val="26B513CD"/>
    <w:rsid w:val="26B80661"/>
    <w:rsid w:val="26D22DA5"/>
    <w:rsid w:val="26D433A9"/>
    <w:rsid w:val="26EA00EF"/>
    <w:rsid w:val="26EF3957"/>
    <w:rsid w:val="26FC6074"/>
    <w:rsid w:val="26FD2819"/>
    <w:rsid w:val="27004F2D"/>
    <w:rsid w:val="27044902"/>
    <w:rsid w:val="270D0281"/>
    <w:rsid w:val="27117D71"/>
    <w:rsid w:val="27176C75"/>
    <w:rsid w:val="2725381D"/>
    <w:rsid w:val="27275A6D"/>
    <w:rsid w:val="27435A51"/>
    <w:rsid w:val="27567CFE"/>
    <w:rsid w:val="276F1C0A"/>
    <w:rsid w:val="27787DF0"/>
    <w:rsid w:val="277B168E"/>
    <w:rsid w:val="278715A9"/>
    <w:rsid w:val="27982240"/>
    <w:rsid w:val="27A56B65"/>
    <w:rsid w:val="27BF157B"/>
    <w:rsid w:val="27C46B92"/>
    <w:rsid w:val="27C77756"/>
    <w:rsid w:val="27D50D9F"/>
    <w:rsid w:val="27DD681C"/>
    <w:rsid w:val="27E17743"/>
    <w:rsid w:val="27E2170E"/>
    <w:rsid w:val="27E979AE"/>
    <w:rsid w:val="27ED433A"/>
    <w:rsid w:val="27F778AF"/>
    <w:rsid w:val="2801722B"/>
    <w:rsid w:val="280E50BA"/>
    <w:rsid w:val="28100029"/>
    <w:rsid w:val="28123DA1"/>
    <w:rsid w:val="28174877"/>
    <w:rsid w:val="281D4B0C"/>
    <w:rsid w:val="281D62A2"/>
    <w:rsid w:val="282A62F9"/>
    <w:rsid w:val="282B38D4"/>
    <w:rsid w:val="28577DB4"/>
    <w:rsid w:val="285A74F6"/>
    <w:rsid w:val="285C326E"/>
    <w:rsid w:val="28650E55"/>
    <w:rsid w:val="286914E7"/>
    <w:rsid w:val="286921C0"/>
    <w:rsid w:val="28743174"/>
    <w:rsid w:val="28757E8C"/>
    <w:rsid w:val="288527C5"/>
    <w:rsid w:val="288B064A"/>
    <w:rsid w:val="288F719F"/>
    <w:rsid w:val="28917312"/>
    <w:rsid w:val="289522DC"/>
    <w:rsid w:val="289A45A5"/>
    <w:rsid w:val="289C3A4B"/>
    <w:rsid w:val="28A37EB7"/>
    <w:rsid w:val="28AF15F0"/>
    <w:rsid w:val="28C32D0A"/>
    <w:rsid w:val="28C52BC1"/>
    <w:rsid w:val="28C826B1"/>
    <w:rsid w:val="28DA4FB6"/>
    <w:rsid w:val="28DA7BC4"/>
    <w:rsid w:val="28EC333E"/>
    <w:rsid w:val="29087CEA"/>
    <w:rsid w:val="29186D15"/>
    <w:rsid w:val="292A357A"/>
    <w:rsid w:val="292C49EE"/>
    <w:rsid w:val="293146FB"/>
    <w:rsid w:val="293E0BC6"/>
    <w:rsid w:val="2947140A"/>
    <w:rsid w:val="294855A0"/>
    <w:rsid w:val="29491A44"/>
    <w:rsid w:val="294E204F"/>
    <w:rsid w:val="295A3FEC"/>
    <w:rsid w:val="296D11C8"/>
    <w:rsid w:val="297A40A9"/>
    <w:rsid w:val="29824F56"/>
    <w:rsid w:val="298962E5"/>
    <w:rsid w:val="29916F47"/>
    <w:rsid w:val="29947CDE"/>
    <w:rsid w:val="299627B0"/>
    <w:rsid w:val="29A0362E"/>
    <w:rsid w:val="29A21154"/>
    <w:rsid w:val="29A924E3"/>
    <w:rsid w:val="29AC79A2"/>
    <w:rsid w:val="29B61441"/>
    <w:rsid w:val="29BC7AB1"/>
    <w:rsid w:val="29C06B3C"/>
    <w:rsid w:val="29C15A7E"/>
    <w:rsid w:val="29C43714"/>
    <w:rsid w:val="29C54E43"/>
    <w:rsid w:val="29CF01FB"/>
    <w:rsid w:val="29D05CC2"/>
    <w:rsid w:val="29D532D8"/>
    <w:rsid w:val="29E654E5"/>
    <w:rsid w:val="29E7300B"/>
    <w:rsid w:val="29F01EC0"/>
    <w:rsid w:val="29F23E8A"/>
    <w:rsid w:val="2A071C5F"/>
    <w:rsid w:val="2A097414"/>
    <w:rsid w:val="2A0B2964"/>
    <w:rsid w:val="2A164A43"/>
    <w:rsid w:val="2A1752BF"/>
    <w:rsid w:val="2A1F27A5"/>
    <w:rsid w:val="2A216A00"/>
    <w:rsid w:val="2A2B2EF8"/>
    <w:rsid w:val="2A315C6B"/>
    <w:rsid w:val="2A37261C"/>
    <w:rsid w:val="2A396AEF"/>
    <w:rsid w:val="2A3D421A"/>
    <w:rsid w:val="2A4A4D9B"/>
    <w:rsid w:val="2A587A65"/>
    <w:rsid w:val="2A5A37DD"/>
    <w:rsid w:val="2A5E151F"/>
    <w:rsid w:val="2A686B64"/>
    <w:rsid w:val="2A710990"/>
    <w:rsid w:val="2A711A78"/>
    <w:rsid w:val="2A783C63"/>
    <w:rsid w:val="2A794DC8"/>
    <w:rsid w:val="2A7C19A5"/>
    <w:rsid w:val="2A856487"/>
    <w:rsid w:val="2A88034A"/>
    <w:rsid w:val="2A88676C"/>
    <w:rsid w:val="2A8F792B"/>
    <w:rsid w:val="2A981693"/>
    <w:rsid w:val="2A9A2D4D"/>
    <w:rsid w:val="2A9C5BA4"/>
    <w:rsid w:val="2AA66A22"/>
    <w:rsid w:val="2AAE58D7"/>
    <w:rsid w:val="2ABE6B5E"/>
    <w:rsid w:val="2ABF2517"/>
    <w:rsid w:val="2AC51F3F"/>
    <w:rsid w:val="2ACD49DB"/>
    <w:rsid w:val="2AD15937"/>
    <w:rsid w:val="2ADC2444"/>
    <w:rsid w:val="2ADF302A"/>
    <w:rsid w:val="2AE96A66"/>
    <w:rsid w:val="2AEA4B61"/>
    <w:rsid w:val="2AF958EE"/>
    <w:rsid w:val="2B0B4AD7"/>
    <w:rsid w:val="2B14398C"/>
    <w:rsid w:val="2B276A61"/>
    <w:rsid w:val="2B400C25"/>
    <w:rsid w:val="2B436A7B"/>
    <w:rsid w:val="2B620B9B"/>
    <w:rsid w:val="2B623130"/>
    <w:rsid w:val="2B7060E0"/>
    <w:rsid w:val="2B92679B"/>
    <w:rsid w:val="2BA80B1B"/>
    <w:rsid w:val="2BB051E8"/>
    <w:rsid w:val="2BB47E72"/>
    <w:rsid w:val="2BBB23A1"/>
    <w:rsid w:val="2BBF7D02"/>
    <w:rsid w:val="2BC2788C"/>
    <w:rsid w:val="2BC96303"/>
    <w:rsid w:val="2BD82C0B"/>
    <w:rsid w:val="2BE53589"/>
    <w:rsid w:val="2BE75D73"/>
    <w:rsid w:val="2C0302D7"/>
    <w:rsid w:val="2C067B31"/>
    <w:rsid w:val="2C093ADB"/>
    <w:rsid w:val="2C155C0E"/>
    <w:rsid w:val="2C1A3BEF"/>
    <w:rsid w:val="2C2230F3"/>
    <w:rsid w:val="2C273B93"/>
    <w:rsid w:val="2C286EAE"/>
    <w:rsid w:val="2C2E4F21"/>
    <w:rsid w:val="2C332538"/>
    <w:rsid w:val="2C352E15"/>
    <w:rsid w:val="2C360B37"/>
    <w:rsid w:val="2C493B09"/>
    <w:rsid w:val="2C4B5AD3"/>
    <w:rsid w:val="2C4D0768"/>
    <w:rsid w:val="2C5460E7"/>
    <w:rsid w:val="2C6553C6"/>
    <w:rsid w:val="2C7212B2"/>
    <w:rsid w:val="2C762C1E"/>
    <w:rsid w:val="2C7937F9"/>
    <w:rsid w:val="2C90798A"/>
    <w:rsid w:val="2C9319AC"/>
    <w:rsid w:val="2CA068E2"/>
    <w:rsid w:val="2CA0703A"/>
    <w:rsid w:val="2CA60F5C"/>
    <w:rsid w:val="2CB00A40"/>
    <w:rsid w:val="2CB31DED"/>
    <w:rsid w:val="2CB909B2"/>
    <w:rsid w:val="2CC6515A"/>
    <w:rsid w:val="2CCC7ACC"/>
    <w:rsid w:val="2CD05FD9"/>
    <w:rsid w:val="2CDB78FC"/>
    <w:rsid w:val="2CDC2BCF"/>
    <w:rsid w:val="2CDF7FCA"/>
    <w:rsid w:val="2D0C7BA9"/>
    <w:rsid w:val="2D1352EC"/>
    <w:rsid w:val="2D151C3D"/>
    <w:rsid w:val="2D1B1E3D"/>
    <w:rsid w:val="2D2B2EF1"/>
    <w:rsid w:val="2D3645EC"/>
    <w:rsid w:val="2D3D26F6"/>
    <w:rsid w:val="2D40315E"/>
    <w:rsid w:val="2D416021"/>
    <w:rsid w:val="2D44131A"/>
    <w:rsid w:val="2D482B8E"/>
    <w:rsid w:val="2D5453FF"/>
    <w:rsid w:val="2D566F27"/>
    <w:rsid w:val="2D6F2AA8"/>
    <w:rsid w:val="2D720E3E"/>
    <w:rsid w:val="2D784614"/>
    <w:rsid w:val="2D881A5E"/>
    <w:rsid w:val="2DA07759"/>
    <w:rsid w:val="2DA55028"/>
    <w:rsid w:val="2DC84F02"/>
    <w:rsid w:val="2DCC49F2"/>
    <w:rsid w:val="2DCE5764"/>
    <w:rsid w:val="2DD80383"/>
    <w:rsid w:val="2DD84202"/>
    <w:rsid w:val="2DEF248E"/>
    <w:rsid w:val="2DF556D3"/>
    <w:rsid w:val="2DFA1179"/>
    <w:rsid w:val="2DFA155F"/>
    <w:rsid w:val="2E0933E8"/>
    <w:rsid w:val="2E1B3283"/>
    <w:rsid w:val="2E232C07"/>
    <w:rsid w:val="2E242BEF"/>
    <w:rsid w:val="2E261638"/>
    <w:rsid w:val="2E2E6E37"/>
    <w:rsid w:val="2E394CBC"/>
    <w:rsid w:val="2E4C3C72"/>
    <w:rsid w:val="2E4D166B"/>
    <w:rsid w:val="2E5F7F68"/>
    <w:rsid w:val="2E6115DE"/>
    <w:rsid w:val="2E715A79"/>
    <w:rsid w:val="2E78283A"/>
    <w:rsid w:val="2E786928"/>
    <w:rsid w:val="2E823302"/>
    <w:rsid w:val="2E861045"/>
    <w:rsid w:val="2E8A4120"/>
    <w:rsid w:val="2E8C4181"/>
    <w:rsid w:val="2E962069"/>
    <w:rsid w:val="2E9C2616"/>
    <w:rsid w:val="2E9E396B"/>
    <w:rsid w:val="2EA17C2D"/>
    <w:rsid w:val="2EA30009"/>
    <w:rsid w:val="2EA53B43"/>
    <w:rsid w:val="2EA57DEA"/>
    <w:rsid w:val="2EAE5EA6"/>
    <w:rsid w:val="2EB45BB2"/>
    <w:rsid w:val="2EBF00B3"/>
    <w:rsid w:val="2EBF35C8"/>
    <w:rsid w:val="2EC77CBD"/>
    <w:rsid w:val="2EC92CDF"/>
    <w:rsid w:val="2EE55C9B"/>
    <w:rsid w:val="2EEB6541"/>
    <w:rsid w:val="2F041F69"/>
    <w:rsid w:val="2F0B154A"/>
    <w:rsid w:val="2F0F5FD2"/>
    <w:rsid w:val="2F1F6DA3"/>
    <w:rsid w:val="2F2B04CE"/>
    <w:rsid w:val="2F2F2D1A"/>
    <w:rsid w:val="2F334B7D"/>
    <w:rsid w:val="2F3F6194"/>
    <w:rsid w:val="2F5349FA"/>
    <w:rsid w:val="2F646634"/>
    <w:rsid w:val="2F70362E"/>
    <w:rsid w:val="2F7E7C47"/>
    <w:rsid w:val="2F967065"/>
    <w:rsid w:val="2F990904"/>
    <w:rsid w:val="2F9D6E59"/>
    <w:rsid w:val="2FA559DC"/>
    <w:rsid w:val="2FAE2162"/>
    <w:rsid w:val="2FB20156"/>
    <w:rsid w:val="2FBE3FA9"/>
    <w:rsid w:val="2FC65B8F"/>
    <w:rsid w:val="2FD656B4"/>
    <w:rsid w:val="2FD86A6C"/>
    <w:rsid w:val="2FDB0F1C"/>
    <w:rsid w:val="2FDC66D3"/>
    <w:rsid w:val="2FDD35A4"/>
    <w:rsid w:val="2FE3207F"/>
    <w:rsid w:val="2FE34275"/>
    <w:rsid w:val="2FE778C1"/>
    <w:rsid w:val="2FE84ADF"/>
    <w:rsid w:val="2FE9188B"/>
    <w:rsid w:val="3011493E"/>
    <w:rsid w:val="30136908"/>
    <w:rsid w:val="302208F9"/>
    <w:rsid w:val="3038011D"/>
    <w:rsid w:val="303845D3"/>
    <w:rsid w:val="303D7AB2"/>
    <w:rsid w:val="30484320"/>
    <w:rsid w:val="30537599"/>
    <w:rsid w:val="3053761B"/>
    <w:rsid w:val="305D4027"/>
    <w:rsid w:val="305F5180"/>
    <w:rsid w:val="30676C54"/>
    <w:rsid w:val="30743357"/>
    <w:rsid w:val="30760C45"/>
    <w:rsid w:val="30766E97"/>
    <w:rsid w:val="307D0225"/>
    <w:rsid w:val="30912287"/>
    <w:rsid w:val="30917F0A"/>
    <w:rsid w:val="309F1D82"/>
    <w:rsid w:val="30A05CC2"/>
    <w:rsid w:val="30B05824"/>
    <w:rsid w:val="30B11C7D"/>
    <w:rsid w:val="30B32D60"/>
    <w:rsid w:val="30B74E97"/>
    <w:rsid w:val="30BA6D84"/>
    <w:rsid w:val="30BD5AF3"/>
    <w:rsid w:val="30BF083E"/>
    <w:rsid w:val="30D53BBD"/>
    <w:rsid w:val="30DA11D4"/>
    <w:rsid w:val="30ED53AB"/>
    <w:rsid w:val="30F00E2F"/>
    <w:rsid w:val="30F878AC"/>
    <w:rsid w:val="3102588C"/>
    <w:rsid w:val="31112EA7"/>
    <w:rsid w:val="311136D8"/>
    <w:rsid w:val="31122C0B"/>
    <w:rsid w:val="311346E6"/>
    <w:rsid w:val="31140B8A"/>
    <w:rsid w:val="31241555"/>
    <w:rsid w:val="312D3E8F"/>
    <w:rsid w:val="3136355C"/>
    <w:rsid w:val="31430DC2"/>
    <w:rsid w:val="314B3E80"/>
    <w:rsid w:val="314B7076"/>
    <w:rsid w:val="314E310A"/>
    <w:rsid w:val="314E377D"/>
    <w:rsid w:val="31521537"/>
    <w:rsid w:val="31535609"/>
    <w:rsid w:val="31580EB7"/>
    <w:rsid w:val="31615451"/>
    <w:rsid w:val="3175714F"/>
    <w:rsid w:val="317E3BB9"/>
    <w:rsid w:val="31864EB8"/>
    <w:rsid w:val="31885C6E"/>
    <w:rsid w:val="318D7F05"/>
    <w:rsid w:val="31920402"/>
    <w:rsid w:val="31952AB0"/>
    <w:rsid w:val="31A41A74"/>
    <w:rsid w:val="31A87F4C"/>
    <w:rsid w:val="31C3435E"/>
    <w:rsid w:val="31CB4711"/>
    <w:rsid w:val="31DE6AA2"/>
    <w:rsid w:val="31EB18B5"/>
    <w:rsid w:val="31ED4F37"/>
    <w:rsid w:val="31F14DBF"/>
    <w:rsid w:val="31F22E29"/>
    <w:rsid w:val="31F97D80"/>
    <w:rsid w:val="31FC0E14"/>
    <w:rsid w:val="32012278"/>
    <w:rsid w:val="32026C34"/>
    <w:rsid w:val="32133124"/>
    <w:rsid w:val="3215559D"/>
    <w:rsid w:val="3216282E"/>
    <w:rsid w:val="321932D9"/>
    <w:rsid w:val="32321DDA"/>
    <w:rsid w:val="3234700A"/>
    <w:rsid w:val="323B60CC"/>
    <w:rsid w:val="324C09E6"/>
    <w:rsid w:val="32565234"/>
    <w:rsid w:val="325D20BC"/>
    <w:rsid w:val="32625925"/>
    <w:rsid w:val="3264169D"/>
    <w:rsid w:val="32655415"/>
    <w:rsid w:val="32707172"/>
    <w:rsid w:val="32733CF1"/>
    <w:rsid w:val="32867865"/>
    <w:rsid w:val="328A09D8"/>
    <w:rsid w:val="328D6069"/>
    <w:rsid w:val="32B33467"/>
    <w:rsid w:val="32B564B0"/>
    <w:rsid w:val="32C65EB4"/>
    <w:rsid w:val="32D3237F"/>
    <w:rsid w:val="32D3412D"/>
    <w:rsid w:val="32D57EA5"/>
    <w:rsid w:val="32D86165"/>
    <w:rsid w:val="32E97DF4"/>
    <w:rsid w:val="32EA1BB2"/>
    <w:rsid w:val="32EF7320"/>
    <w:rsid w:val="32F26CA9"/>
    <w:rsid w:val="33134E71"/>
    <w:rsid w:val="33141B30"/>
    <w:rsid w:val="33225778"/>
    <w:rsid w:val="332564CD"/>
    <w:rsid w:val="332B0EA1"/>
    <w:rsid w:val="332B19D6"/>
    <w:rsid w:val="33456556"/>
    <w:rsid w:val="33500F35"/>
    <w:rsid w:val="33557238"/>
    <w:rsid w:val="3361798A"/>
    <w:rsid w:val="336F3A4D"/>
    <w:rsid w:val="33705886"/>
    <w:rsid w:val="33722B25"/>
    <w:rsid w:val="337817A0"/>
    <w:rsid w:val="337835B3"/>
    <w:rsid w:val="337B7581"/>
    <w:rsid w:val="337E053C"/>
    <w:rsid w:val="337E644B"/>
    <w:rsid w:val="33933952"/>
    <w:rsid w:val="33A67A93"/>
    <w:rsid w:val="33AB6E58"/>
    <w:rsid w:val="33AD0E22"/>
    <w:rsid w:val="33B054CB"/>
    <w:rsid w:val="33B26438"/>
    <w:rsid w:val="33C23041"/>
    <w:rsid w:val="33C43CDA"/>
    <w:rsid w:val="33C761E0"/>
    <w:rsid w:val="33C82E61"/>
    <w:rsid w:val="33D471F6"/>
    <w:rsid w:val="33D47B43"/>
    <w:rsid w:val="33DB598F"/>
    <w:rsid w:val="33E63BF5"/>
    <w:rsid w:val="33F0689E"/>
    <w:rsid w:val="33F74E17"/>
    <w:rsid w:val="34001677"/>
    <w:rsid w:val="34006EF2"/>
    <w:rsid w:val="34054747"/>
    <w:rsid w:val="340622E0"/>
    <w:rsid w:val="340F4251"/>
    <w:rsid w:val="341553F1"/>
    <w:rsid w:val="34190B5C"/>
    <w:rsid w:val="342C15A4"/>
    <w:rsid w:val="343011E9"/>
    <w:rsid w:val="3455442B"/>
    <w:rsid w:val="34656519"/>
    <w:rsid w:val="34737FC2"/>
    <w:rsid w:val="347649D7"/>
    <w:rsid w:val="347977C7"/>
    <w:rsid w:val="347C6027"/>
    <w:rsid w:val="3489585F"/>
    <w:rsid w:val="34931DC5"/>
    <w:rsid w:val="34943D90"/>
    <w:rsid w:val="349D0E96"/>
    <w:rsid w:val="34A00986"/>
    <w:rsid w:val="34A42225"/>
    <w:rsid w:val="34C6218A"/>
    <w:rsid w:val="34C84227"/>
    <w:rsid w:val="34CC177B"/>
    <w:rsid w:val="34D66156"/>
    <w:rsid w:val="34E70363"/>
    <w:rsid w:val="34EE524E"/>
    <w:rsid w:val="34FB76E5"/>
    <w:rsid w:val="34FD19FF"/>
    <w:rsid w:val="34FE770A"/>
    <w:rsid w:val="352C7163"/>
    <w:rsid w:val="353038F4"/>
    <w:rsid w:val="35391952"/>
    <w:rsid w:val="35396880"/>
    <w:rsid w:val="35431A3E"/>
    <w:rsid w:val="35472BB0"/>
    <w:rsid w:val="354B1229"/>
    <w:rsid w:val="354D5B85"/>
    <w:rsid w:val="3558354B"/>
    <w:rsid w:val="355F7EFA"/>
    <w:rsid w:val="35690D78"/>
    <w:rsid w:val="35705468"/>
    <w:rsid w:val="357240D1"/>
    <w:rsid w:val="35727C2D"/>
    <w:rsid w:val="35906305"/>
    <w:rsid w:val="35956011"/>
    <w:rsid w:val="35A13DE1"/>
    <w:rsid w:val="35A62223"/>
    <w:rsid w:val="35AD335B"/>
    <w:rsid w:val="35BE2C81"/>
    <w:rsid w:val="35C00AEB"/>
    <w:rsid w:val="35C34481"/>
    <w:rsid w:val="35C72817"/>
    <w:rsid w:val="35CB1373"/>
    <w:rsid w:val="35D07049"/>
    <w:rsid w:val="35D408E8"/>
    <w:rsid w:val="35DC13F6"/>
    <w:rsid w:val="35DF2C48"/>
    <w:rsid w:val="35E6686D"/>
    <w:rsid w:val="35EC6224"/>
    <w:rsid w:val="35EF3904"/>
    <w:rsid w:val="35F03446"/>
    <w:rsid w:val="35FA5E74"/>
    <w:rsid w:val="36061C97"/>
    <w:rsid w:val="3618577B"/>
    <w:rsid w:val="361D7517"/>
    <w:rsid w:val="362F1FC2"/>
    <w:rsid w:val="363D3C3E"/>
    <w:rsid w:val="36631C6B"/>
    <w:rsid w:val="36633A19"/>
    <w:rsid w:val="36756E4E"/>
    <w:rsid w:val="369D6F2B"/>
    <w:rsid w:val="36AA4F34"/>
    <w:rsid w:val="36C22E36"/>
    <w:rsid w:val="36CB6BEC"/>
    <w:rsid w:val="36CC5A63"/>
    <w:rsid w:val="36DA41C6"/>
    <w:rsid w:val="36EC7EB3"/>
    <w:rsid w:val="36F04A1C"/>
    <w:rsid w:val="370522F3"/>
    <w:rsid w:val="370F402A"/>
    <w:rsid w:val="371116C7"/>
    <w:rsid w:val="37184C0F"/>
    <w:rsid w:val="371A4A20"/>
    <w:rsid w:val="371B2546"/>
    <w:rsid w:val="371F3DE4"/>
    <w:rsid w:val="372D6AD6"/>
    <w:rsid w:val="37324C18"/>
    <w:rsid w:val="37366B3D"/>
    <w:rsid w:val="37397BE4"/>
    <w:rsid w:val="373A0A9D"/>
    <w:rsid w:val="373F4487"/>
    <w:rsid w:val="37461371"/>
    <w:rsid w:val="37505428"/>
    <w:rsid w:val="375A7EE6"/>
    <w:rsid w:val="37603BFA"/>
    <w:rsid w:val="37660675"/>
    <w:rsid w:val="377D6D5D"/>
    <w:rsid w:val="378974B0"/>
    <w:rsid w:val="37955397"/>
    <w:rsid w:val="37A05CB3"/>
    <w:rsid w:val="37A5577B"/>
    <w:rsid w:val="37A56C27"/>
    <w:rsid w:val="37A95DA4"/>
    <w:rsid w:val="37AB38CA"/>
    <w:rsid w:val="37B207B5"/>
    <w:rsid w:val="37BC53EF"/>
    <w:rsid w:val="37C0018E"/>
    <w:rsid w:val="37C4498C"/>
    <w:rsid w:val="37CB7AC8"/>
    <w:rsid w:val="37CD55EE"/>
    <w:rsid w:val="37CF580A"/>
    <w:rsid w:val="37D3697D"/>
    <w:rsid w:val="37DB5AB0"/>
    <w:rsid w:val="37E146AF"/>
    <w:rsid w:val="37F353CD"/>
    <w:rsid w:val="37F92FCD"/>
    <w:rsid w:val="37FC38F5"/>
    <w:rsid w:val="3801798E"/>
    <w:rsid w:val="38084878"/>
    <w:rsid w:val="382452A1"/>
    <w:rsid w:val="382816AF"/>
    <w:rsid w:val="38284F1B"/>
    <w:rsid w:val="383020FC"/>
    <w:rsid w:val="384653A1"/>
    <w:rsid w:val="384A0770"/>
    <w:rsid w:val="38514471"/>
    <w:rsid w:val="3858435E"/>
    <w:rsid w:val="385C2E16"/>
    <w:rsid w:val="3862667F"/>
    <w:rsid w:val="38635F53"/>
    <w:rsid w:val="38783335"/>
    <w:rsid w:val="388112C8"/>
    <w:rsid w:val="388A08BC"/>
    <w:rsid w:val="388D2B79"/>
    <w:rsid w:val="389E4056"/>
    <w:rsid w:val="38A249ED"/>
    <w:rsid w:val="38A30A45"/>
    <w:rsid w:val="38AF2BAA"/>
    <w:rsid w:val="38B27CEB"/>
    <w:rsid w:val="38BA0110"/>
    <w:rsid w:val="38C033A5"/>
    <w:rsid w:val="38C27559"/>
    <w:rsid w:val="38C70CF9"/>
    <w:rsid w:val="38CF1A55"/>
    <w:rsid w:val="38D318BB"/>
    <w:rsid w:val="38D37BA8"/>
    <w:rsid w:val="38D70EBD"/>
    <w:rsid w:val="38D75BD6"/>
    <w:rsid w:val="38E057F5"/>
    <w:rsid w:val="38E52E0C"/>
    <w:rsid w:val="390239BE"/>
    <w:rsid w:val="39030DB6"/>
    <w:rsid w:val="39047736"/>
    <w:rsid w:val="39063FFC"/>
    <w:rsid w:val="390C0398"/>
    <w:rsid w:val="39155762"/>
    <w:rsid w:val="39165710"/>
    <w:rsid w:val="391B682D"/>
    <w:rsid w:val="391E52A1"/>
    <w:rsid w:val="39354A92"/>
    <w:rsid w:val="39475874"/>
    <w:rsid w:val="39732774"/>
    <w:rsid w:val="39816725"/>
    <w:rsid w:val="398443D3"/>
    <w:rsid w:val="39893797"/>
    <w:rsid w:val="399762A0"/>
    <w:rsid w:val="399A59A4"/>
    <w:rsid w:val="399D38D9"/>
    <w:rsid w:val="39A64349"/>
    <w:rsid w:val="39BB47F3"/>
    <w:rsid w:val="39C944DB"/>
    <w:rsid w:val="39D21F33"/>
    <w:rsid w:val="39D92CE8"/>
    <w:rsid w:val="39E13F31"/>
    <w:rsid w:val="39E72785"/>
    <w:rsid w:val="39F74BA5"/>
    <w:rsid w:val="39F805B2"/>
    <w:rsid w:val="39FA473A"/>
    <w:rsid w:val="39FF3A59"/>
    <w:rsid w:val="3A032369"/>
    <w:rsid w:val="3A051C1C"/>
    <w:rsid w:val="3A070BF4"/>
    <w:rsid w:val="3A123DA2"/>
    <w:rsid w:val="3A130856"/>
    <w:rsid w:val="3A1C0AAF"/>
    <w:rsid w:val="3A255BB6"/>
    <w:rsid w:val="3A263FEC"/>
    <w:rsid w:val="3A2F33A4"/>
    <w:rsid w:val="3A3000B7"/>
    <w:rsid w:val="3A39608E"/>
    <w:rsid w:val="3A3E2B3B"/>
    <w:rsid w:val="3A43428E"/>
    <w:rsid w:val="3A4C320A"/>
    <w:rsid w:val="3A4F44DF"/>
    <w:rsid w:val="3A6D181A"/>
    <w:rsid w:val="3A790257"/>
    <w:rsid w:val="3A7927E4"/>
    <w:rsid w:val="3A8505B8"/>
    <w:rsid w:val="3A8771E0"/>
    <w:rsid w:val="3A9B5E78"/>
    <w:rsid w:val="3A9F135E"/>
    <w:rsid w:val="3AA0523C"/>
    <w:rsid w:val="3AA765CB"/>
    <w:rsid w:val="3AB22982"/>
    <w:rsid w:val="3AB605BC"/>
    <w:rsid w:val="3AC0143A"/>
    <w:rsid w:val="3ACD21BA"/>
    <w:rsid w:val="3ADE3FB6"/>
    <w:rsid w:val="3AE45F2C"/>
    <w:rsid w:val="3AE92F10"/>
    <w:rsid w:val="3AEF3ACE"/>
    <w:rsid w:val="3AF24AF9"/>
    <w:rsid w:val="3B025B66"/>
    <w:rsid w:val="3B0C079F"/>
    <w:rsid w:val="3B183024"/>
    <w:rsid w:val="3B2C2F74"/>
    <w:rsid w:val="3B2C6AD0"/>
    <w:rsid w:val="3B3F4A55"/>
    <w:rsid w:val="3B4503AF"/>
    <w:rsid w:val="3B4D0AD2"/>
    <w:rsid w:val="3B506C62"/>
    <w:rsid w:val="3B535900"/>
    <w:rsid w:val="3B571DFC"/>
    <w:rsid w:val="3B5F234A"/>
    <w:rsid w:val="3B702C2C"/>
    <w:rsid w:val="3B7D2B97"/>
    <w:rsid w:val="3B8B1A48"/>
    <w:rsid w:val="3B936B4F"/>
    <w:rsid w:val="3B985F13"/>
    <w:rsid w:val="3BA96372"/>
    <w:rsid w:val="3BAA2B48"/>
    <w:rsid w:val="3BB30F9F"/>
    <w:rsid w:val="3BB865B6"/>
    <w:rsid w:val="3BBA64C5"/>
    <w:rsid w:val="3BC431AC"/>
    <w:rsid w:val="3BC50C8D"/>
    <w:rsid w:val="3BCB77D1"/>
    <w:rsid w:val="3BD66A3C"/>
    <w:rsid w:val="3BD82770"/>
    <w:rsid w:val="3BDE6247"/>
    <w:rsid w:val="3BE15B0C"/>
    <w:rsid w:val="3BEC0404"/>
    <w:rsid w:val="3BED2703"/>
    <w:rsid w:val="3BF03FA1"/>
    <w:rsid w:val="3BF71C60"/>
    <w:rsid w:val="3BFB7CC0"/>
    <w:rsid w:val="3C0829B4"/>
    <w:rsid w:val="3C0E61D6"/>
    <w:rsid w:val="3C1238C8"/>
    <w:rsid w:val="3C1343D3"/>
    <w:rsid w:val="3C186D61"/>
    <w:rsid w:val="3C1E3FFF"/>
    <w:rsid w:val="3C1F2841"/>
    <w:rsid w:val="3C315F32"/>
    <w:rsid w:val="3C3C6D33"/>
    <w:rsid w:val="3C421700"/>
    <w:rsid w:val="3C4B30F6"/>
    <w:rsid w:val="3C4F3A19"/>
    <w:rsid w:val="3C560F7D"/>
    <w:rsid w:val="3C584BD1"/>
    <w:rsid w:val="3C5F6A31"/>
    <w:rsid w:val="3C612EBF"/>
    <w:rsid w:val="3C634773"/>
    <w:rsid w:val="3C6D7535"/>
    <w:rsid w:val="3C7B635D"/>
    <w:rsid w:val="3C7C3A87"/>
    <w:rsid w:val="3C7E5C26"/>
    <w:rsid w:val="3C8736A4"/>
    <w:rsid w:val="3C9012E0"/>
    <w:rsid w:val="3C926E07"/>
    <w:rsid w:val="3C9B74C9"/>
    <w:rsid w:val="3C9E39FD"/>
    <w:rsid w:val="3CA07775"/>
    <w:rsid w:val="3CAF26AB"/>
    <w:rsid w:val="3CB11983"/>
    <w:rsid w:val="3CB575E1"/>
    <w:rsid w:val="3CC2469C"/>
    <w:rsid w:val="3CD15937"/>
    <w:rsid w:val="3CD2013A"/>
    <w:rsid w:val="3CD751B3"/>
    <w:rsid w:val="3CDB01D5"/>
    <w:rsid w:val="3CEF5448"/>
    <w:rsid w:val="3CF14149"/>
    <w:rsid w:val="3D11047C"/>
    <w:rsid w:val="3D1706D6"/>
    <w:rsid w:val="3D17454A"/>
    <w:rsid w:val="3D1B32A0"/>
    <w:rsid w:val="3D2E2FD3"/>
    <w:rsid w:val="3D3954D4"/>
    <w:rsid w:val="3D3B3C1C"/>
    <w:rsid w:val="3D477776"/>
    <w:rsid w:val="3D520632"/>
    <w:rsid w:val="3D54230E"/>
    <w:rsid w:val="3D5B369C"/>
    <w:rsid w:val="3D5C5E4F"/>
    <w:rsid w:val="3D644F0F"/>
    <w:rsid w:val="3D736C38"/>
    <w:rsid w:val="3D8943F5"/>
    <w:rsid w:val="3D8D23D7"/>
    <w:rsid w:val="3D9170BE"/>
    <w:rsid w:val="3D98669F"/>
    <w:rsid w:val="3D9E43C7"/>
    <w:rsid w:val="3DA36D63"/>
    <w:rsid w:val="3DAB6470"/>
    <w:rsid w:val="3DC54047"/>
    <w:rsid w:val="3DC66A86"/>
    <w:rsid w:val="3DC73D3C"/>
    <w:rsid w:val="3DCF3BBA"/>
    <w:rsid w:val="3DD82F3F"/>
    <w:rsid w:val="3DDC11CA"/>
    <w:rsid w:val="3DEB75FA"/>
    <w:rsid w:val="3DEF5964"/>
    <w:rsid w:val="3DF37889"/>
    <w:rsid w:val="3E01127A"/>
    <w:rsid w:val="3E0117AF"/>
    <w:rsid w:val="3E045EC4"/>
    <w:rsid w:val="3E0D73D1"/>
    <w:rsid w:val="3E0E6961"/>
    <w:rsid w:val="3E3000FC"/>
    <w:rsid w:val="3E313086"/>
    <w:rsid w:val="3E495BEB"/>
    <w:rsid w:val="3E5007D3"/>
    <w:rsid w:val="3E506F79"/>
    <w:rsid w:val="3E524A9F"/>
    <w:rsid w:val="3E5D51F2"/>
    <w:rsid w:val="3E651F1C"/>
    <w:rsid w:val="3E68023D"/>
    <w:rsid w:val="3E6F343B"/>
    <w:rsid w:val="3E77405F"/>
    <w:rsid w:val="3E8E5D9B"/>
    <w:rsid w:val="3E992665"/>
    <w:rsid w:val="3E9D4BF2"/>
    <w:rsid w:val="3EA11509"/>
    <w:rsid w:val="3EAA6689"/>
    <w:rsid w:val="3EAD617A"/>
    <w:rsid w:val="3EB47335"/>
    <w:rsid w:val="3EBD353D"/>
    <w:rsid w:val="3EC60FE9"/>
    <w:rsid w:val="3EC857B9"/>
    <w:rsid w:val="3EC86B10"/>
    <w:rsid w:val="3EDB6DA3"/>
    <w:rsid w:val="3EE03C6A"/>
    <w:rsid w:val="3EF3057A"/>
    <w:rsid w:val="3F20694C"/>
    <w:rsid w:val="3F28791F"/>
    <w:rsid w:val="3F334020"/>
    <w:rsid w:val="3F4475E4"/>
    <w:rsid w:val="3F4621CB"/>
    <w:rsid w:val="3F5D36FC"/>
    <w:rsid w:val="3F691B65"/>
    <w:rsid w:val="3F6C393F"/>
    <w:rsid w:val="3F6C7DE3"/>
    <w:rsid w:val="3F6D76B7"/>
    <w:rsid w:val="3F6E5909"/>
    <w:rsid w:val="3F7339F8"/>
    <w:rsid w:val="3F7B1DD4"/>
    <w:rsid w:val="3F8819FF"/>
    <w:rsid w:val="3F890995"/>
    <w:rsid w:val="3F8D7091"/>
    <w:rsid w:val="3F8F15A2"/>
    <w:rsid w:val="3F962B1D"/>
    <w:rsid w:val="3F9B7C9A"/>
    <w:rsid w:val="3F9D7F9C"/>
    <w:rsid w:val="3FA81425"/>
    <w:rsid w:val="3FAE21A9"/>
    <w:rsid w:val="3FAE28BE"/>
    <w:rsid w:val="3FBE0597"/>
    <w:rsid w:val="3FC13AD2"/>
    <w:rsid w:val="3FC71556"/>
    <w:rsid w:val="3FD719BE"/>
    <w:rsid w:val="3FDF6807"/>
    <w:rsid w:val="3FE200A5"/>
    <w:rsid w:val="3FE536F1"/>
    <w:rsid w:val="3FE86B17"/>
    <w:rsid w:val="3FF12B1A"/>
    <w:rsid w:val="3FF34060"/>
    <w:rsid w:val="3FF839DE"/>
    <w:rsid w:val="3FFF367B"/>
    <w:rsid w:val="40061578"/>
    <w:rsid w:val="400F522C"/>
    <w:rsid w:val="40102D10"/>
    <w:rsid w:val="401773ED"/>
    <w:rsid w:val="401A339B"/>
    <w:rsid w:val="40291830"/>
    <w:rsid w:val="403D33EB"/>
    <w:rsid w:val="4047615A"/>
    <w:rsid w:val="404D1377"/>
    <w:rsid w:val="405029F1"/>
    <w:rsid w:val="4050581D"/>
    <w:rsid w:val="405A3684"/>
    <w:rsid w:val="40692574"/>
    <w:rsid w:val="4069269E"/>
    <w:rsid w:val="406A213B"/>
    <w:rsid w:val="406E7B8B"/>
    <w:rsid w:val="40815967"/>
    <w:rsid w:val="408855E7"/>
    <w:rsid w:val="409B6624"/>
    <w:rsid w:val="40AF61D9"/>
    <w:rsid w:val="40CB0B39"/>
    <w:rsid w:val="40DB3312"/>
    <w:rsid w:val="40DB61DE"/>
    <w:rsid w:val="40E11699"/>
    <w:rsid w:val="40F10745"/>
    <w:rsid w:val="40F167F2"/>
    <w:rsid w:val="40F77B80"/>
    <w:rsid w:val="40F95A1A"/>
    <w:rsid w:val="410B53D9"/>
    <w:rsid w:val="410D1152"/>
    <w:rsid w:val="410F4ECA"/>
    <w:rsid w:val="410F6839"/>
    <w:rsid w:val="41110C42"/>
    <w:rsid w:val="41131B3B"/>
    <w:rsid w:val="411A73CB"/>
    <w:rsid w:val="412201BC"/>
    <w:rsid w:val="41281AE7"/>
    <w:rsid w:val="412963FC"/>
    <w:rsid w:val="413606A8"/>
    <w:rsid w:val="414803DC"/>
    <w:rsid w:val="414A7CB0"/>
    <w:rsid w:val="414B26D1"/>
    <w:rsid w:val="415102D5"/>
    <w:rsid w:val="415154E2"/>
    <w:rsid w:val="415A332C"/>
    <w:rsid w:val="415F1A35"/>
    <w:rsid w:val="41621AE5"/>
    <w:rsid w:val="416A2100"/>
    <w:rsid w:val="41913B31"/>
    <w:rsid w:val="41A54A66"/>
    <w:rsid w:val="41B65384"/>
    <w:rsid w:val="41CA7B91"/>
    <w:rsid w:val="41D37CA5"/>
    <w:rsid w:val="41DE664A"/>
    <w:rsid w:val="41E9571B"/>
    <w:rsid w:val="41FA7928"/>
    <w:rsid w:val="420F77D2"/>
    <w:rsid w:val="42167051"/>
    <w:rsid w:val="421A6592"/>
    <w:rsid w:val="4226431C"/>
    <w:rsid w:val="42360234"/>
    <w:rsid w:val="42402E61"/>
    <w:rsid w:val="4241159C"/>
    <w:rsid w:val="42491CFD"/>
    <w:rsid w:val="4262219E"/>
    <w:rsid w:val="42646A30"/>
    <w:rsid w:val="42677A6E"/>
    <w:rsid w:val="426B2C08"/>
    <w:rsid w:val="426F2D8F"/>
    <w:rsid w:val="42723962"/>
    <w:rsid w:val="42771B91"/>
    <w:rsid w:val="42812A98"/>
    <w:rsid w:val="428B67D2"/>
    <w:rsid w:val="4290203A"/>
    <w:rsid w:val="42937435"/>
    <w:rsid w:val="42943BD6"/>
    <w:rsid w:val="429513FF"/>
    <w:rsid w:val="42A72EE0"/>
    <w:rsid w:val="42AE16D7"/>
    <w:rsid w:val="42B555FD"/>
    <w:rsid w:val="42C8608D"/>
    <w:rsid w:val="42D40179"/>
    <w:rsid w:val="42E01A94"/>
    <w:rsid w:val="42E84BCE"/>
    <w:rsid w:val="42EA4DF9"/>
    <w:rsid w:val="42EF4FB3"/>
    <w:rsid w:val="42F02AD9"/>
    <w:rsid w:val="42FB34E5"/>
    <w:rsid w:val="430B7913"/>
    <w:rsid w:val="43120CA1"/>
    <w:rsid w:val="431E437E"/>
    <w:rsid w:val="432033BE"/>
    <w:rsid w:val="43207D97"/>
    <w:rsid w:val="43397FDC"/>
    <w:rsid w:val="433C7ACC"/>
    <w:rsid w:val="433E5DFA"/>
    <w:rsid w:val="4340580E"/>
    <w:rsid w:val="43492153"/>
    <w:rsid w:val="434A28BA"/>
    <w:rsid w:val="43511086"/>
    <w:rsid w:val="43517A9F"/>
    <w:rsid w:val="435B61A4"/>
    <w:rsid w:val="436D237B"/>
    <w:rsid w:val="436F39FE"/>
    <w:rsid w:val="43716EB3"/>
    <w:rsid w:val="438356FB"/>
    <w:rsid w:val="4392593E"/>
    <w:rsid w:val="43976E4D"/>
    <w:rsid w:val="43A0005B"/>
    <w:rsid w:val="43AA2C88"/>
    <w:rsid w:val="43C006FD"/>
    <w:rsid w:val="43C04259"/>
    <w:rsid w:val="43C7180E"/>
    <w:rsid w:val="43C875B2"/>
    <w:rsid w:val="43CC70A2"/>
    <w:rsid w:val="43D33F58"/>
    <w:rsid w:val="43E02B4D"/>
    <w:rsid w:val="43ED21F0"/>
    <w:rsid w:val="44020D16"/>
    <w:rsid w:val="44074888"/>
    <w:rsid w:val="44172A73"/>
    <w:rsid w:val="44242A3A"/>
    <w:rsid w:val="442567B2"/>
    <w:rsid w:val="4435631D"/>
    <w:rsid w:val="44367C58"/>
    <w:rsid w:val="44414C6F"/>
    <w:rsid w:val="4447497A"/>
    <w:rsid w:val="444B1619"/>
    <w:rsid w:val="444F7BEF"/>
    <w:rsid w:val="44500803"/>
    <w:rsid w:val="446A346C"/>
    <w:rsid w:val="447B63D2"/>
    <w:rsid w:val="44911107"/>
    <w:rsid w:val="449D014A"/>
    <w:rsid w:val="44A54CBD"/>
    <w:rsid w:val="44A8366B"/>
    <w:rsid w:val="44AC4428"/>
    <w:rsid w:val="44B67815"/>
    <w:rsid w:val="44B858FB"/>
    <w:rsid w:val="44C67F95"/>
    <w:rsid w:val="44CB4446"/>
    <w:rsid w:val="44CB55AC"/>
    <w:rsid w:val="44CE0BF8"/>
    <w:rsid w:val="44DD141A"/>
    <w:rsid w:val="44E1092B"/>
    <w:rsid w:val="44E81CBA"/>
    <w:rsid w:val="44EE129A"/>
    <w:rsid w:val="44EE3048"/>
    <w:rsid w:val="44F22952"/>
    <w:rsid w:val="44F302F9"/>
    <w:rsid w:val="44F63F31"/>
    <w:rsid w:val="44FC676F"/>
    <w:rsid w:val="45003D47"/>
    <w:rsid w:val="45036AF3"/>
    <w:rsid w:val="4504286C"/>
    <w:rsid w:val="450A3F22"/>
    <w:rsid w:val="451016D4"/>
    <w:rsid w:val="45102FBE"/>
    <w:rsid w:val="45124285"/>
    <w:rsid w:val="4528006F"/>
    <w:rsid w:val="4537679D"/>
    <w:rsid w:val="454113CA"/>
    <w:rsid w:val="45440866"/>
    <w:rsid w:val="454D1168"/>
    <w:rsid w:val="45505464"/>
    <w:rsid w:val="455D26D1"/>
    <w:rsid w:val="455F31D8"/>
    <w:rsid w:val="456243A7"/>
    <w:rsid w:val="45626A0B"/>
    <w:rsid w:val="4565155C"/>
    <w:rsid w:val="45676F6B"/>
    <w:rsid w:val="45717F01"/>
    <w:rsid w:val="457B6625"/>
    <w:rsid w:val="457B7207"/>
    <w:rsid w:val="457C68A6"/>
    <w:rsid w:val="45886FF9"/>
    <w:rsid w:val="458B6AE9"/>
    <w:rsid w:val="45901F42"/>
    <w:rsid w:val="45943C35"/>
    <w:rsid w:val="45A8769B"/>
    <w:rsid w:val="45AC0F39"/>
    <w:rsid w:val="45B24076"/>
    <w:rsid w:val="45BC4EF4"/>
    <w:rsid w:val="45DB1F3F"/>
    <w:rsid w:val="45DF3647"/>
    <w:rsid w:val="45F11042"/>
    <w:rsid w:val="45F737A1"/>
    <w:rsid w:val="45FB4B17"/>
    <w:rsid w:val="460042C6"/>
    <w:rsid w:val="46120E17"/>
    <w:rsid w:val="461B7E6D"/>
    <w:rsid w:val="462907DC"/>
    <w:rsid w:val="46317690"/>
    <w:rsid w:val="464E0242"/>
    <w:rsid w:val="465D600E"/>
    <w:rsid w:val="4666169B"/>
    <w:rsid w:val="466C748B"/>
    <w:rsid w:val="466E2692"/>
    <w:rsid w:val="466F6AA2"/>
    <w:rsid w:val="4671255A"/>
    <w:rsid w:val="46784B43"/>
    <w:rsid w:val="467927D5"/>
    <w:rsid w:val="467C0E56"/>
    <w:rsid w:val="46933963"/>
    <w:rsid w:val="46A71700"/>
    <w:rsid w:val="46B01C10"/>
    <w:rsid w:val="46D1677D"/>
    <w:rsid w:val="46D54EFE"/>
    <w:rsid w:val="46EB783F"/>
    <w:rsid w:val="46F96400"/>
    <w:rsid w:val="46FA3F26"/>
    <w:rsid w:val="47017063"/>
    <w:rsid w:val="47046EFC"/>
    <w:rsid w:val="47073325"/>
    <w:rsid w:val="470A6F83"/>
    <w:rsid w:val="47121270"/>
    <w:rsid w:val="47176886"/>
    <w:rsid w:val="471D191F"/>
    <w:rsid w:val="4728651A"/>
    <w:rsid w:val="4732546E"/>
    <w:rsid w:val="47392CA0"/>
    <w:rsid w:val="474D40C2"/>
    <w:rsid w:val="47590C4D"/>
    <w:rsid w:val="476917F4"/>
    <w:rsid w:val="476F2BF2"/>
    <w:rsid w:val="47767A51"/>
    <w:rsid w:val="477A5A14"/>
    <w:rsid w:val="478163F5"/>
    <w:rsid w:val="47997272"/>
    <w:rsid w:val="479B6FDB"/>
    <w:rsid w:val="47A37477"/>
    <w:rsid w:val="47A5232B"/>
    <w:rsid w:val="47A56355"/>
    <w:rsid w:val="47B15C1F"/>
    <w:rsid w:val="47BB36B5"/>
    <w:rsid w:val="47BF57FE"/>
    <w:rsid w:val="47C14A44"/>
    <w:rsid w:val="47C54534"/>
    <w:rsid w:val="47CA56A6"/>
    <w:rsid w:val="47CB0F32"/>
    <w:rsid w:val="47DD0DE6"/>
    <w:rsid w:val="47DE0178"/>
    <w:rsid w:val="47DE1152"/>
    <w:rsid w:val="47E04ECA"/>
    <w:rsid w:val="47EA6023"/>
    <w:rsid w:val="47ED6CAB"/>
    <w:rsid w:val="47F22E4F"/>
    <w:rsid w:val="47F379F4"/>
    <w:rsid w:val="47F95F8C"/>
    <w:rsid w:val="47FF4EA5"/>
    <w:rsid w:val="48075981"/>
    <w:rsid w:val="4808468B"/>
    <w:rsid w:val="480908C5"/>
    <w:rsid w:val="480A0174"/>
    <w:rsid w:val="48153582"/>
    <w:rsid w:val="481634D8"/>
    <w:rsid w:val="481746D3"/>
    <w:rsid w:val="48192870"/>
    <w:rsid w:val="48286782"/>
    <w:rsid w:val="48297E28"/>
    <w:rsid w:val="482B7DFA"/>
    <w:rsid w:val="48384D06"/>
    <w:rsid w:val="483C58B6"/>
    <w:rsid w:val="484648F0"/>
    <w:rsid w:val="484F02A2"/>
    <w:rsid w:val="486015DE"/>
    <w:rsid w:val="48651873"/>
    <w:rsid w:val="48653621"/>
    <w:rsid w:val="48663867"/>
    <w:rsid w:val="48671147"/>
    <w:rsid w:val="486A7B70"/>
    <w:rsid w:val="486D51E0"/>
    <w:rsid w:val="486D73A7"/>
    <w:rsid w:val="48710218"/>
    <w:rsid w:val="48743864"/>
    <w:rsid w:val="488A239D"/>
    <w:rsid w:val="488C5052"/>
    <w:rsid w:val="4895098A"/>
    <w:rsid w:val="48967C7F"/>
    <w:rsid w:val="489932CB"/>
    <w:rsid w:val="489D47BC"/>
    <w:rsid w:val="48A8330E"/>
    <w:rsid w:val="48AC74A2"/>
    <w:rsid w:val="48B07528"/>
    <w:rsid w:val="48BC5937"/>
    <w:rsid w:val="48C90054"/>
    <w:rsid w:val="48E1539E"/>
    <w:rsid w:val="48E51151"/>
    <w:rsid w:val="48F14EB5"/>
    <w:rsid w:val="48F350D1"/>
    <w:rsid w:val="4903424D"/>
    <w:rsid w:val="49064E04"/>
    <w:rsid w:val="49137521"/>
    <w:rsid w:val="491A6896"/>
    <w:rsid w:val="4933371F"/>
    <w:rsid w:val="49357C6E"/>
    <w:rsid w:val="493D2C14"/>
    <w:rsid w:val="49437FEC"/>
    <w:rsid w:val="494A1A31"/>
    <w:rsid w:val="49530428"/>
    <w:rsid w:val="495A5150"/>
    <w:rsid w:val="495B39C0"/>
    <w:rsid w:val="49675177"/>
    <w:rsid w:val="497179EA"/>
    <w:rsid w:val="498035F8"/>
    <w:rsid w:val="49825A2D"/>
    <w:rsid w:val="49834F55"/>
    <w:rsid w:val="49866B78"/>
    <w:rsid w:val="49914A36"/>
    <w:rsid w:val="49A41C5F"/>
    <w:rsid w:val="49B426A1"/>
    <w:rsid w:val="49C127F3"/>
    <w:rsid w:val="49C425C9"/>
    <w:rsid w:val="49D547D7"/>
    <w:rsid w:val="49D62A28"/>
    <w:rsid w:val="49D75060"/>
    <w:rsid w:val="49E03D62"/>
    <w:rsid w:val="49EB1A3F"/>
    <w:rsid w:val="49EE7422"/>
    <w:rsid w:val="49F21682"/>
    <w:rsid w:val="4A031344"/>
    <w:rsid w:val="4A0550BC"/>
    <w:rsid w:val="4A08695A"/>
    <w:rsid w:val="4A09776F"/>
    <w:rsid w:val="4A0E7CD0"/>
    <w:rsid w:val="4A140462"/>
    <w:rsid w:val="4A234BEF"/>
    <w:rsid w:val="4A361719"/>
    <w:rsid w:val="4A404534"/>
    <w:rsid w:val="4A4C20FF"/>
    <w:rsid w:val="4A5129FC"/>
    <w:rsid w:val="4A534079"/>
    <w:rsid w:val="4A5D4EF8"/>
    <w:rsid w:val="4A6524B8"/>
    <w:rsid w:val="4A6B5F82"/>
    <w:rsid w:val="4A723552"/>
    <w:rsid w:val="4A737D11"/>
    <w:rsid w:val="4A7A665F"/>
    <w:rsid w:val="4A802994"/>
    <w:rsid w:val="4A834233"/>
    <w:rsid w:val="4A8C30E7"/>
    <w:rsid w:val="4AA2290B"/>
    <w:rsid w:val="4AAE7501"/>
    <w:rsid w:val="4AAE7B22"/>
    <w:rsid w:val="4AB7229C"/>
    <w:rsid w:val="4ABC5235"/>
    <w:rsid w:val="4ABF34BD"/>
    <w:rsid w:val="4AC547CB"/>
    <w:rsid w:val="4AC72371"/>
    <w:rsid w:val="4ACF1226"/>
    <w:rsid w:val="4AF70D81"/>
    <w:rsid w:val="4AF87342"/>
    <w:rsid w:val="4AFA388B"/>
    <w:rsid w:val="4B0E61F2"/>
    <w:rsid w:val="4B105AC6"/>
    <w:rsid w:val="4B134D38"/>
    <w:rsid w:val="4B177B75"/>
    <w:rsid w:val="4B1F5835"/>
    <w:rsid w:val="4B223DC3"/>
    <w:rsid w:val="4B245A16"/>
    <w:rsid w:val="4B272E10"/>
    <w:rsid w:val="4B2C43CC"/>
    <w:rsid w:val="4B320E6E"/>
    <w:rsid w:val="4B383091"/>
    <w:rsid w:val="4B46773A"/>
    <w:rsid w:val="4B50680B"/>
    <w:rsid w:val="4B5361E9"/>
    <w:rsid w:val="4B5C2DAD"/>
    <w:rsid w:val="4B5D2CD5"/>
    <w:rsid w:val="4B67799D"/>
    <w:rsid w:val="4B72030F"/>
    <w:rsid w:val="4B7818BD"/>
    <w:rsid w:val="4B9009B5"/>
    <w:rsid w:val="4BAD1567"/>
    <w:rsid w:val="4BB02E05"/>
    <w:rsid w:val="4BB40B47"/>
    <w:rsid w:val="4BB82690"/>
    <w:rsid w:val="4BB902E4"/>
    <w:rsid w:val="4BBA0128"/>
    <w:rsid w:val="4BBA3C84"/>
    <w:rsid w:val="4BC02CAF"/>
    <w:rsid w:val="4BC20637"/>
    <w:rsid w:val="4BCE4C06"/>
    <w:rsid w:val="4BCF3BD3"/>
    <w:rsid w:val="4BD25B84"/>
    <w:rsid w:val="4BD27220"/>
    <w:rsid w:val="4BDE3E16"/>
    <w:rsid w:val="4BE40D01"/>
    <w:rsid w:val="4BF51A20"/>
    <w:rsid w:val="4BF872EC"/>
    <w:rsid w:val="4C0A4C0B"/>
    <w:rsid w:val="4C1438DE"/>
    <w:rsid w:val="4C197625"/>
    <w:rsid w:val="4C1C66ED"/>
    <w:rsid w:val="4C215AB1"/>
    <w:rsid w:val="4C2B78E5"/>
    <w:rsid w:val="4C2C3662"/>
    <w:rsid w:val="4C371778"/>
    <w:rsid w:val="4C3720DF"/>
    <w:rsid w:val="4C39104D"/>
    <w:rsid w:val="4C516396"/>
    <w:rsid w:val="4C523B43"/>
    <w:rsid w:val="4C590B44"/>
    <w:rsid w:val="4C5A1E25"/>
    <w:rsid w:val="4C6218EB"/>
    <w:rsid w:val="4C6437D4"/>
    <w:rsid w:val="4C83676C"/>
    <w:rsid w:val="4C867B6D"/>
    <w:rsid w:val="4C881FE8"/>
    <w:rsid w:val="4CA3296A"/>
    <w:rsid w:val="4CA4120E"/>
    <w:rsid w:val="4CA5523F"/>
    <w:rsid w:val="4CA850BB"/>
    <w:rsid w:val="4CAA5AA7"/>
    <w:rsid w:val="4CAE0BAA"/>
    <w:rsid w:val="4CC107DD"/>
    <w:rsid w:val="4CCE1F12"/>
    <w:rsid w:val="4CD945DE"/>
    <w:rsid w:val="4CF136D5"/>
    <w:rsid w:val="4CFD207A"/>
    <w:rsid w:val="4D013756"/>
    <w:rsid w:val="4D0756D4"/>
    <w:rsid w:val="4D081CA0"/>
    <w:rsid w:val="4D0D6828"/>
    <w:rsid w:val="4D1A2C2C"/>
    <w:rsid w:val="4D2E492A"/>
    <w:rsid w:val="4D2F2C00"/>
    <w:rsid w:val="4D3D4B6D"/>
    <w:rsid w:val="4D434FB4"/>
    <w:rsid w:val="4D4759EB"/>
    <w:rsid w:val="4D4C4DB0"/>
    <w:rsid w:val="4D525091"/>
    <w:rsid w:val="4D576FED"/>
    <w:rsid w:val="4D633EA1"/>
    <w:rsid w:val="4D956757"/>
    <w:rsid w:val="4D97427D"/>
    <w:rsid w:val="4DA43F8A"/>
    <w:rsid w:val="4DB37F18"/>
    <w:rsid w:val="4DB74C21"/>
    <w:rsid w:val="4DDC0B32"/>
    <w:rsid w:val="4DE15C94"/>
    <w:rsid w:val="4DF83D04"/>
    <w:rsid w:val="4DFE1F4E"/>
    <w:rsid w:val="4E08517B"/>
    <w:rsid w:val="4E191136"/>
    <w:rsid w:val="4E192EE4"/>
    <w:rsid w:val="4E3C5889"/>
    <w:rsid w:val="4E453CD9"/>
    <w:rsid w:val="4E52527B"/>
    <w:rsid w:val="4E5E3524"/>
    <w:rsid w:val="4E646F75"/>
    <w:rsid w:val="4E664E09"/>
    <w:rsid w:val="4E697B77"/>
    <w:rsid w:val="4E6F034F"/>
    <w:rsid w:val="4E7340FE"/>
    <w:rsid w:val="4E8D6872"/>
    <w:rsid w:val="4E8F03DA"/>
    <w:rsid w:val="4E8F31A6"/>
    <w:rsid w:val="4E9B4E2E"/>
    <w:rsid w:val="4E9D4C43"/>
    <w:rsid w:val="4EA23DFC"/>
    <w:rsid w:val="4EA34EA3"/>
    <w:rsid w:val="4EB175F0"/>
    <w:rsid w:val="4EB97693"/>
    <w:rsid w:val="4EBB21ED"/>
    <w:rsid w:val="4EC015B1"/>
    <w:rsid w:val="4EC217CD"/>
    <w:rsid w:val="4ECD3CCE"/>
    <w:rsid w:val="4ED13EA2"/>
    <w:rsid w:val="4EDB463D"/>
    <w:rsid w:val="4EDE5EDB"/>
    <w:rsid w:val="4EDF63BA"/>
    <w:rsid w:val="4EE15D33"/>
    <w:rsid w:val="4EE5726A"/>
    <w:rsid w:val="4EE713F3"/>
    <w:rsid w:val="4EEF1E97"/>
    <w:rsid w:val="4EEF6E5A"/>
    <w:rsid w:val="4EF311D2"/>
    <w:rsid w:val="4EFE228B"/>
    <w:rsid w:val="4F0911AA"/>
    <w:rsid w:val="4F0B3499"/>
    <w:rsid w:val="4F134084"/>
    <w:rsid w:val="4F165675"/>
    <w:rsid w:val="4F2002A2"/>
    <w:rsid w:val="4F495A4B"/>
    <w:rsid w:val="4F4E4E0F"/>
    <w:rsid w:val="4F5173DC"/>
    <w:rsid w:val="4F553580"/>
    <w:rsid w:val="4F5634E9"/>
    <w:rsid w:val="4F593479"/>
    <w:rsid w:val="4F6A00CF"/>
    <w:rsid w:val="4F6C73CF"/>
    <w:rsid w:val="4F6E54B1"/>
    <w:rsid w:val="4F705E00"/>
    <w:rsid w:val="4F7448DE"/>
    <w:rsid w:val="4F7C3D97"/>
    <w:rsid w:val="4F7F68F6"/>
    <w:rsid w:val="4F8151E4"/>
    <w:rsid w:val="4F881C99"/>
    <w:rsid w:val="4F8E7754"/>
    <w:rsid w:val="4F9176B3"/>
    <w:rsid w:val="4F9D5D96"/>
    <w:rsid w:val="4FB235F0"/>
    <w:rsid w:val="4FB37368"/>
    <w:rsid w:val="4FB56A29"/>
    <w:rsid w:val="4FB749B4"/>
    <w:rsid w:val="4FBD51BF"/>
    <w:rsid w:val="4FBF5323"/>
    <w:rsid w:val="4FCF55EA"/>
    <w:rsid w:val="4FD20194"/>
    <w:rsid w:val="4FD569E2"/>
    <w:rsid w:val="4FD60F43"/>
    <w:rsid w:val="4FD77DC0"/>
    <w:rsid w:val="4FE23FBA"/>
    <w:rsid w:val="4FEE53D2"/>
    <w:rsid w:val="4FF164FA"/>
    <w:rsid w:val="4FF43C08"/>
    <w:rsid w:val="4FF5172F"/>
    <w:rsid w:val="4FF534DD"/>
    <w:rsid w:val="4FFC0D0F"/>
    <w:rsid w:val="4FFE6835"/>
    <w:rsid w:val="50025BF9"/>
    <w:rsid w:val="5003209D"/>
    <w:rsid w:val="50100316"/>
    <w:rsid w:val="50153B7F"/>
    <w:rsid w:val="50161FC6"/>
    <w:rsid w:val="501A5E16"/>
    <w:rsid w:val="5023629C"/>
    <w:rsid w:val="502A762A"/>
    <w:rsid w:val="502C75A5"/>
    <w:rsid w:val="502D58B9"/>
    <w:rsid w:val="502E1B56"/>
    <w:rsid w:val="503969F6"/>
    <w:rsid w:val="5044201E"/>
    <w:rsid w:val="504A4535"/>
    <w:rsid w:val="504B134F"/>
    <w:rsid w:val="50566671"/>
    <w:rsid w:val="5060304C"/>
    <w:rsid w:val="50632B3C"/>
    <w:rsid w:val="5065355D"/>
    <w:rsid w:val="506568B4"/>
    <w:rsid w:val="5074256B"/>
    <w:rsid w:val="50747C91"/>
    <w:rsid w:val="50834F8C"/>
    <w:rsid w:val="50897480"/>
    <w:rsid w:val="50945AAD"/>
    <w:rsid w:val="50960FC7"/>
    <w:rsid w:val="50964781"/>
    <w:rsid w:val="50A32F39"/>
    <w:rsid w:val="50A922BE"/>
    <w:rsid w:val="50AB30CC"/>
    <w:rsid w:val="50AD2009"/>
    <w:rsid w:val="50B11E58"/>
    <w:rsid w:val="50BE3E56"/>
    <w:rsid w:val="50C7131D"/>
    <w:rsid w:val="50D006FA"/>
    <w:rsid w:val="50D61560"/>
    <w:rsid w:val="50D94BAC"/>
    <w:rsid w:val="50E20FFA"/>
    <w:rsid w:val="50E579F5"/>
    <w:rsid w:val="50EB064E"/>
    <w:rsid w:val="50F11EF6"/>
    <w:rsid w:val="50FF259B"/>
    <w:rsid w:val="51000B69"/>
    <w:rsid w:val="5100482F"/>
    <w:rsid w:val="510432CC"/>
    <w:rsid w:val="510A0D0B"/>
    <w:rsid w:val="510D4856"/>
    <w:rsid w:val="511233CC"/>
    <w:rsid w:val="511354FE"/>
    <w:rsid w:val="51171553"/>
    <w:rsid w:val="51181B78"/>
    <w:rsid w:val="511B51C5"/>
    <w:rsid w:val="511D0F3D"/>
    <w:rsid w:val="51201654"/>
    <w:rsid w:val="512A365A"/>
    <w:rsid w:val="512C73D2"/>
    <w:rsid w:val="51385D77"/>
    <w:rsid w:val="513D513B"/>
    <w:rsid w:val="51477D68"/>
    <w:rsid w:val="514F6CFA"/>
    <w:rsid w:val="51510956"/>
    <w:rsid w:val="51515878"/>
    <w:rsid w:val="51546018"/>
    <w:rsid w:val="515A3F3F"/>
    <w:rsid w:val="51604FF9"/>
    <w:rsid w:val="516146E9"/>
    <w:rsid w:val="51634BD2"/>
    <w:rsid w:val="51656440"/>
    <w:rsid w:val="516C77CE"/>
    <w:rsid w:val="5181771E"/>
    <w:rsid w:val="51825B7D"/>
    <w:rsid w:val="51874608"/>
    <w:rsid w:val="518C60C3"/>
    <w:rsid w:val="519B6306"/>
    <w:rsid w:val="519F7BA4"/>
    <w:rsid w:val="51A72505"/>
    <w:rsid w:val="51AC0513"/>
    <w:rsid w:val="51B17C8C"/>
    <w:rsid w:val="51B8633F"/>
    <w:rsid w:val="51BA0A64"/>
    <w:rsid w:val="51D07D5D"/>
    <w:rsid w:val="51D43C69"/>
    <w:rsid w:val="51D610EC"/>
    <w:rsid w:val="51D81D37"/>
    <w:rsid w:val="51DB1A38"/>
    <w:rsid w:val="51DD247A"/>
    <w:rsid w:val="51E43809"/>
    <w:rsid w:val="51F15F26"/>
    <w:rsid w:val="51F24178"/>
    <w:rsid w:val="5201085F"/>
    <w:rsid w:val="52022072"/>
    <w:rsid w:val="520365FB"/>
    <w:rsid w:val="520D5AB6"/>
    <w:rsid w:val="520E2041"/>
    <w:rsid w:val="52187956"/>
    <w:rsid w:val="521C636E"/>
    <w:rsid w:val="52274A8C"/>
    <w:rsid w:val="522B1438"/>
    <w:rsid w:val="52320A18"/>
    <w:rsid w:val="52354064"/>
    <w:rsid w:val="5237602E"/>
    <w:rsid w:val="52385D08"/>
    <w:rsid w:val="523F4EE3"/>
    <w:rsid w:val="52466271"/>
    <w:rsid w:val="524D5419"/>
    <w:rsid w:val="52545015"/>
    <w:rsid w:val="525C4C09"/>
    <w:rsid w:val="526037D7"/>
    <w:rsid w:val="52614E59"/>
    <w:rsid w:val="526E45F0"/>
    <w:rsid w:val="5274349F"/>
    <w:rsid w:val="52831274"/>
    <w:rsid w:val="529A3406"/>
    <w:rsid w:val="529B480F"/>
    <w:rsid w:val="52A15B9E"/>
    <w:rsid w:val="52A67AD8"/>
    <w:rsid w:val="52AE0F25"/>
    <w:rsid w:val="52BA3B47"/>
    <w:rsid w:val="52C62411"/>
    <w:rsid w:val="52CA1FFA"/>
    <w:rsid w:val="52CB6777"/>
    <w:rsid w:val="52D23FA9"/>
    <w:rsid w:val="52F3664B"/>
    <w:rsid w:val="52F60FC2"/>
    <w:rsid w:val="52F77A78"/>
    <w:rsid w:val="52F974F9"/>
    <w:rsid w:val="53045871"/>
    <w:rsid w:val="5305612D"/>
    <w:rsid w:val="53092B6E"/>
    <w:rsid w:val="53193986"/>
    <w:rsid w:val="531A11E6"/>
    <w:rsid w:val="531B681C"/>
    <w:rsid w:val="531E7B67"/>
    <w:rsid w:val="53230A20"/>
    <w:rsid w:val="53245088"/>
    <w:rsid w:val="532F6D06"/>
    <w:rsid w:val="533604A7"/>
    <w:rsid w:val="53514ECE"/>
    <w:rsid w:val="53530C46"/>
    <w:rsid w:val="535624E4"/>
    <w:rsid w:val="53696641"/>
    <w:rsid w:val="53740BBC"/>
    <w:rsid w:val="53742D3F"/>
    <w:rsid w:val="53784B50"/>
    <w:rsid w:val="537D35F0"/>
    <w:rsid w:val="53857B77"/>
    <w:rsid w:val="5386726D"/>
    <w:rsid w:val="53876B42"/>
    <w:rsid w:val="538F7D35"/>
    <w:rsid w:val="53913FD2"/>
    <w:rsid w:val="539A04C4"/>
    <w:rsid w:val="539A6875"/>
    <w:rsid w:val="539E183B"/>
    <w:rsid w:val="539F20DD"/>
    <w:rsid w:val="53A80020"/>
    <w:rsid w:val="53BF0089"/>
    <w:rsid w:val="53CC577A"/>
    <w:rsid w:val="53D16E29"/>
    <w:rsid w:val="53D37FD9"/>
    <w:rsid w:val="53D75CDF"/>
    <w:rsid w:val="53D8739D"/>
    <w:rsid w:val="53DD2C05"/>
    <w:rsid w:val="53F43F3C"/>
    <w:rsid w:val="53F97A28"/>
    <w:rsid w:val="53FA5565"/>
    <w:rsid w:val="53FD32A8"/>
    <w:rsid w:val="54076A80"/>
    <w:rsid w:val="540B5391"/>
    <w:rsid w:val="54137DDD"/>
    <w:rsid w:val="54161C73"/>
    <w:rsid w:val="541859EC"/>
    <w:rsid w:val="541E281C"/>
    <w:rsid w:val="541F4FCC"/>
    <w:rsid w:val="54224ABC"/>
    <w:rsid w:val="542733FC"/>
    <w:rsid w:val="544E765F"/>
    <w:rsid w:val="54556C40"/>
    <w:rsid w:val="545C3E65"/>
    <w:rsid w:val="545C7FCE"/>
    <w:rsid w:val="5488491F"/>
    <w:rsid w:val="548D0188"/>
    <w:rsid w:val="54A838CA"/>
    <w:rsid w:val="54B95421"/>
    <w:rsid w:val="54BC4E4B"/>
    <w:rsid w:val="54D63616"/>
    <w:rsid w:val="54DC2EBD"/>
    <w:rsid w:val="54DE09E3"/>
    <w:rsid w:val="54E83610"/>
    <w:rsid w:val="54F96A25"/>
    <w:rsid w:val="54FC70BB"/>
    <w:rsid w:val="550541C2"/>
    <w:rsid w:val="5519681F"/>
    <w:rsid w:val="551C5397"/>
    <w:rsid w:val="551E3BF4"/>
    <w:rsid w:val="55310BB1"/>
    <w:rsid w:val="55374C4D"/>
    <w:rsid w:val="55441A66"/>
    <w:rsid w:val="55471B4F"/>
    <w:rsid w:val="554747DA"/>
    <w:rsid w:val="554C1610"/>
    <w:rsid w:val="556A76F5"/>
    <w:rsid w:val="557E1131"/>
    <w:rsid w:val="55817E9C"/>
    <w:rsid w:val="558275C0"/>
    <w:rsid w:val="558B5C10"/>
    <w:rsid w:val="558F6181"/>
    <w:rsid w:val="55937A20"/>
    <w:rsid w:val="5597266E"/>
    <w:rsid w:val="55986DE4"/>
    <w:rsid w:val="55A21A11"/>
    <w:rsid w:val="55A6797E"/>
    <w:rsid w:val="55AA2FBB"/>
    <w:rsid w:val="55B160F8"/>
    <w:rsid w:val="55B54DBF"/>
    <w:rsid w:val="55B6271A"/>
    <w:rsid w:val="55BA253B"/>
    <w:rsid w:val="55C654AF"/>
    <w:rsid w:val="55D456C7"/>
    <w:rsid w:val="55ED26BD"/>
    <w:rsid w:val="55EE4C56"/>
    <w:rsid w:val="55F126A2"/>
    <w:rsid w:val="55FB0CB5"/>
    <w:rsid w:val="55FB2ED6"/>
    <w:rsid w:val="55FF3307"/>
    <w:rsid w:val="56002BDB"/>
    <w:rsid w:val="56116B96"/>
    <w:rsid w:val="561623FF"/>
    <w:rsid w:val="562C6189"/>
    <w:rsid w:val="562D52AD"/>
    <w:rsid w:val="56446F6C"/>
    <w:rsid w:val="56484A2A"/>
    <w:rsid w:val="564927D4"/>
    <w:rsid w:val="565C42B5"/>
    <w:rsid w:val="565C6063"/>
    <w:rsid w:val="565D002E"/>
    <w:rsid w:val="5664316A"/>
    <w:rsid w:val="5689605B"/>
    <w:rsid w:val="568F2B16"/>
    <w:rsid w:val="56980A19"/>
    <w:rsid w:val="569D042A"/>
    <w:rsid w:val="569F2876"/>
    <w:rsid w:val="56AB31C9"/>
    <w:rsid w:val="56AF4295"/>
    <w:rsid w:val="56B57E6A"/>
    <w:rsid w:val="56BE6663"/>
    <w:rsid w:val="56C105BC"/>
    <w:rsid w:val="56C6317F"/>
    <w:rsid w:val="56CD4836"/>
    <w:rsid w:val="56D06A51"/>
    <w:rsid w:val="56DA167E"/>
    <w:rsid w:val="56DC38CD"/>
    <w:rsid w:val="56E12A0D"/>
    <w:rsid w:val="56F20776"/>
    <w:rsid w:val="56F83290"/>
    <w:rsid w:val="5705494D"/>
    <w:rsid w:val="5726528A"/>
    <w:rsid w:val="572C1A37"/>
    <w:rsid w:val="572D5C52"/>
    <w:rsid w:val="572F05C2"/>
    <w:rsid w:val="57342B3C"/>
    <w:rsid w:val="57375523"/>
    <w:rsid w:val="57376AD1"/>
    <w:rsid w:val="573E45C9"/>
    <w:rsid w:val="574E6345"/>
    <w:rsid w:val="575136EE"/>
    <w:rsid w:val="57560E28"/>
    <w:rsid w:val="57603C0D"/>
    <w:rsid w:val="57715383"/>
    <w:rsid w:val="57727B09"/>
    <w:rsid w:val="577725DD"/>
    <w:rsid w:val="578C6F72"/>
    <w:rsid w:val="57930396"/>
    <w:rsid w:val="57954387"/>
    <w:rsid w:val="579C433B"/>
    <w:rsid w:val="57A44166"/>
    <w:rsid w:val="57A51C8C"/>
    <w:rsid w:val="57A71560"/>
    <w:rsid w:val="57AC4DC9"/>
    <w:rsid w:val="57B00FAE"/>
    <w:rsid w:val="57BB14B0"/>
    <w:rsid w:val="57BB325E"/>
    <w:rsid w:val="57BF4FAD"/>
    <w:rsid w:val="57C02AE0"/>
    <w:rsid w:val="57C07884"/>
    <w:rsid w:val="57C322A5"/>
    <w:rsid w:val="57C9435F"/>
    <w:rsid w:val="57CD7781"/>
    <w:rsid w:val="57D14ADB"/>
    <w:rsid w:val="57D165DD"/>
    <w:rsid w:val="57D23982"/>
    <w:rsid w:val="57DA0D96"/>
    <w:rsid w:val="57E02CC4"/>
    <w:rsid w:val="57F44383"/>
    <w:rsid w:val="57F549C2"/>
    <w:rsid w:val="58005114"/>
    <w:rsid w:val="580746F5"/>
    <w:rsid w:val="5816378D"/>
    <w:rsid w:val="581806B0"/>
    <w:rsid w:val="58201313"/>
    <w:rsid w:val="582C5F09"/>
    <w:rsid w:val="58300F55"/>
    <w:rsid w:val="583A23D4"/>
    <w:rsid w:val="583B614D"/>
    <w:rsid w:val="583F3E8F"/>
    <w:rsid w:val="58417C07"/>
    <w:rsid w:val="58421289"/>
    <w:rsid w:val="584623BC"/>
    <w:rsid w:val="5847689F"/>
    <w:rsid w:val="584D3B9A"/>
    <w:rsid w:val="584F3987"/>
    <w:rsid w:val="585F255F"/>
    <w:rsid w:val="585F6B74"/>
    <w:rsid w:val="58604A89"/>
    <w:rsid w:val="586E207E"/>
    <w:rsid w:val="58747034"/>
    <w:rsid w:val="587B4D5C"/>
    <w:rsid w:val="587E5213"/>
    <w:rsid w:val="587F6039"/>
    <w:rsid w:val="58A34D5F"/>
    <w:rsid w:val="58A35581"/>
    <w:rsid w:val="58AE3B8C"/>
    <w:rsid w:val="58B303D9"/>
    <w:rsid w:val="58C223CA"/>
    <w:rsid w:val="58CE6FC1"/>
    <w:rsid w:val="58D97E3F"/>
    <w:rsid w:val="58FD49A6"/>
    <w:rsid w:val="59007038"/>
    <w:rsid w:val="590B78D0"/>
    <w:rsid w:val="59141B97"/>
    <w:rsid w:val="59151DCD"/>
    <w:rsid w:val="59194032"/>
    <w:rsid w:val="59232E69"/>
    <w:rsid w:val="593132EC"/>
    <w:rsid w:val="593156E3"/>
    <w:rsid w:val="59376914"/>
    <w:rsid w:val="59395577"/>
    <w:rsid w:val="593F3A1A"/>
    <w:rsid w:val="59462FFB"/>
    <w:rsid w:val="594A2AEB"/>
    <w:rsid w:val="59513AB5"/>
    <w:rsid w:val="59527BF2"/>
    <w:rsid w:val="59661719"/>
    <w:rsid w:val="597731B4"/>
    <w:rsid w:val="597B2CA5"/>
    <w:rsid w:val="597C07CB"/>
    <w:rsid w:val="59842DB3"/>
    <w:rsid w:val="598A7263"/>
    <w:rsid w:val="599E4BE5"/>
    <w:rsid w:val="59AE3F72"/>
    <w:rsid w:val="59B0134C"/>
    <w:rsid w:val="59BD150F"/>
    <w:rsid w:val="59C3251A"/>
    <w:rsid w:val="59C84F9A"/>
    <w:rsid w:val="59CF1242"/>
    <w:rsid w:val="59DE003F"/>
    <w:rsid w:val="59E74B76"/>
    <w:rsid w:val="59FE7432"/>
    <w:rsid w:val="5A036B00"/>
    <w:rsid w:val="5A054C64"/>
    <w:rsid w:val="5A07278A"/>
    <w:rsid w:val="5A0B35CF"/>
    <w:rsid w:val="5A0F49BB"/>
    <w:rsid w:val="5A137E72"/>
    <w:rsid w:val="5A144EA7"/>
    <w:rsid w:val="5A1C4756"/>
    <w:rsid w:val="5A1D5B0A"/>
    <w:rsid w:val="5A292701"/>
    <w:rsid w:val="5A2C6997"/>
    <w:rsid w:val="5A356641"/>
    <w:rsid w:val="5A491950"/>
    <w:rsid w:val="5A4B68C4"/>
    <w:rsid w:val="5A5B4884"/>
    <w:rsid w:val="5A5F40F5"/>
    <w:rsid w:val="5A9B2FA5"/>
    <w:rsid w:val="5AA01C01"/>
    <w:rsid w:val="5AB32912"/>
    <w:rsid w:val="5AB3646E"/>
    <w:rsid w:val="5ABF12B7"/>
    <w:rsid w:val="5AC32B55"/>
    <w:rsid w:val="5AC60FFE"/>
    <w:rsid w:val="5AC93C07"/>
    <w:rsid w:val="5AD92379"/>
    <w:rsid w:val="5ADC7A11"/>
    <w:rsid w:val="5ADE7AC7"/>
    <w:rsid w:val="5AE5316A"/>
    <w:rsid w:val="5AE56A16"/>
    <w:rsid w:val="5AF12595"/>
    <w:rsid w:val="5AF80325"/>
    <w:rsid w:val="5AF97FC7"/>
    <w:rsid w:val="5B0B381E"/>
    <w:rsid w:val="5B184E26"/>
    <w:rsid w:val="5B264E92"/>
    <w:rsid w:val="5B2D5BCB"/>
    <w:rsid w:val="5B392E17"/>
    <w:rsid w:val="5B4829AC"/>
    <w:rsid w:val="5B4F5D70"/>
    <w:rsid w:val="5B523ED9"/>
    <w:rsid w:val="5B5E287E"/>
    <w:rsid w:val="5B6065F6"/>
    <w:rsid w:val="5B61411C"/>
    <w:rsid w:val="5B660E23"/>
    <w:rsid w:val="5B751975"/>
    <w:rsid w:val="5B871DD5"/>
    <w:rsid w:val="5B9333DF"/>
    <w:rsid w:val="5B9C1255"/>
    <w:rsid w:val="5B9F6F68"/>
    <w:rsid w:val="5BA26C0E"/>
    <w:rsid w:val="5BAA7871"/>
    <w:rsid w:val="5BAD22B7"/>
    <w:rsid w:val="5BAF4E87"/>
    <w:rsid w:val="5BB46942"/>
    <w:rsid w:val="5BB955B3"/>
    <w:rsid w:val="5BBA3104"/>
    <w:rsid w:val="5BBA55DA"/>
    <w:rsid w:val="5BBB7CD0"/>
    <w:rsid w:val="5BC00E43"/>
    <w:rsid w:val="5BCC3C8B"/>
    <w:rsid w:val="5BD3501A"/>
    <w:rsid w:val="5BE82147"/>
    <w:rsid w:val="5BF704FE"/>
    <w:rsid w:val="5C011BA8"/>
    <w:rsid w:val="5C090A3C"/>
    <w:rsid w:val="5C240D74"/>
    <w:rsid w:val="5C28084B"/>
    <w:rsid w:val="5C2E04A2"/>
    <w:rsid w:val="5C324EBB"/>
    <w:rsid w:val="5C3A5109"/>
    <w:rsid w:val="5C3D6937"/>
    <w:rsid w:val="5C406CB7"/>
    <w:rsid w:val="5C470E51"/>
    <w:rsid w:val="5C57793B"/>
    <w:rsid w:val="5C702869"/>
    <w:rsid w:val="5C746C44"/>
    <w:rsid w:val="5C762270"/>
    <w:rsid w:val="5C7834CB"/>
    <w:rsid w:val="5C7F0CFE"/>
    <w:rsid w:val="5C89392A"/>
    <w:rsid w:val="5C937DFC"/>
    <w:rsid w:val="5C9D2039"/>
    <w:rsid w:val="5CAE3391"/>
    <w:rsid w:val="5CB7111F"/>
    <w:rsid w:val="5CBA2DDF"/>
    <w:rsid w:val="5CC94E59"/>
    <w:rsid w:val="5CD35EAB"/>
    <w:rsid w:val="5CE43CD7"/>
    <w:rsid w:val="5CEB0141"/>
    <w:rsid w:val="5CEC5C67"/>
    <w:rsid w:val="5CF214D0"/>
    <w:rsid w:val="5CF52D6E"/>
    <w:rsid w:val="5CF87400"/>
    <w:rsid w:val="5CFC40FC"/>
    <w:rsid w:val="5D07484F"/>
    <w:rsid w:val="5D094A6B"/>
    <w:rsid w:val="5D172CE4"/>
    <w:rsid w:val="5D1B071B"/>
    <w:rsid w:val="5D1F428F"/>
    <w:rsid w:val="5D1F7BA4"/>
    <w:rsid w:val="5D211DB5"/>
    <w:rsid w:val="5D301FE9"/>
    <w:rsid w:val="5D39507C"/>
    <w:rsid w:val="5D3E4715"/>
    <w:rsid w:val="5D550870"/>
    <w:rsid w:val="5D625C45"/>
    <w:rsid w:val="5D645BD9"/>
    <w:rsid w:val="5D6A375C"/>
    <w:rsid w:val="5D6E2FF5"/>
    <w:rsid w:val="5D79574D"/>
    <w:rsid w:val="5D7A7717"/>
    <w:rsid w:val="5D8D744A"/>
    <w:rsid w:val="5D903003"/>
    <w:rsid w:val="5D91062E"/>
    <w:rsid w:val="5D916F3A"/>
    <w:rsid w:val="5D91764D"/>
    <w:rsid w:val="5D92680F"/>
    <w:rsid w:val="5D9702C9"/>
    <w:rsid w:val="5DA86032"/>
    <w:rsid w:val="5DC06809"/>
    <w:rsid w:val="5DC51869"/>
    <w:rsid w:val="5DD8586D"/>
    <w:rsid w:val="5DF25AB9"/>
    <w:rsid w:val="5DF9063C"/>
    <w:rsid w:val="5E070FAB"/>
    <w:rsid w:val="5E0771FD"/>
    <w:rsid w:val="5E2002BE"/>
    <w:rsid w:val="5E2D6537"/>
    <w:rsid w:val="5E2F405E"/>
    <w:rsid w:val="5E3237B7"/>
    <w:rsid w:val="5E345B18"/>
    <w:rsid w:val="5E3873B6"/>
    <w:rsid w:val="5E466F95"/>
    <w:rsid w:val="5E4C10B3"/>
    <w:rsid w:val="5E9207D8"/>
    <w:rsid w:val="5EB8703A"/>
    <w:rsid w:val="5ECE3876"/>
    <w:rsid w:val="5EEE4714"/>
    <w:rsid w:val="5EF1551A"/>
    <w:rsid w:val="5EF77271"/>
    <w:rsid w:val="5EF80374"/>
    <w:rsid w:val="5F024678"/>
    <w:rsid w:val="5F053B18"/>
    <w:rsid w:val="5F184840"/>
    <w:rsid w:val="5F1B67BC"/>
    <w:rsid w:val="5F1D188E"/>
    <w:rsid w:val="5F202C83"/>
    <w:rsid w:val="5F2B6F1B"/>
    <w:rsid w:val="5F3D6974"/>
    <w:rsid w:val="5F4405DA"/>
    <w:rsid w:val="5F4D6E91"/>
    <w:rsid w:val="5F5C0E82"/>
    <w:rsid w:val="5F5F4E16"/>
    <w:rsid w:val="5F666820"/>
    <w:rsid w:val="5F691E20"/>
    <w:rsid w:val="5F6C4D91"/>
    <w:rsid w:val="5F6C70B9"/>
    <w:rsid w:val="5F702B80"/>
    <w:rsid w:val="5F774159"/>
    <w:rsid w:val="5F7C0E77"/>
    <w:rsid w:val="5F7C7130"/>
    <w:rsid w:val="5F7E529D"/>
    <w:rsid w:val="5F904FD0"/>
    <w:rsid w:val="5F956732"/>
    <w:rsid w:val="5FA12D39"/>
    <w:rsid w:val="5FA37C6E"/>
    <w:rsid w:val="5FA840C8"/>
    <w:rsid w:val="5FAE2581"/>
    <w:rsid w:val="5FB5798A"/>
    <w:rsid w:val="5FB81695"/>
    <w:rsid w:val="5FC058B5"/>
    <w:rsid w:val="5FC11A7D"/>
    <w:rsid w:val="5FD066A7"/>
    <w:rsid w:val="5FD74B5C"/>
    <w:rsid w:val="5FD90A2F"/>
    <w:rsid w:val="5FE8797A"/>
    <w:rsid w:val="5FED5713"/>
    <w:rsid w:val="60027D9D"/>
    <w:rsid w:val="6005190A"/>
    <w:rsid w:val="600A2FD4"/>
    <w:rsid w:val="601B7BB2"/>
    <w:rsid w:val="60200CB0"/>
    <w:rsid w:val="60284E05"/>
    <w:rsid w:val="60290ED7"/>
    <w:rsid w:val="602A5424"/>
    <w:rsid w:val="60316970"/>
    <w:rsid w:val="6037544B"/>
    <w:rsid w:val="6041122C"/>
    <w:rsid w:val="60462495"/>
    <w:rsid w:val="60522285"/>
    <w:rsid w:val="6065645C"/>
    <w:rsid w:val="606D70BF"/>
    <w:rsid w:val="607246D5"/>
    <w:rsid w:val="60730FB2"/>
    <w:rsid w:val="60765F74"/>
    <w:rsid w:val="60784BED"/>
    <w:rsid w:val="6089214B"/>
    <w:rsid w:val="609B5190"/>
    <w:rsid w:val="609D79A4"/>
    <w:rsid w:val="60A31AAA"/>
    <w:rsid w:val="60A800F7"/>
    <w:rsid w:val="60B60A66"/>
    <w:rsid w:val="60C018E5"/>
    <w:rsid w:val="60C110F2"/>
    <w:rsid w:val="60C57B37"/>
    <w:rsid w:val="60C74A21"/>
    <w:rsid w:val="60DB04CD"/>
    <w:rsid w:val="60E03D35"/>
    <w:rsid w:val="60E0467B"/>
    <w:rsid w:val="60E47381"/>
    <w:rsid w:val="60EB2239"/>
    <w:rsid w:val="60FA7552"/>
    <w:rsid w:val="60FE7D87"/>
    <w:rsid w:val="610417D1"/>
    <w:rsid w:val="610619ED"/>
    <w:rsid w:val="61083690"/>
    <w:rsid w:val="610E43FE"/>
    <w:rsid w:val="611539DF"/>
    <w:rsid w:val="61236A71"/>
    <w:rsid w:val="61245826"/>
    <w:rsid w:val="612B6F58"/>
    <w:rsid w:val="613F01CC"/>
    <w:rsid w:val="61410F0A"/>
    <w:rsid w:val="61446072"/>
    <w:rsid w:val="61453B98"/>
    <w:rsid w:val="614849A5"/>
    <w:rsid w:val="614A21CC"/>
    <w:rsid w:val="614B18FC"/>
    <w:rsid w:val="614C4415"/>
    <w:rsid w:val="61663D80"/>
    <w:rsid w:val="61706E67"/>
    <w:rsid w:val="6183303E"/>
    <w:rsid w:val="6186668A"/>
    <w:rsid w:val="619D2C60"/>
    <w:rsid w:val="61B332C9"/>
    <w:rsid w:val="61B9248A"/>
    <w:rsid w:val="61B96429"/>
    <w:rsid w:val="61C10B9B"/>
    <w:rsid w:val="61C13B66"/>
    <w:rsid w:val="61CB22EF"/>
    <w:rsid w:val="61D54F1C"/>
    <w:rsid w:val="61DD4F82"/>
    <w:rsid w:val="61E12FCC"/>
    <w:rsid w:val="61EF2482"/>
    <w:rsid w:val="62004913"/>
    <w:rsid w:val="62053F8F"/>
    <w:rsid w:val="621023F8"/>
    <w:rsid w:val="62126170"/>
    <w:rsid w:val="621B67DC"/>
    <w:rsid w:val="623A2FEC"/>
    <w:rsid w:val="62424FE3"/>
    <w:rsid w:val="624B3430"/>
    <w:rsid w:val="6254522A"/>
    <w:rsid w:val="625B61B1"/>
    <w:rsid w:val="62632ACF"/>
    <w:rsid w:val="626764BC"/>
    <w:rsid w:val="62737F48"/>
    <w:rsid w:val="627B1F67"/>
    <w:rsid w:val="627D7A8D"/>
    <w:rsid w:val="628138E6"/>
    <w:rsid w:val="62834A67"/>
    <w:rsid w:val="62A736DB"/>
    <w:rsid w:val="62AB5325"/>
    <w:rsid w:val="62B36A33"/>
    <w:rsid w:val="62B66AFB"/>
    <w:rsid w:val="62B757B3"/>
    <w:rsid w:val="62B86B32"/>
    <w:rsid w:val="62C03E1E"/>
    <w:rsid w:val="62D277C0"/>
    <w:rsid w:val="62D376AD"/>
    <w:rsid w:val="62D9673A"/>
    <w:rsid w:val="62E47C5E"/>
    <w:rsid w:val="62F13C79"/>
    <w:rsid w:val="62F367FA"/>
    <w:rsid w:val="62F633A7"/>
    <w:rsid w:val="62F77A3F"/>
    <w:rsid w:val="63027F93"/>
    <w:rsid w:val="630946E6"/>
    <w:rsid w:val="63176665"/>
    <w:rsid w:val="631D10B7"/>
    <w:rsid w:val="632048BD"/>
    <w:rsid w:val="63224191"/>
    <w:rsid w:val="6323272C"/>
    <w:rsid w:val="63237EAE"/>
    <w:rsid w:val="63260125"/>
    <w:rsid w:val="633D546F"/>
    <w:rsid w:val="633E2CD0"/>
    <w:rsid w:val="6341346A"/>
    <w:rsid w:val="634B7B8C"/>
    <w:rsid w:val="635A1B7D"/>
    <w:rsid w:val="636B729C"/>
    <w:rsid w:val="638D1F52"/>
    <w:rsid w:val="638D2E08"/>
    <w:rsid w:val="638E5CCA"/>
    <w:rsid w:val="63923640"/>
    <w:rsid w:val="63936E3D"/>
    <w:rsid w:val="63941C2B"/>
    <w:rsid w:val="63970B48"/>
    <w:rsid w:val="63A334D6"/>
    <w:rsid w:val="63A86D8C"/>
    <w:rsid w:val="63A92B04"/>
    <w:rsid w:val="63BF7C32"/>
    <w:rsid w:val="63C661CF"/>
    <w:rsid w:val="63C81852"/>
    <w:rsid w:val="63CB2A7A"/>
    <w:rsid w:val="63D27FA2"/>
    <w:rsid w:val="63D468CD"/>
    <w:rsid w:val="63DC6546"/>
    <w:rsid w:val="63E458EA"/>
    <w:rsid w:val="63EA73A4"/>
    <w:rsid w:val="6401388B"/>
    <w:rsid w:val="64061D04"/>
    <w:rsid w:val="64166221"/>
    <w:rsid w:val="641A0B3B"/>
    <w:rsid w:val="641F5588"/>
    <w:rsid w:val="642301C1"/>
    <w:rsid w:val="642645FF"/>
    <w:rsid w:val="642F23A3"/>
    <w:rsid w:val="64304AD3"/>
    <w:rsid w:val="64340620"/>
    <w:rsid w:val="64415671"/>
    <w:rsid w:val="64494809"/>
    <w:rsid w:val="644A63A5"/>
    <w:rsid w:val="644D471F"/>
    <w:rsid w:val="644F5459"/>
    <w:rsid w:val="64524F4A"/>
    <w:rsid w:val="645A795A"/>
    <w:rsid w:val="64630F05"/>
    <w:rsid w:val="64677D00"/>
    <w:rsid w:val="646802C9"/>
    <w:rsid w:val="646A4041"/>
    <w:rsid w:val="64753E92"/>
    <w:rsid w:val="647B51FC"/>
    <w:rsid w:val="647E5D3F"/>
    <w:rsid w:val="648D7D30"/>
    <w:rsid w:val="64962602"/>
    <w:rsid w:val="6498408C"/>
    <w:rsid w:val="649C0B1C"/>
    <w:rsid w:val="649E3CEB"/>
    <w:rsid w:val="64BE613B"/>
    <w:rsid w:val="64C3480F"/>
    <w:rsid w:val="64D57A1F"/>
    <w:rsid w:val="64D73362"/>
    <w:rsid w:val="64DA1768"/>
    <w:rsid w:val="64ED7E6E"/>
    <w:rsid w:val="64EE6A20"/>
    <w:rsid w:val="64F10453"/>
    <w:rsid w:val="64F46001"/>
    <w:rsid w:val="65077AE2"/>
    <w:rsid w:val="6509385A"/>
    <w:rsid w:val="651544CC"/>
    <w:rsid w:val="65183C78"/>
    <w:rsid w:val="651B655C"/>
    <w:rsid w:val="65295E95"/>
    <w:rsid w:val="65362175"/>
    <w:rsid w:val="654C1999"/>
    <w:rsid w:val="654F74E9"/>
    <w:rsid w:val="655B1BDC"/>
    <w:rsid w:val="656F757A"/>
    <w:rsid w:val="65766A16"/>
    <w:rsid w:val="657809E0"/>
    <w:rsid w:val="658B24C1"/>
    <w:rsid w:val="65A5140D"/>
    <w:rsid w:val="65AC2438"/>
    <w:rsid w:val="65AF6FCA"/>
    <w:rsid w:val="65B5582D"/>
    <w:rsid w:val="65B65BD3"/>
    <w:rsid w:val="65C55F32"/>
    <w:rsid w:val="65C77271"/>
    <w:rsid w:val="65D379C4"/>
    <w:rsid w:val="65D73DB9"/>
    <w:rsid w:val="65DA0046"/>
    <w:rsid w:val="65DC4ACB"/>
    <w:rsid w:val="65E258D7"/>
    <w:rsid w:val="65FC6F1B"/>
    <w:rsid w:val="661359B4"/>
    <w:rsid w:val="661437A3"/>
    <w:rsid w:val="661F2352"/>
    <w:rsid w:val="6620641E"/>
    <w:rsid w:val="66272272"/>
    <w:rsid w:val="663C37BC"/>
    <w:rsid w:val="663C3D3B"/>
    <w:rsid w:val="66412771"/>
    <w:rsid w:val="664454FD"/>
    <w:rsid w:val="66502D3D"/>
    <w:rsid w:val="6650370B"/>
    <w:rsid w:val="66547B35"/>
    <w:rsid w:val="66641EA0"/>
    <w:rsid w:val="666A657B"/>
    <w:rsid w:val="666D1BC7"/>
    <w:rsid w:val="6674246D"/>
    <w:rsid w:val="667E15C1"/>
    <w:rsid w:val="668634E4"/>
    <w:rsid w:val="668F1B3D"/>
    <w:rsid w:val="669F5755"/>
    <w:rsid w:val="66A52A5D"/>
    <w:rsid w:val="66B5531C"/>
    <w:rsid w:val="66BE0674"/>
    <w:rsid w:val="66BF6299"/>
    <w:rsid w:val="66C7475A"/>
    <w:rsid w:val="66C818F5"/>
    <w:rsid w:val="66C832A1"/>
    <w:rsid w:val="66CD08B8"/>
    <w:rsid w:val="66D02156"/>
    <w:rsid w:val="66D34FBE"/>
    <w:rsid w:val="66D42523"/>
    <w:rsid w:val="66D802D5"/>
    <w:rsid w:val="66D87988"/>
    <w:rsid w:val="66E12DB6"/>
    <w:rsid w:val="66E26937"/>
    <w:rsid w:val="66EB7F2E"/>
    <w:rsid w:val="66F9345B"/>
    <w:rsid w:val="66FE3167"/>
    <w:rsid w:val="67083A96"/>
    <w:rsid w:val="67112E9A"/>
    <w:rsid w:val="67192198"/>
    <w:rsid w:val="6723438B"/>
    <w:rsid w:val="67292831"/>
    <w:rsid w:val="672A5D0A"/>
    <w:rsid w:val="67310E46"/>
    <w:rsid w:val="67342ACD"/>
    <w:rsid w:val="67380427"/>
    <w:rsid w:val="67386679"/>
    <w:rsid w:val="674376A2"/>
    <w:rsid w:val="674E19F8"/>
    <w:rsid w:val="6753700F"/>
    <w:rsid w:val="675604BE"/>
    <w:rsid w:val="676034DA"/>
    <w:rsid w:val="676A6106"/>
    <w:rsid w:val="67751652"/>
    <w:rsid w:val="677C0D94"/>
    <w:rsid w:val="678278F4"/>
    <w:rsid w:val="67852F40"/>
    <w:rsid w:val="678710AA"/>
    <w:rsid w:val="6787315C"/>
    <w:rsid w:val="67AB7E5E"/>
    <w:rsid w:val="67B252CA"/>
    <w:rsid w:val="67C9107F"/>
    <w:rsid w:val="67DA7730"/>
    <w:rsid w:val="67E20393"/>
    <w:rsid w:val="67E4235D"/>
    <w:rsid w:val="67ED19DC"/>
    <w:rsid w:val="68242759"/>
    <w:rsid w:val="682B3AE8"/>
    <w:rsid w:val="68322928"/>
    <w:rsid w:val="683949F8"/>
    <w:rsid w:val="683A01CF"/>
    <w:rsid w:val="68464DC5"/>
    <w:rsid w:val="684828EC"/>
    <w:rsid w:val="68486F64"/>
    <w:rsid w:val="68524D33"/>
    <w:rsid w:val="685E210F"/>
    <w:rsid w:val="686F2C7D"/>
    <w:rsid w:val="6870599E"/>
    <w:rsid w:val="68815DFE"/>
    <w:rsid w:val="68817BAC"/>
    <w:rsid w:val="68930A4D"/>
    <w:rsid w:val="68996CA3"/>
    <w:rsid w:val="68A8338A"/>
    <w:rsid w:val="68AB2E7A"/>
    <w:rsid w:val="68B14264"/>
    <w:rsid w:val="68BC79E2"/>
    <w:rsid w:val="68C53F3C"/>
    <w:rsid w:val="68C61505"/>
    <w:rsid w:val="68C76BF4"/>
    <w:rsid w:val="68C83A2C"/>
    <w:rsid w:val="68C87588"/>
    <w:rsid w:val="68E32CAF"/>
    <w:rsid w:val="68EA5751"/>
    <w:rsid w:val="68EC771B"/>
    <w:rsid w:val="68F12951"/>
    <w:rsid w:val="68F546E4"/>
    <w:rsid w:val="69090891"/>
    <w:rsid w:val="69117181"/>
    <w:rsid w:val="69132EFA"/>
    <w:rsid w:val="691D5B26"/>
    <w:rsid w:val="6923313C"/>
    <w:rsid w:val="692C7B17"/>
    <w:rsid w:val="692F0C0E"/>
    <w:rsid w:val="694330B3"/>
    <w:rsid w:val="69482477"/>
    <w:rsid w:val="69586B2A"/>
    <w:rsid w:val="695928D6"/>
    <w:rsid w:val="69600675"/>
    <w:rsid w:val="6961473D"/>
    <w:rsid w:val="697119CE"/>
    <w:rsid w:val="69920D14"/>
    <w:rsid w:val="69937535"/>
    <w:rsid w:val="69990E9B"/>
    <w:rsid w:val="699D0A15"/>
    <w:rsid w:val="699F599C"/>
    <w:rsid w:val="69A00505"/>
    <w:rsid w:val="69A73642"/>
    <w:rsid w:val="69AE2C22"/>
    <w:rsid w:val="69AE49D0"/>
    <w:rsid w:val="69BA7CAB"/>
    <w:rsid w:val="69C96DE4"/>
    <w:rsid w:val="69D91DB7"/>
    <w:rsid w:val="69F9606F"/>
    <w:rsid w:val="69F973A6"/>
    <w:rsid w:val="6A18009C"/>
    <w:rsid w:val="6A276531"/>
    <w:rsid w:val="6A276E20"/>
    <w:rsid w:val="6A2904FB"/>
    <w:rsid w:val="6A2B18B9"/>
    <w:rsid w:val="6A2B6021"/>
    <w:rsid w:val="6A314239"/>
    <w:rsid w:val="6A333127"/>
    <w:rsid w:val="6A3B070D"/>
    <w:rsid w:val="6A462E5B"/>
    <w:rsid w:val="6A464C09"/>
    <w:rsid w:val="6A51077F"/>
    <w:rsid w:val="6A547570"/>
    <w:rsid w:val="6A5C612F"/>
    <w:rsid w:val="6A666343"/>
    <w:rsid w:val="6A745954"/>
    <w:rsid w:val="6A7F011B"/>
    <w:rsid w:val="6A8A71EB"/>
    <w:rsid w:val="6A8A7771"/>
    <w:rsid w:val="6A9100FA"/>
    <w:rsid w:val="6A937C16"/>
    <w:rsid w:val="6A957156"/>
    <w:rsid w:val="6A983B8E"/>
    <w:rsid w:val="6AA77B2A"/>
    <w:rsid w:val="6ABE0C43"/>
    <w:rsid w:val="6ABF49BB"/>
    <w:rsid w:val="6AC12D56"/>
    <w:rsid w:val="6AC14873"/>
    <w:rsid w:val="6AC16985"/>
    <w:rsid w:val="6AD761A9"/>
    <w:rsid w:val="6AD93CCF"/>
    <w:rsid w:val="6ADA5A47"/>
    <w:rsid w:val="6ADF0BB9"/>
    <w:rsid w:val="6AE05232"/>
    <w:rsid w:val="6AE80683"/>
    <w:rsid w:val="6AF34A17"/>
    <w:rsid w:val="6B1F6B2D"/>
    <w:rsid w:val="6B286359"/>
    <w:rsid w:val="6B357DD5"/>
    <w:rsid w:val="6B414A9F"/>
    <w:rsid w:val="6B4E56D4"/>
    <w:rsid w:val="6B564C57"/>
    <w:rsid w:val="6B58409C"/>
    <w:rsid w:val="6B615A38"/>
    <w:rsid w:val="6B64687A"/>
    <w:rsid w:val="6B7171A6"/>
    <w:rsid w:val="6B7306A0"/>
    <w:rsid w:val="6B7439F8"/>
    <w:rsid w:val="6B7632CC"/>
    <w:rsid w:val="6B80414A"/>
    <w:rsid w:val="6B8A6D77"/>
    <w:rsid w:val="6B970867"/>
    <w:rsid w:val="6BA46635"/>
    <w:rsid w:val="6BA8544F"/>
    <w:rsid w:val="6BAA5323"/>
    <w:rsid w:val="6BB667CB"/>
    <w:rsid w:val="6BB76F03"/>
    <w:rsid w:val="6BC15630"/>
    <w:rsid w:val="6BCA1582"/>
    <w:rsid w:val="6BD149A6"/>
    <w:rsid w:val="6BD526E8"/>
    <w:rsid w:val="6BDA5F51"/>
    <w:rsid w:val="6BE3587D"/>
    <w:rsid w:val="6BEF307E"/>
    <w:rsid w:val="6BF81315"/>
    <w:rsid w:val="6BF83FC8"/>
    <w:rsid w:val="6BFD1602"/>
    <w:rsid w:val="6C054650"/>
    <w:rsid w:val="6C094140"/>
    <w:rsid w:val="6C0D57D4"/>
    <w:rsid w:val="6C102297"/>
    <w:rsid w:val="6C145408"/>
    <w:rsid w:val="6C1F3963"/>
    <w:rsid w:val="6C264CF2"/>
    <w:rsid w:val="6C2C7421"/>
    <w:rsid w:val="6C33740F"/>
    <w:rsid w:val="6C417D7E"/>
    <w:rsid w:val="6C4349A5"/>
    <w:rsid w:val="6C4D6722"/>
    <w:rsid w:val="6C5850C7"/>
    <w:rsid w:val="6C5F408F"/>
    <w:rsid w:val="6C6B0957"/>
    <w:rsid w:val="6C6B4964"/>
    <w:rsid w:val="6C763C3F"/>
    <w:rsid w:val="6C7A3290"/>
    <w:rsid w:val="6C7A6DEC"/>
    <w:rsid w:val="6C81017A"/>
    <w:rsid w:val="6C8325B7"/>
    <w:rsid w:val="6C871509"/>
    <w:rsid w:val="6C8B0BDB"/>
    <w:rsid w:val="6C8B38E2"/>
    <w:rsid w:val="6C8C6B1F"/>
    <w:rsid w:val="6CA81BAB"/>
    <w:rsid w:val="6CAD41E4"/>
    <w:rsid w:val="6CAF2AE3"/>
    <w:rsid w:val="6CB06591"/>
    <w:rsid w:val="6CB322FE"/>
    <w:rsid w:val="6CB41D70"/>
    <w:rsid w:val="6CBB34DE"/>
    <w:rsid w:val="6CD81D64"/>
    <w:rsid w:val="6CEA4640"/>
    <w:rsid w:val="6CF90658"/>
    <w:rsid w:val="6D03752C"/>
    <w:rsid w:val="6D08089B"/>
    <w:rsid w:val="6D0A63C2"/>
    <w:rsid w:val="6D0D1A0E"/>
    <w:rsid w:val="6D18190A"/>
    <w:rsid w:val="6D236D50"/>
    <w:rsid w:val="6D323B6A"/>
    <w:rsid w:val="6D463172"/>
    <w:rsid w:val="6D611D5A"/>
    <w:rsid w:val="6D6A092D"/>
    <w:rsid w:val="6D6B63BD"/>
    <w:rsid w:val="6D745073"/>
    <w:rsid w:val="6D7D61E7"/>
    <w:rsid w:val="6D7E0B5E"/>
    <w:rsid w:val="6D997BCD"/>
    <w:rsid w:val="6D9C635D"/>
    <w:rsid w:val="6DA403BA"/>
    <w:rsid w:val="6DB02F1C"/>
    <w:rsid w:val="6DCB5E3C"/>
    <w:rsid w:val="6DCC18C9"/>
    <w:rsid w:val="6DCC574B"/>
    <w:rsid w:val="6DCC7B1B"/>
    <w:rsid w:val="6DCD02D1"/>
    <w:rsid w:val="6DDA7149"/>
    <w:rsid w:val="6DE2733E"/>
    <w:rsid w:val="6E001573"/>
    <w:rsid w:val="6E0252EB"/>
    <w:rsid w:val="6E080490"/>
    <w:rsid w:val="6E0F34AA"/>
    <w:rsid w:val="6E102D2D"/>
    <w:rsid w:val="6E111526"/>
    <w:rsid w:val="6E20632B"/>
    <w:rsid w:val="6E22598D"/>
    <w:rsid w:val="6E320EE9"/>
    <w:rsid w:val="6E347E5F"/>
    <w:rsid w:val="6E3570BF"/>
    <w:rsid w:val="6E3851B0"/>
    <w:rsid w:val="6E3E4D46"/>
    <w:rsid w:val="6E421B8B"/>
    <w:rsid w:val="6E4771A1"/>
    <w:rsid w:val="6E55366C"/>
    <w:rsid w:val="6E5F44EB"/>
    <w:rsid w:val="6E5F7DDF"/>
    <w:rsid w:val="6E647D53"/>
    <w:rsid w:val="6E6F3FD0"/>
    <w:rsid w:val="6E712470"/>
    <w:rsid w:val="6E764778"/>
    <w:rsid w:val="6E7F2DDF"/>
    <w:rsid w:val="6E823285"/>
    <w:rsid w:val="6E873A42"/>
    <w:rsid w:val="6E8A1A59"/>
    <w:rsid w:val="6E8B3532"/>
    <w:rsid w:val="6E9446EE"/>
    <w:rsid w:val="6E9823A7"/>
    <w:rsid w:val="6E9B41F5"/>
    <w:rsid w:val="6E9C1C78"/>
    <w:rsid w:val="6E9E457C"/>
    <w:rsid w:val="6EA2087C"/>
    <w:rsid w:val="6EA42846"/>
    <w:rsid w:val="6EA75E92"/>
    <w:rsid w:val="6EAE37AA"/>
    <w:rsid w:val="6EB03BE9"/>
    <w:rsid w:val="6EB12376"/>
    <w:rsid w:val="6EB96DE9"/>
    <w:rsid w:val="6EC03D55"/>
    <w:rsid w:val="6EC66318"/>
    <w:rsid w:val="6ED36C87"/>
    <w:rsid w:val="6ED93522"/>
    <w:rsid w:val="6EE175F6"/>
    <w:rsid w:val="6EE248E8"/>
    <w:rsid w:val="6EE3336E"/>
    <w:rsid w:val="6EE80984"/>
    <w:rsid w:val="6EF32E85"/>
    <w:rsid w:val="6F00067F"/>
    <w:rsid w:val="6F050E27"/>
    <w:rsid w:val="6F053739"/>
    <w:rsid w:val="6F082DD5"/>
    <w:rsid w:val="6F0A3808"/>
    <w:rsid w:val="6F0A7C58"/>
    <w:rsid w:val="6F0E0205"/>
    <w:rsid w:val="6F0E315C"/>
    <w:rsid w:val="6F1277AF"/>
    <w:rsid w:val="6F151E5D"/>
    <w:rsid w:val="6F1E43A6"/>
    <w:rsid w:val="6F1F3C7A"/>
    <w:rsid w:val="6F206939"/>
    <w:rsid w:val="6F411BED"/>
    <w:rsid w:val="6F450C65"/>
    <w:rsid w:val="6F4F630E"/>
    <w:rsid w:val="6F563B40"/>
    <w:rsid w:val="6F587D1B"/>
    <w:rsid w:val="6F5C6C7D"/>
    <w:rsid w:val="6F61618F"/>
    <w:rsid w:val="6F63000B"/>
    <w:rsid w:val="6F630584"/>
    <w:rsid w:val="6F742218"/>
    <w:rsid w:val="6F7C731F"/>
    <w:rsid w:val="6F8306AD"/>
    <w:rsid w:val="6F854425"/>
    <w:rsid w:val="6F8A3B27"/>
    <w:rsid w:val="6F9B77A5"/>
    <w:rsid w:val="6FA2277D"/>
    <w:rsid w:val="6FB24AEE"/>
    <w:rsid w:val="6FB34EF7"/>
    <w:rsid w:val="6FC50CC6"/>
    <w:rsid w:val="6FC62348"/>
    <w:rsid w:val="6FC752F8"/>
    <w:rsid w:val="6FCE7B7A"/>
    <w:rsid w:val="6FD35191"/>
    <w:rsid w:val="6FD9667C"/>
    <w:rsid w:val="6FDE2465"/>
    <w:rsid w:val="6FE3114C"/>
    <w:rsid w:val="6FE63176"/>
    <w:rsid w:val="6FE66138"/>
    <w:rsid w:val="6FF173C5"/>
    <w:rsid w:val="7002617F"/>
    <w:rsid w:val="702D59FC"/>
    <w:rsid w:val="70317922"/>
    <w:rsid w:val="70373BE3"/>
    <w:rsid w:val="703E6720"/>
    <w:rsid w:val="70406AC6"/>
    <w:rsid w:val="70595ACF"/>
    <w:rsid w:val="705A7660"/>
    <w:rsid w:val="705F3FE1"/>
    <w:rsid w:val="70671D7D"/>
    <w:rsid w:val="70683161"/>
    <w:rsid w:val="70691C90"/>
    <w:rsid w:val="706C7393"/>
    <w:rsid w:val="707E25EE"/>
    <w:rsid w:val="70851552"/>
    <w:rsid w:val="70942841"/>
    <w:rsid w:val="70A24B63"/>
    <w:rsid w:val="70AA0E38"/>
    <w:rsid w:val="70B12FF8"/>
    <w:rsid w:val="70B729A2"/>
    <w:rsid w:val="70BB79D3"/>
    <w:rsid w:val="70BF140D"/>
    <w:rsid w:val="70C1323B"/>
    <w:rsid w:val="70D2369A"/>
    <w:rsid w:val="70EC5DDE"/>
    <w:rsid w:val="70F058CE"/>
    <w:rsid w:val="70F4251B"/>
    <w:rsid w:val="70F84783"/>
    <w:rsid w:val="70FA499F"/>
    <w:rsid w:val="710919DB"/>
    <w:rsid w:val="710B0247"/>
    <w:rsid w:val="710B44B6"/>
    <w:rsid w:val="711517D9"/>
    <w:rsid w:val="712D267F"/>
    <w:rsid w:val="71365D56"/>
    <w:rsid w:val="713C0B14"/>
    <w:rsid w:val="71420326"/>
    <w:rsid w:val="71424522"/>
    <w:rsid w:val="71557B66"/>
    <w:rsid w:val="71576585"/>
    <w:rsid w:val="715A71EC"/>
    <w:rsid w:val="716709BD"/>
    <w:rsid w:val="7168395A"/>
    <w:rsid w:val="716A5681"/>
    <w:rsid w:val="716C6E28"/>
    <w:rsid w:val="718003CD"/>
    <w:rsid w:val="71864485"/>
    <w:rsid w:val="719B6593"/>
    <w:rsid w:val="719F452F"/>
    <w:rsid w:val="71B132B0"/>
    <w:rsid w:val="71BA3A20"/>
    <w:rsid w:val="71C11019"/>
    <w:rsid w:val="71CB167D"/>
    <w:rsid w:val="71DB032D"/>
    <w:rsid w:val="71DB657E"/>
    <w:rsid w:val="71E03B95"/>
    <w:rsid w:val="71E35433"/>
    <w:rsid w:val="71E36736"/>
    <w:rsid w:val="71E850B5"/>
    <w:rsid w:val="71EC48DE"/>
    <w:rsid w:val="71ED0060"/>
    <w:rsid w:val="71ED1855"/>
    <w:rsid w:val="71F14152"/>
    <w:rsid w:val="71F64624"/>
    <w:rsid w:val="71F74209"/>
    <w:rsid w:val="71FC2450"/>
    <w:rsid w:val="720535FB"/>
    <w:rsid w:val="720B63C1"/>
    <w:rsid w:val="721D64C2"/>
    <w:rsid w:val="721E4A14"/>
    <w:rsid w:val="721E52F8"/>
    <w:rsid w:val="722A4E10"/>
    <w:rsid w:val="723300B7"/>
    <w:rsid w:val="723D38FD"/>
    <w:rsid w:val="72411165"/>
    <w:rsid w:val="724805E6"/>
    <w:rsid w:val="725325B9"/>
    <w:rsid w:val="725B321B"/>
    <w:rsid w:val="725B7A44"/>
    <w:rsid w:val="725E4ABA"/>
    <w:rsid w:val="72600832"/>
    <w:rsid w:val="72655E48"/>
    <w:rsid w:val="726B700E"/>
    <w:rsid w:val="72712A3F"/>
    <w:rsid w:val="727D13E4"/>
    <w:rsid w:val="727F3F5E"/>
    <w:rsid w:val="727F515C"/>
    <w:rsid w:val="72930C07"/>
    <w:rsid w:val="729E4825"/>
    <w:rsid w:val="729F135A"/>
    <w:rsid w:val="72B04EE7"/>
    <w:rsid w:val="72C9287B"/>
    <w:rsid w:val="72CC5EC7"/>
    <w:rsid w:val="72CD3A92"/>
    <w:rsid w:val="72CD5174"/>
    <w:rsid w:val="72DC38A0"/>
    <w:rsid w:val="72E142B9"/>
    <w:rsid w:val="72E64933"/>
    <w:rsid w:val="72ED5EAF"/>
    <w:rsid w:val="73025D8D"/>
    <w:rsid w:val="73047625"/>
    <w:rsid w:val="73092C77"/>
    <w:rsid w:val="731A30D6"/>
    <w:rsid w:val="731F06ED"/>
    <w:rsid w:val="732401A7"/>
    <w:rsid w:val="73300AAB"/>
    <w:rsid w:val="733F6699"/>
    <w:rsid w:val="73440BBB"/>
    <w:rsid w:val="73497869"/>
    <w:rsid w:val="737A3B75"/>
    <w:rsid w:val="737C11F9"/>
    <w:rsid w:val="73812BBD"/>
    <w:rsid w:val="73872E6A"/>
    <w:rsid w:val="73986536"/>
    <w:rsid w:val="739D01CB"/>
    <w:rsid w:val="73A05111"/>
    <w:rsid w:val="73A40BF2"/>
    <w:rsid w:val="73A410C5"/>
    <w:rsid w:val="73AD46C7"/>
    <w:rsid w:val="73B84A6B"/>
    <w:rsid w:val="73BA7B28"/>
    <w:rsid w:val="73C53153"/>
    <w:rsid w:val="73CC2856"/>
    <w:rsid w:val="73CD2492"/>
    <w:rsid w:val="73D217C3"/>
    <w:rsid w:val="73DE13E4"/>
    <w:rsid w:val="73F630C3"/>
    <w:rsid w:val="73FE6554"/>
    <w:rsid w:val="73FF4CF7"/>
    <w:rsid w:val="74031C2D"/>
    <w:rsid w:val="740718AD"/>
    <w:rsid w:val="740A6CA7"/>
    <w:rsid w:val="7426164D"/>
    <w:rsid w:val="74275AAB"/>
    <w:rsid w:val="742E07D2"/>
    <w:rsid w:val="7431692A"/>
    <w:rsid w:val="744C7D20"/>
    <w:rsid w:val="746E36DA"/>
    <w:rsid w:val="7476433D"/>
    <w:rsid w:val="747800B5"/>
    <w:rsid w:val="747B1953"/>
    <w:rsid w:val="74820F33"/>
    <w:rsid w:val="749609B5"/>
    <w:rsid w:val="749B0E67"/>
    <w:rsid w:val="74AE3AD6"/>
    <w:rsid w:val="74B11224"/>
    <w:rsid w:val="74B66E2F"/>
    <w:rsid w:val="74B773F1"/>
    <w:rsid w:val="74B96AE6"/>
    <w:rsid w:val="74D94693"/>
    <w:rsid w:val="74DF1EE2"/>
    <w:rsid w:val="74DF6386"/>
    <w:rsid w:val="74E14BAB"/>
    <w:rsid w:val="74EC4BC5"/>
    <w:rsid w:val="74F02341"/>
    <w:rsid w:val="74FC6F38"/>
    <w:rsid w:val="751122B7"/>
    <w:rsid w:val="75181DDB"/>
    <w:rsid w:val="751B25C1"/>
    <w:rsid w:val="751C3F29"/>
    <w:rsid w:val="752A5F00"/>
    <w:rsid w:val="754E1BF8"/>
    <w:rsid w:val="755521A4"/>
    <w:rsid w:val="75597A91"/>
    <w:rsid w:val="755B4CBE"/>
    <w:rsid w:val="755F1473"/>
    <w:rsid w:val="756E14B8"/>
    <w:rsid w:val="7578191F"/>
    <w:rsid w:val="757A1C03"/>
    <w:rsid w:val="757D2C68"/>
    <w:rsid w:val="757F36C5"/>
    <w:rsid w:val="758D744F"/>
    <w:rsid w:val="75976C60"/>
    <w:rsid w:val="75A34C27"/>
    <w:rsid w:val="75A86778"/>
    <w:rsid w:val="75C349B1"/>
    <w:rsid w:val="75C35118"/>
    <w:rsid w:val="75CE74AC"/>
    <w:rsid w:val="75D56095"/>
    <w:rsid w:val="75DC5F71"/>
    <w:rsid w:val="75E35A02"/>
    <w:rsid w:val="75E86227"/>
    <w:rsid w:val="75EB728A"/>
    <w:rsid w:val="75F823FD"/>
    <w:rsid w:val="760007EB"/>
    <w:rsid w:val="7602334E"/>
    <w:rsid w:val="760342F6"/>
    <w:rsid w:val="760360A4"/>
    <w:rsid w:val="76097C56"/>
    <w:rsid w:val="761056C6"/>
    <w:rsid w:val="76157B85"/>
    <w:rsid w:val="761E7ACE"/>
    <w:rsid w:val="762C6E7F"/>
    <w:rsid w:val="762D3121"/>
    <w:rsid w:val="762D73EB"/>
    <w:rsid w:val="76485492"/>
    <w:rsid w:val="76515061"/>
    <w:rsid w:val="766007EC"/>
    <w:rsid w:val="76686DD2"/>
    <w:rsid w:val="766A1C7F"/>
    <w:rsid w:val="766A6123"/>
    <w:rsid w:val="767060E8"/>
    <w:rsid w:val="76742DE6"/>
    <w:rsid w:val="76780840"/>
    <w:rsid w:val="767C24A1"/>
    <w:rsid w:val="767D54D6"/>
    <w:rsid w:val="76832D41"/>
    <w:rsid w:val="76AD299E"/>
    <w:rsid w:val="76AE221B"/>
    <w:rsid w:val="76AF46AB"/>
    <w:rsid w:val="76B14119"/>
    <w:rsid w:val="76B1566C"/>
    <w:rsid w:val="76CF5F86"/>
    <w:rsid w:val="76D23D67"/>
    <w:rsid w:val="76DA5057"/>
    <w:rsid w:val="76DB24E9"/>
    <w:rsid w:val="76DB2B7D"/>
    <w:rsid w:val="76E97048"/>
    <w:rsid w:val="770420D4"/>
    <w:rsid w:val="771D3195"/>
    <w:rsid w:val="771F2A69"/>
    <w:rsid w:val="772B5CE9"/>
    <w:rsid w:val="773F4EBA"/>
    <w:rsid w:val="77503D1B"/>
    <w:rsid w:val="77521091"/>
    <w:rsid w:val="775909C6"/>
    <w:rsid w:val="77643F31"/>
    <w:rsid w:val="77665EB3"/>
    <w:rsid w:val="77706CAF"/>
    <w:rsid w:val="777673C0"/>
    <w:rsid w:val="777C7A44"/>
    <w:rsid w:val="77811976"/>
    <w:rsid w:val="77884AB3"/>
    <w:rsid w:val="77887F06"/>
    <w:rsid w:val="778B6351"/>
    <w:rsid w:val="77901BB9"/>
    <w:rsid w:val="779F004E"/>
    <w:rsid w:val="779F3BAA"/>
    <w:rsid w:val="77B82D9D"/>
    <w:rsid w:val="77BA09E4"/>
    <w:rsid w:val="77C91A2A"/>
    <w:rsid w:val="77C94973"/>
    <w:rsid w:val="77C94D12"/>
    <w:rsid w:val="77CA4336"/>
    <w:rsid w:val="77CA50CB"/>
    <w:rsid w:val="77CB499F"/>
    <w:rsid w:val="77CC1EA4"/>
    <w:rsid w:val="77CE579E"/>
    <w:rsid w:val="77D32C8F"/>
    <w:rsid w:val="77E37E27"/>
    <w:rsid w:val="77E6490D"/>
    <w:rsid w:val="77E65C7D"/>
    <w:rsid w:val="77EB3293"/>
    <w:rsid w:val="77F428B2"/>
    <w:rsid w:val="77F64BE0"/>
    <w:rsid w:val="77FF52C7"/>
    <w:rsid w:val="78002C78"/>
    <w:rsid w:val="78102534"/>
    <w:rsid w:val="781672D0"/>
    <w:rsid w:val="781D7F6F"/>
    <w:rsid w:val="781E30B4"/>
    <w:rsid w:val="78210A63"/>
    <w:rsid w:val="782347DB"/>
    <w:rsid w:val="782805A4"/>
    <w:rsid w:val="783E7867"/>
    <w:rsid w:val="7845632B"/>
    <w:rsid w:val="78497E56"/>
    <w:rsid w:val="784D7AAA"/>
    <w:rsid w:val="785316CE"/>
    <w:rsid w:val="785C55B6"/>
    <w:rsid w:val="786372CE"/>
    <w:rsid w:val="787119EB"/>
    <w:rsid w:val="787E5EB6"/>
    <w:rsid w:val="788429B8"/>
    <w:rsid w:val="78856D19"/>
    <w:rsid w:val="78880AE2"/>
    <w:rsid w:val="78961451"/>
    <w:rsid w:val="78970D25"/>
    <w:rsid w:val="789B25C4"/>
    <w:rsid w:val="78AC4917"/>
    <w:rsid w:val="78B531EF"/>
    <w:rsid w:val="78B638A1"/>
    <w:rsid w:val="78B6564F"/>
    <w:rsid w:val="78BE62B2"/>
    <w:rsid w:val="78DD2BDC"/>
    <w:rsid w:val="78DD498A"/>
    <w:rsid w:val="78DF4BA6"/>
    <w:rsid w:val="78ED51E1"/>
    <w:rsid w:val="78F9553C"/>
    <w:rsid w:val="78FE478C"/>
    <w:rsid w:val="79004B1D"/>
    <w:rsid w:val="79132AA2"/>
    <w:rsid w:val="79254583"/>
    <w:rsid w:val="793B5B55"/>
    <w:rsid w:val="79425135"/>
    <w:rsid w:val="79480470"/>
    <w:rsid w:val="794D656F"/>
    <w:rsid w:val="79570BE0"/>
    <w:rsid w:val="79584959"/>
    <w:rsid w:val="795B4E89"/>
    <w:rsid w:val="795F653B"/>
    <w:rsid w:val="79606ADD"/>
    <w:rsid w:val="796C30FB"/>
    <w:rsid w:val="797057FE"/>
    <w:rsid w:val="79764DDF"/>
    <w:rsid w:val="79867B57"/>
    <w:rsid w:val="798F14A9"/>
    <w:rsid w:val="799040F2"/>
    <w:rsid w:val="79907C4E"/>
    <w:rsid w:val="79A90969"/>
    <w:rsid w:val="79AA3814"/>
    <w:rsid w:val="79B148E5"/>
    <w:rsid w:val="79B3393D"/>
    <w:rsid w:val="79B461AF"/>
    <w:rsid w:val="79BC5DB0"/>
    <w:rsid w:val="79C30024"/>
    <w:rsid w:val="79C4479A"/>
    <w:rsid w:val="79D84D6D"/>
    <w:rsid w:val="79D9487C"/>
    <w:rsid w:val="79DA608F"/>
    <w:rsid w:val="79DC7338"/>
    <w:rsid w:val="79DF4732"/>
    <w:rsid w:val="79E166FC"/>
    <w:rsid w:val="79E37DFB"/>
    <w:rsid w:val="79F44681"/>
    <w:rsid w:val="7A0B4BA1"/>
    <w:rsid w:val="7A0B7A88"/>
    <w:rsid w:val="7A153D01"/>
    <w:rsid w:val="7A17211E"/>
    <w:rsid w:val="7A182EF7"/>
    <w:rsid w:val="7A187C44"/>
    <w:rsid w:val="7A252A8D"/>
    <w:rsid w:val="7A31035B"/>
    <w:rsid w:val="7A3727C0"/>
    <w:rsid w:val="7A4A24F3"/>
    <w:rsid w:val="7A4A6011"/>
    <w:rsid w:val="7A4B596E"/>
    <w:rsid w:val="7A4B626B"/>
    <w:rsid w:val="7A55634A"/>
    <w:rsid w:val="7A603AC5"/>
    <w:rsid w:val="7A6F7739"/>
    <w:rsid w:val="7A715CD2"/>
    <w:rsid w:val="7A7A43AE"/>
    <w:rsid w:val="7A8C48BA"/>
    <w:rsid w:val="7A960BC9"/>
    <w:rsid w:val="7A98671B"/>
    <w:rsid w:val="7A9D313B"/>
    <w:rsid w:val="7AAE2291"/>
    <w:rsid w:val="7AB94F83"/>
    <w:rsid w:val="7ABC7E92"/>
    <w:rsid w:val="7ACD183D"/>
    <w:rsid w:val="7ACF6610"/>
    <w:rsid w:val="7AD24492"/>
    <w:rsid w:val="7AD4000F"/>
    <w:rsid w:val="7AD65B35"/>
    <w:rsid w:val="7ADC1758"/>
    <w:rsid w:val="7AE03F93"/>
    <w:rsid w:val="7AE82F44"/>
    <w:rsid w:val="7AEF6BF7"/>
    <w:rsid w:val="7AFC48B2"/>
    <w:rsid w:val="7B024B7C"/>
    <w:rsid w:val="7B061FF5"/>
    <w:rsid w:val="7B0B1706"/>
    <w:rsid w:val="7B1D592E"/>
    <w:rsid w:val="7B1F0B46"/>
    <w:rsid w:val="7B2965AD"/>
    <w:rsid w:val="7B2E5971"/>
    <w:rsid w:val="7B305ADE"/>
    <w:rsid w:val="7B3F2B84"/>
    <w:rsid w:val="7B497C82"/>
    <w:rsid w:val="7B4E7DC1"/>
    <w:rsid w:val="7B643141"/>
    <w:rsid w:val="7B6770D5"/>
    <w:rsid w:val="7B695530"/>
    <w:rsid w:val="7B75618B"/>
    <w:rsid w:val="7B8E1531"/>
    <w:rsid w:val="7B91577A"/>
    <w:rsid w:val="7BAF1FE8"/>
    <w:rsid w:val="7BB57E40"/>
    <w:rsid w:val="7BBF7C1F"/>
    <w:rsid w:val="7BC2255D"/>
    <w:rsid w:val="7BC53D96"/>
    <w:rsid w:val="7BC56D2E"/>
    <w:rsid w:val="7BDD5E14"/>
    <w:rsid w:val="7BDE7397"/>
    <w:rsid w:val="7BE03056"/>
    <w:rsid w:val="7BE429D8"/>
    <w:rsid w:val="7BE73D72"/>
    <w:rsid w:val="7BF00E78"/>
    <w:rsid w:val="7BF070CA"/>
    <w:rsid w:val="7BF2699E"/>
    <w:rsid w:val="7BF7743A"/>
    <w:rsid w:val="7C02310E"/>
    <w:rsid w:val="7C06244A"/>
    <w:rsid w:val="7C093CE8"/>
    <w:rsid w:val="7C122B9D"/>
    <w:rsid w:val="7C1A7CA3"/>
    <w:rsid w:val="7C202AB5"/>
    <w:rsid w:val="7C2C1797"/>
    <w:rsid w:val="7C3F770A"/>
    <w:rsid w:val="7C471440"/>
    <w:rsid w:val="7C481EA9"/>
    <w:rsid w:val="7C4D0BAA"/>
    <w:rsid w:val="7C4E5B9F"/>
    <w:rsid w:val="7C554D61"/>
    <w:rsid w:val="7C5728ED"/>
    <w:rsid w:val="7C626F1F"/>
    <w:rsid w:val="7C636ECC"/>
    <w:rsid w:val="7C66113B"/>
    <w:rsid w:val="7C6B07AA"/>
    <w:rsid w:val="7C7864E9"/>
    <w:rsid w:val="7C82635B"/>
    <w:rsid w:val="7C830A86"/>
    <w:rsid w:val="7C8A3B8E"/>
    <w:rsid w:val="7C8B294F"/>
    <w:rsid w:val="7C9D23CF"/>
    <w:rsid w:val="7C9E087E"/>
    <w:rsid w:val="7C9E08D4"/>
    <w:rsid w:val="7CA13F21"/>
    <w:rsid w:val="7CA5191F"/>
    <w:rsid w:val="7CA87635"/>
    <w:rsid w:val="7CBA4C9C"/>
    <w:rsid w:val="7CBD2C9E"/>
    <w:rsid w:val="7CBE0F77"/>
    <w:rsid w:val="7CC3658D"/>
    <w:rsid w:val="7CC42460"/>
    <w:rsid w:val="7CC9183F"/>
    <w:rsid w:val="7CD20C6C"/>
    <w:rsid w:val="7CD267D0"/>
    <w:rsid w:val="7CDB0C2A"/>
    <w:rsid w:val="7CE771CB"/>
    <w:rsid w:val="7CEB0C7B"/>
    <w:rsid w:val="7CF71823"/>
    <w:rsid w:val="7CFE1373"/>
    <w:rsid w:val="7D020E63"/>
    <w:rsid w:val="7D0C1CE2"/>
    <w:rsid w:val="7D133070"/>
    <w:rsid w:val="7D140B97"/>
    <w:rsid w:val="7D1758E4"/>
    <w:rsid w:val="7D1961AD"/>
    <w:rsid w:val="7D31799A"/>
    <w:rsid w:val="7D3923AB"/>
    <w:rsid w:val="7D3E5C13"/>
    <w:rsid w:val="7D420F36"/>
    <w:rsid w:val="7D47521C"/>
    <w:rsid w:val="7D4B25F9"/>
    <w:rsid w:val="7D4F6073"/>
    <w:rsid w:val="7D517D25"/>
    <w:rsid w:val="7D531F90"/>
    <w:rsid w:val="7D5D253D"/>
    <w:rsid w:val="7D62465A"/>
    <w:rsid w:val="7D690EE2"/>
    <w:rsid w:val="7D6E71A6"/>
    <w:rsid w:val="7D726842"/>
    <w:rsid w:val="7D7A30EF"/>
    <w:rsid w:val="7D7C3250"/>
    <w:rsid w:val="7D99109C"/>
    <w:rsid w:val="7DA95783"/>
    <w:rsid w:val="7DAB5580"/>
    <w:rsid w:val="7DAC7F8A"/>
    <w:rsid w:val="7DAE4BED"/>
    <w:rsid w:val="7DBB1AC4"/>
    <w:rsid w:val="7DBB25C5"/>
    <w:rsid w:val="7DBE20B6"/>
    <w:rsid w:val="7DD16A88"/>
    <w:rsid w:val="7DD87E16"/>
    <w:rsid w:val="7DE20A51"/>
    <w:rsid w:val="7DE642E1"/>
    <w:rsid w:val="7DE75D87"/>
    <w:rsid w:val="7DEC38C1"/>
    <w:rsid w:val="7DF00054"/>
    <w:rsid w:val="7DF5139B"/>
    <w:rsid w:val="7E0456CF"/>
    <w:rsid w:val="7E086F95"/>
    <w:rsid w:val="7E161900"/>
    <w:rsid w:val="7E1D1CCD"/>
    <w:rsid w:val="7E1D6B89"/>
    <w:rsid w:val="7E280380"/>
    <w:rsid w:val="7E294D98"/>
    <w:rsid w:val="7E3F7E95"/>
    <w:rsid w:val="7E470AF8"/>
    <w:rsid w:val="7E4A3282"/>
    <w:rsid w:val="7E53749D"/>
    <w:rsid w:val="7E5A3612"/>
    <w:rsid w:val="7E5E0BF6"/>
    <w:rsid w:val="7E5F4093"/>
    <w:rsid w:val="7E6416AA"/>
    <w:rsid w:val="7E7F1C99"/>
    <w:rsid w:val="7E81225C"/>
    <w:rsid w:val="7E81400A"/>
    <w:rsid w:val="7E865683"/>
    <w:rsid w:val="7E8E58DD"/>
    <w:rsid w:val="7E95643C"/>
    <w:rsid w:val="7E9644F3"/>
    <w:rsid w:val="7E9A1009"/>
    <w:rsid w:val="7EA85A3A"/>
    <w:rsid w:val="7EB50F0C"/>
    <w:rsid w:val="7EC676F1"/>
    <w:rsid w:val="7ECC4BD8"/>
    <w:rsid w:val="7ED62217"/>
    <w:rsid w:val="7EE60311"/>
    <w:rsid w:val="7EED00C1"/>
    <w:rsid w:val="7EEE12F0"/>
    <w:rsid w:val="7EF63D8B"/>
    <w:rsid w:val="7EF944E8"/>
    <w:rsid w:val="7EFE0874"/>
    <w:rsid w:val="7F062761"/>
    <w:rsid w:val="7F084DDB"/>
    <w:rsid w:val="7F182BC0"/>
    <w:rsid w:val="7F183798"/>
    <w:rsid w:val="7F21759B"/>
    <w:rsid w:val="7F250D06"/>
    <w:rsid w:val="7F377452"/>
    <w:rsid w:val="7F3948E4"/>
    <w:rsid w:val="7F3B3F30"/>
    <w:rsid w:val="7F3E1A3A"/>
    <w:rsid w:val="7F4755C4"/>
    <w:rsid w:val="7F533462"/>
    <w:rsid w:val="7F55048D"/>
    <w:rsid w:val="7F5D0F85"/>
    <w:rsid w:val="7F5F07EF"/>
    <w:rsid w:val="7F62200A"/>
    <w:rsid w:val="7F655038"/>
    <w:rsid w:val="7F6A7194"/>
    <w:rsid w:val="7F7313DC"/>
    <w:rsid w:val="7F7B6CAB"/>
    <w:rsid w:val="7F7D2715"/>
    <w:rsid w:val="7F850A7B"/>
    <w:rsid w:val="7F864726"/>
    <w:rsid w:val="7F8C2C66"/>
    <w:rsid w:val="7F904883"/>
    <w:rsid w:val="7F9839A8"/>
    <w:rsid w:val="7F9C15C2"/>
    <w:rsid w:val="7FAA57E2"/>
    <w:rsid w:val="7FB069CF"/>
    <w:rsid w:val="7FB402BD"/>
    <w:rsid w:val="7FC239AF"/>
    <w:rsid w:val="7FC543CA"/>
    <w:rsid w:val="7FC80EF9"/>
    <w:rsid w:val="7FCD223C"/>
    <w:rsid w:val="7FCE0EDB"/>
    <w:rsid w:val="7FF52F01"/>
    <w:rsid w:val="7FF802FC"/>
    <w:rsid w:val="7FFB0079"/>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next w:val="1"/>
    <w:link w:val="56"/>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unhideWhenUsed/>
    <w:qFormat/>
    <w:uiPriority w:val="0"/>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ind w:firstLine="420"/>
    </w:pPr>
  </w:style>
  <w:style w:type="paragraph" w:styleId="12">
    <w:name w:val="toc 4"/>
    <w:basedOn w:val="1"/>
    <w:next w:val="1"/>
    <w:unhideWhenUsed/>
    <w:qFormat/>
    <w:uiPriority w:val="31"/>
    <w:pPr>
      <w:ind w:left="1275"/>
      <w:jc w:val="both"/>
    </w:pPr>
    <w:rPr>
      <w:rFonts w:ascii="Calibri" w:hAnsi="Calibri" w:eastAsia="宋体" w:cs="Times New Roman"/>
      <w:sz w:val="21"/>
      <w:szCs w:val="21"/>
      <w:lang w:val="en-US" w:eastAsia="zh-CN" w:bidi="ar-SA"/>
    </w:rPr>
  </w:style>
  <w:style w:type="paragraph" w:styleId="13">
    <w:name w:val="Document Map"/>
    <w:basedOn w:val="1"/>
    <w:next w:val="1"/>
    <w:semiHidden/>
    <w:qFormat/>
    <w:uiPriority w:val="0"/>
    <w:pPr>
      <w:widowControl/>
      <w:shd w:val="clear" w:color="000000" w:fill="000080"/>
      <w:autoSpaceDE/>
      <w:autoSpaceDN/>
      <w:spacing w:before="0" w:after="0" w:line="357" w:lineRule="atLeast"/>
      <w:ind w:left="0" w:firstLine="0"/>
      <w:jc w:val="both"/>
    </w:pPr>
    <w:rPr>
      <w:rFonts w:ascii="Times New Roman" w:eastAsia="宋体"/>
      <w:color w:val="000000"/>
      <w:sz w:val="21"/>
    </w:rPr>
  </w:style>
  <w:style w:type="paragraph" w:styleId="14">
    <w:name w:val="annotation text"/>
    <w:basedOn w:val="1"/>
    <w:qFormat/>
    <w:uiPriority w:val="0"/>
    <w:pPr>
      <w:jc w:val="left"/>
    </w:pPr>
  </w:style>
  <w:style w:type="paragraph" w:styleId="15">
    <w:name w:val="Body Text 3"/>
    <w:basedOn w:val="1"/>
    <w:qFormat/>
    <w:uiPriority w:val="0"/>
    <w:pPr>
      <w:spacing w:after="120" w:afterLines="0" w:afterAutospacing="0"/>
    </w:pPr>
    <w:rPr>
      <w:sz w:val="16"/>
    </w:rPr>
  </w:style>
  <w:style w:type="paragraph" w:styleId="16">
    <w:name w:val="Body Text"/>
    <w:qFormat/>
    <w:uiPriority w:val="0"/>
    <w:pPr>
      <w:widowControl w:val="0"/>
      <w:spacing w:after="120" w:afterAutospacing="0" w:line="360" w:lineRule="auto"/>
      <w:ind w:firstLine="420" w:firstLineChars="200"/>
    </w:pPr>
    <w:rPr>
      <w:rFonts w:ascii="Times New Roman" w:hAnsi="Times New Roman" w:eastAsia="宋体" w:cs="Times New Roman"/>
      <w:sz w:val="24"/>
    </w:rPr>
  </w:style>
  <w:style w:type="paragraph" w:styleId="17">
    <w:name w:val="Body Text Indent"/>
    <w:basedOn w:val="1"/>
    <w:qFormat/>
    <w:uiPriority w:val="0"/>
    <w:pPr>
      <w:spacing w:after="120"/>
      <w:ind w:left="420" w:leftChars="200"/>
    </w:pPr>
  </w:style>
  <w:style w:type="paragraph" w:styleId="18">
    <w:name w:val="toc 3"/>
    <w:basedOn w:val="1"/>
    <w:next w:val="1"/>
    <w:qFormat/>
    <w:uiPriority w:val="0"/>
    <w:pPr>
      <w:ind w:left="840" w:leftChars="400"/>
    </w:pPr>
  </w:style>
  <w:style w:type="paragraph" w:styleId="19">
    <w:name w:val="Plain Text"/>
    <w:basedOn w:val="1"/>
    <w:unhideWhenUsed/>
    <w:qFormat/>
    <w:uiPriority w:val="0"/>
    <w:rPr>
      <w:rFonts w:ascii="宋体" w:hAnsi="Courier New" w:cstheme="minorBidi"/>
      <w:sz w:val="21"/>
    </w:rPr>
  </w:style>
  <w:style w:type="paragraph" w:styleId="20">
    <w:name w:val="footer"/>
    <w:basedOn w:val="1"/>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rPr>
      <w:sz w:val="21"/>
      <w:szCs w:val="24"/>
    </w:rPr>
  </w:style>
  <w:style w:type="paragraph" w:styleId="24">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25">
    <w:name w:val="toc 2"/>
    <w:basedOn w:val="1"/>
    <w:next w:val="1"/>
    <w:qFormat/>
    <w:uiPriority w:val="39"/>
    <w:pPr>
      <w:ind w:left="420" w:leftChars="200"/>
    </w:pPr>
    <w:rPr>
      <w:sz w:val="21"/>
      <w:szCs w:val="24"/>
    </w:rPr>
  </w:style>
  <w:style w:type="paragraph" w:styleId="26">
    <w:name w:val="Body Text 2"/>
    <w:basedOn w:val="1"/>
    <w:qFormat/>
    <w:uiPriority w:val="0"/>
    <w:rPr>
      <w:sz w:val="30"/>
    </w:rPr>
  </w:style>
  <w:style w:type="paragraph" w:styleId="27">
    <w:name w:val="HTML Preformatted"/>
    <w:basedOn w:val="1"/>
    <w:qFormat/>
    <w:uiPriority w:val="0"/>
    <w:pPr>
      <w:jc w:val="left"/>
    </w:pPr>
    <w:rPr>
      <w:rFonts w:ascii="Arial" w:hAnsi="Arial" w:cs="Arial"/>
      <w:kern w:val="0"/>
      <w:sz w:val="24"/>
    </w:rPr>
  </w:style>
  <w:style w:type="paragraph" w:styleId="28">
    <w:name w:val="Normal (Web)"/>
    <w:basedOn w:val="1"/>
    <w:qFormat/>
    <w:uiPriority w:val="0"/>
    <w:rPr>
      <w:szCs w:val="24"/>
    </w:rPr>
  </w:style>
  <w:style w:type="paragraph" w:styleId="29">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styleId="30">
    <w:name w:val="Body Text First Indent"/>
    <w:basedOn w:val="16"/>
    <w:next w:val="31"/>
    <w:qFormat/>
    <w:uiPriority w:val="0"/>
    <w:pPr>
      <w:spacing w:line="360" w:lineRule="auto"/>
      <w:ind w:firstLine="420"/>
    </w:pPr>
    <w:rPr>
      <w:rFonts w:ascii="宋体" w:hAnsi="宋体" w:cs="宋体"/>
      <w:sz w:val="24"/>
      <w:szCs w:val="24"/>
    </w:rPr>
  </w:style>
  <w:style w:type="paragraph" w:styleId="31">
    <w:name w:val="Body Text First Indent 2"/>
    <w:basedOn w:val="17"/>
    <w:next w:val="1"/>
    <w:unhideWhenUsed/>
    <w:qFormat/>
    <w:uiPriority w:val="99"/>
    <w:pPr>
      <w:widowControl w:val="0"/>
      <w:autoSpaceDE w:val="0"/>
      <w:autoSpaceDN w:val="0"/>
      <w:adjustRightInd/>
      <w:snapToGrid/>
      <w:ind w:firstLine="420" w:firstLineChars="200"/>
    </w:pPr>
    <w:rPr>
      <w:rFonts w:ascii="宋体" w:hAnsi="宋体" w:eastAsia="宋体" w:cs="宋体"/>
      <w:szCs w:val="21"/>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bCs/>
      <w:sz w:val="20"/>
      <w:szCs w:val="20"/>
    </w:rPr>
  </w:style>
  <w:style w:type="character" w:styleId="36">
    <w:name w:val="page number"/>
    <w:basedOn w:val="34"/>
    <w:qFormat/>
    <w:uiPriority w:val="0"/>
  </w:style>
  <w:style w:type="character" w:styleId="37">
    <w:name w:val="FollowedHyperlink"/>
    <w:basedOn w:val="34"/>
    <w:qFormat/>
    <w:uiPriority w:val="0"/>
    <w:rPr>
      <w:color w:val="800080"/>
      <w:u w:val="none"/>
    </w:rPr>
  </w:style>
  <w:style w:type="character" w:styleId="38">
    <w:name w:val="Emphasis"/>
    <w:basedOn w:val="34"/>
    <w:qFormat/>
    <w:uiPriority w:val="0"/>
    <w:rPr>
      <w:b/>
    </w:rPr>
  </w:style>
  <w:style w:type="character" w:styleId="39">
    <w:name w:val="HTML Definition"/>
    <w:basedOn w:val="34"/>
    <w:qFormat/>
    <w:uiPriority w:val="0"/>
  </w:style>
  <w:style w:type="character" w:styleId="40">
    <w:name w:val="HTML Typewriter"/>
    <w:basedOn w:val="34"/>
    <w:qFormat/>
    <w:uiPriority w:val="0"/>
    <w:rPr>
      <w:rFonts w:hint="default" w:ascii="monospace" w:hAnsi="monospace" w:eastAsia="monospace" w:cs="monospace"/>
      <w:sz w:val="20"/>
    </w:rPr>
  </w:style>
  <w:style w:type="character" w:styleId="41">
    <w:name w:val="HTML Acronym"/>
    <w:basedOn w:val="34"/>
    <w:qFormat/>
    <w:uiPriority w:val="0"/>
  </w:style>
  <w:style w:type="character" w:styleId="42">
    <w:name w:val="HTML Variable"/>
    <w:basedOn w:val="34"/>
    <w:qFormat/>
    <w:uiPriority w:val="0"/>
    <w:rPr>
      <w:bdr w:val="single" w:color="E3E3E3" w:sz="6" w:space="0"/>
    </w:rPr>
  </w:style>
  <w:style w:type="character" w:styleId="43">
    <w:name w:val="Hyperlink"/>
    <w:basedOn w:val="34"/>
    <w:qFormat/>
    <w:uiPriority w:val="0"/>
    <w:rPr>
      <w:color w:val="0000FF"/>
      <w:u w:val="single"/>
    </w:rPr>
  </w:style>
  <w:style w:type="character" w:styleId="44">
    <w:name w:val="HTML Code"/>
    <w:basedOn w:val="34"/>
    <w:qFormat/>
    <w:uiPriority w:val="0"/>
    <w:rPr>
      <w:rFonts w:hint="default" w:ascii="monospace" w:hAnsi="monospace" w:eastAsia="monospace" w:cs="monospace"/>
      <w:sz w:val="20"/>
    </w:rPr>
  </w:style>
  <w:style w:type="character" w:styleId="45">
    <w:name w:val="HTML Cite"/>
    <w:basedOn w:val="34"/>
    <w:qFormat/>
    <w:uiPriority w:val="0"/>
  </w:style>
  <w:style w:type="character" w:styleId="46">
    <w:name w:val="HTML Keyboard"/>
    <w:basedOn w:val="34"/>
    <w:qFormat/>
    <w:uiPriority w:val="0"/>
    <w:rPr>
      <w:rFonts w:hint="default" w:ascii="monospace" w:hAnsi="monospace" w:eastAsia="monospace" w:cs="monospace"/>
      <w:sz w:val="20"/>
    </w:rPr>
  </w:style>
  <w:style w:type="character" w:styleId="47">
    <w:name w:val="HTML Sample"/>
    <w:basedOn w:val="34"/>
    <w:qFormat/>
    <w:uiPriority w:val="0"/>
    <w:rPr>
      <w:rFonts w:ascii="monospace" w:hAnsi="monospace" w:eastAsia="monospace" w:cs="monospace"/>
    </w:rPr>
  </w:style>
  <w:style w:type="paragraph" w:styleId="48">
    <w:name w:val="List Paragraph"/>
    <w:basedOn w:val="1"/>
    <w:unhideWhenUsed/>
    <w:qFormat/>
    <w:uiPriority w:val="99"/>
    <w:pPr>
      <w:ind w:firstLine="420" w:firstLineChars="200"/>
    </w:pPr>
  </w:style>
  <w:style w:type="paragraph" w:customStyle="1" w:styleId="49">
    <w:name w:val="TOC 标题1"/>
    <w:basedOn w:val="2"/>
    <w:next w:val="1"/>
    <w:unhideWhenUsed/>
    <w:qFormat/>
    <w:uiPriority w:val="39"/>
    <w:pPr>
      <w:widowControl/>
      <w:spacing w:before="480" w:line="276" w:lineRule="auto"/>
      <w:outlineLvl w:val="9"/>
    </w:pPr>
    <w:rPr>
      <w:rFonts w:ascii="Cambria" w:hAnsi="Cambria"/>
      <w:color w:val="365F91"/>
      <w:kern w:val="0"/>
      <w:sz w:val="28"/>
      <w:szCs w:val="28"/>
    </w:rPr>
  </w:style>
  <w:style w:type="paragraph" w:customStyle="1" w:styleId="50">
    <w:name w:val="正文缩进1"/>
    <w:basedOn w:val="1"/>
    <w:next w:val="13"/>
    <w:qFormat/>
    <w:uiPriority w:val="0"/>
    <w:pPr>
      <w:ind w:firstLine="420" w:firstLineChars="200"/>
    </w:pPr>
  </w:style>
  <w:style w:type="paragraph" w:customStyle="1" w:styleId="51">
    <w:name w:val="Default"/>
    <w:qFormat/>
    <w:uiPriority w:val="0"/>
    <w:pPr>
      <w:widowControl w:val="0"/>
      <w:autoSpaceDE w:val="0"/>
      <w:autoSpaceDN w:val="0"/>
      <w:adjustRightInd w:val="0"/>
    </w:pPr>
    <w:rPr>
      <w:rFonts w:ascii="黑体" w:hAnsi="Times New Roman" w:eastAsia="黑体" w:cs="黑体"/>
      <w:color w:val="000000"/>
      <w:kern w:val="2"/>
      <w:sz w:val="24"/>
      <w:szCs w:val="24"/>
      <w:lang w:val="en-US" w:eastAsia="zh-CN" w:bidi="ar-SA"/>
    </w:rPr>
  </w:style>
  <w:style w:type="paragraph" w:customStyle="1" w:styleId="52">
    <w:name w:val="正文1"/>
    <w:basedOn w:val="1"/>
    <w:qFormat/>
    <w:uiPriority w:val="0"/>
    <w:pPr>
      <w:adjustRightInd w:val="0"/>
      <w:spacing w:line="318" w:lineRule="atLeast"/>
      <w:ind w:left="369" w:firstLine="369"/>
      <w:textAlignment w:val="baseline"/>
    </w:pPr>
    <w:rPr>
      <w:rFonts w:ascii="宋体"/>
      <w:sz w:val="21"/>
    </w:rPr>
  </w:style>
  <w:style w:type="paragraph" w:customStyle="1" w:styleId="53">
    <w:name w:val="_Style 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54">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55">
    <w:name w:val="p15"/>
    <w:basedOn w:val="1"/>
    <w:qFormat/>
    <w:uiPriority w:val="99"/>
    <w:pPr>
      <w:widowControl/>
    </w:pPr>
    <w:rPr>
      <w:kern w:val="0"/>
      <w:sz w:val="21"/>
      <w:szCs w:val="21"/>
    </w:rPr>
  </w:style>
  <w:style w:type="character" w:customStyle="1" w:styleId="56">
    <w:name w:val="标题 1 Char"/>
    <w:basedOn w:val="34"/>
    <w:link w:val="2"/>
    <w:qFormat/>
    <w:uiPriority w:val="0"/>
    <w:rPr>
      <w:b/>
      <w:bCs/>
      <w:kern w:val="44"/>
      <w:sz w:val="36"/>
      <w:szCs w:val="44"/>
    </w:rPr>
  </w:style>
  <w:style w:type="paragraph" w:customStyle="1" w:styleId="57">
    <w:name w:val="p0"/>
    <w:basedOn w:val="1"/>
    <w:qFormat/>
    <w:uiPriority w:val="0"/>
    <w:rPr>
      <w:szCs w:val="21"/>
    </w:rPr>
  </w:style>
  <w:style w:type="paragraph" w:customStyle="1" w:styleId="58">
    <w:name w:val="正文 New"/>
    <w:qFormat/>
    <w:uiPriority w:val="99"/>
    <w:pPr>
      <w:widowControl w:val="0"/>
      <w:jc w:val="both"/>
    </w:pPr>
    <w:rPr>
      <w:rFonts w:ascii="Calibri" w:hAnsi="Calibri" w:eastAsia="宋体" w:cs="Times New Roman"/>
      <w:lang w:val="en-US" w:eastAsia="zh-CN" w:bidi="ar-SA"/>
    </w:rPr>
  </w:style>
  <w:style w:type="paragraph" w:customStyle="1" w:styleId="59">
    <w:name w:val="表格文字中"/>
    <w:basedOn w:val="1"/>
    <w:qFormat/>
    <w:uiPriority w:val="0"/>
    <w:pPr>
      <w:adjustRightInd w:val="0"/>
      <w:snapToGrid w:val="0"/>
      <w:ind w:left="22" w:leftChars="8"/>
      <w:jc w:val="center"/>
    </w:pPr>
    <w:rPr>
      <w:kern w:val="0"/>
      <w:szCs w:val="24"/>
    </w:rPr>
  </w:style>
  <w:style w:type="paragraph" w:customStyle="1" w:styleId="60">
    <w:name w:val="表注1"/>
    <w:basedOn w:val="1"/>
    <w:qFormat/>
    <w:uiPriority w:val="0"/>
    <w:pPr>
      <w:adjustRightInd w:val="0"/>
      <w:snapToGrid w:val="0"/>
      <w:spacing w:beforeLines="50" w:line="300" w:lineRule="auto"/>
      <w:ind w:left="350" w:hanging="350" w:hangingChars="350"/>
    </w:pPr>
    <w:rPr>
      <w:rFonts w:ascii="宋体" w:hAnsi="Calibri" w:eastAsia="仿宋_GB2312"/>
      <w:bCs/>
      <w:color w:val="000000"/>
      <w:kern w:val="0"/>
      <w:szCs w:val="24"/>
    </w:rPr>
  </w:style>
  <w:style w:type="paragraph" w:customStyle="1" w:styleId="61">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62">
    <w:name w:val="mini-outputtext1"/>
    <w:basedOn w:val="34"/>
    <w:qFormat/>
    <w:uiPriority w:val="0"/>
  </w:style>
  <w:style w:type="character" w:customStyle="1" w:styleId="63">
    <w:name w:val="old"/>
    <w:basedOn w:val="34"/>
    <w:qFormat/>
    <w:uiPriority w:val="0"/>
    <w:rPr>
      <w:color w:val="999999"/>
    </w:rPr>
  </w:style>
  <w:style w:type="character" w:customStyle="1" w:styleId="64">
    <w:name w:val="tmpztreemove_arrow"/>
    <w:basedOn w:val="34"/>
    <w:qFormat/>
    <w:uiPriority w:val="0"/>
    <w:rPr>
      <w:shd w:val="clear" w:fill="FFFFFF"/>
    </w:rPr>
  </w:style>
  <w:style w:type="character" w:customStyle="1" w:styleId="65">
    <w:name w:val="hover3"/>
    <w:basedOn w:val="34"/>
    <w:qFormat/>
    <w:uiPriority w:val="0"/>
    <w:rPr>
      <w:shd w:val="clear" w:fill="EEEEEE"/>
    </w:rPr>
  </w:style>
  <w:style w:type="character" w:customStyle="1" w:styleId="66">
    <w:name w:val="glyphicon4"/>
    <w:basedOn w:val="34"/>
    <w:qFormat/>
    <w:uiPriority w:val="0"/>
  </w:style>
  <w:style w:type="character" w:customStyle="1" w:styleId="67">
    <w:name w:val="hour_am"/>
    <w:basedOn w:val="34"/>
    <w:qFormat/>
    <w:uiPriority w:val="0"/>
  </w:style>
  <w:style w:type="character" w:customStyle="1" w:styleId="68">
    <w:name w:val="hour_pm"/>
    <w:basedOn w:val="34"/>
    <w:qFormat/>
    <w:uiPriority w:val="0"/>
  </w:style>
  <w:style w:type="character" w:customStyle="1" w:styleId="69">
    <w:name w:val="button"/>
    <w:basedOn w:val="34"/>
    <w:qFormat/>
    <w:uiPriority w:val="0"/>
  </w:style>
  <w:style w:type="character" w:customStyle="1" w:styleId="70">
    <w:name w:val="indent"/>
    <w:basedOn w:val="34"/>
    <w:qFormat/>
    <w:uiPriority w:val="0"/>
  </w:style>
  <w:style w:type="character" w:customStyle="1" w:styleId="71">
    <w:name w:val="glyphicon"/>
    <w:basedOn w:val="34"/>
    <w:qFormat/>
    <w:uiPriority w:val="0"/>
  </w:style>
  <w:style w:type="character" w:customStyle="1" w:styleId="72">
    <w:name w:val="hover"/>
    <w:basedOn w:val="34"/>
    <w:qFormat/>
    <w:uiPriority w:val="0"/>
    <w:rPr>
      <w:shd w:val="clear" w:fill="EEEEEE"/>
    </w:rPr>
  </w:style>
  <w:style w:type="paragraph" w:customStyle="1" w:styleId="73">
    <w:name w:val="目录"/>
    <w:basedOn w:val="1"/>
    <w:qFormat/>
    <w:uiPriority w:val="0"/>
    <w:pPr>
      <w:widowControl/>
      <w:jc w:val="center"/>
    </w:pPr>
    <w:rPr>
      <w:rFonts w:ascii="宋体"/>
      <w:b/>
      <w:kern w:val="0"/>
      <w:sz w:val="36"/>
      <w:szCs w:val="20"/>
    </w:rPr>
  </w:style>
  <w:style w:type="character" w:customStyle="1" w:styleId="74">
    <w:name w:val="标题 1 字符"/>
    <w:basedOn w:val="34"/>
    <w:qFormat/>
    <w:uiPriority w:val="0"/>
    <w:rPr>
      <w:rFonts w:ascii="Times New Roman" w:hAnsi="Times New Roman" w:eastAsia="宋体" w:cs="Times New Roman"/>
      <w:b/>
      <w:bCs/>
      <w:kern w:val="44"/>
      <w:sz w:val="36"/>
      <w:szCs w:val="44"/>
    </w:rPr>
  </w:style>
  <w:style w:type="paragraph" w:customStyle="1" w:styleId="75">
    <w:name w:val="Table Paragraph"/>
    <w:basedOn w:val="1"/>
    <w:qFormat/>
    <w:uiPriority w:val="1"/>
    <w:rPr>
      <w:rFonts w:ascii="仿宋" w:hAnsi="仿宋" w:eastAsia="仿宋" w:cs="仿宋"/>
      <w:lang w:val="zh-CN" w:eastAsia="zh-CN" w:bidi="zh-CN"/>
    </w:rPr>
  </w:style>
  <w:style w:type="paragraph" w:customStyle="1" w:styleId="76">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77">
    <w:name w:val="title12"/>
    <w:basedOn w:val="1"/>
    <w:qFormat/>
    <w:uiPriority w:val="0"/>
    <w:pPr>
      <w:spacing w:before="150" w:beforeAutospacing="0" w:after="0" w:afterAutospacing="0"/>
      <w:ind w:left="0" w:right="0" w:firstLine="0"/>
      <w:jc w:val="left"/>
    </w:pPr>
    <w:rPr>
      <w:rFonts w:hint="eastAsia" w:ascii="宋体" w:hAnsi="宋体" w:eastAsia="宋体" w:cs="宋体"/>
      <w:b/>
      <w:bCs/>
      <w:kern w:val="0"/>
      <w:sz w:val="22"/>
      <w:szCs w:val="22"/>
      <w:lang w:val="en-US" w:eastAsia="zh-CN" w:bidi="ar"/>
    </w:rPr>
  </w:style>
  <w:style w:type="character" w:customStyle="1" w:styleId="78">
    <w:name w:val="30"/>
    <w:basedOn w:val="34"/>
    <w:qFormat/>
    <w:uiPriority w:val="0"/>
    <w:rPr>
      <w:rFonts w:hint="default" w:ascii="Times New Roman" w:hAnsi="Times New Roman" w:cs="Times New Roman"/>
      <w:b/>
      <w:bCs/>
    </w:rPr>
  </w:style>
  <w:style w:type="character" w:customStyle="1" w:styleId="79">
    <w:name w:val="font21"/>
    <w:basedOn w:val="34"/>
    <w:qFormat/>
    <w:uiPriority w:val="0"/>
    <w:rPr>
      <w:rFonts w:hint="eastAsia" w:ascii="宋体" w:hAnsi="宋体" w:eastAsia="宋体" w:cs="宋体"/>
      <w:color w:val="000000"/>
      <w:sz w:val="18"/>
      <w:szCs w:val="18"/>
      <w:u w:val="none"/>
    </w:rPr>
  </w:style>
  <w:style w:type="character" w:customStyle="1" w:styleId="80">
    <w:name w:val="font31"/>
    <w:basedOn w:val="34"/>
    <w:qFormat/>
    <w:uiPriority w:val="0"/>
    <w:rPr>
      <w:rFonts w:hint="eastAsia" w:ascii="宋体" w:hAnsi="宋体" w:eastAsia="宋体" w:cs="宋体"/>
      <w:color w:val="000000"/>
      <w:sz w:val="18"/>
      <w:szCs w:val="18"/>
      <w:u w:val="none"/>
    </w:rPr>
  </w:style>
  <w:style w:type="paragraph" w:customStyle="1" w:styleId="81">
    <w:name w:val="标题1"/>
    <w:basedOn w:val="1"/>
    <w:next w:val="52"/>
    <w:qFormat/>
    <w:uiPriority w:val="0"/>
    <w:pPr>
      <w:snapToGrid w:val="0"/>
      <w:spacing w:line="480" w:lineRule="atLeast"/>
      <w:ind w:firstLine="539"/>
    </w:pPr>
    <w:rPr>
      <w:rFonts w:ascii="宋体" w:hAnsi="宋体"/>
      <w:spacing w:val="14"/>
      <w:sz w:val="24"/>
    </w:rPr>
  </w:style>
  <w:style w:type="table" w:customStyle="1" w:styleId="82">
    <w:name w:val="Table Normal"/>
    <w:semiHidden/>
    <w:unhideWhenUsed/>
    <w:qFormat/>
    <w:uiPriority w:val="0"/>
    <w:tblPr>
      <w:tblCellMar>
        <w:top w:w="0" w:type="dxa"/>
        <w:left w:w="0" w:type="dxa"/>
        <w:bottom w:w="0" w:type="dxa"/>
        <w:right w:w="0" w:type="dxa"/>
      </w:tblCellMar>
    </w:tblPr>
  </w:style>
  <w:style w:type="paragraph" w:customStyle="1" w:styleId="83">
    <w:name w:val="Style1"/>
    <w:basedOn w:val="1"/>
    <w:qFormat/>
    <w:uiPriority w:val="0"/>
    <w:pPr>
      <w:widowControl/>
      <w:tabs>
        <w:tab w:val="left" w:pos="-720"/>
      </w:tabs>
      <w:spacing w:after="120"/>
    </w:pPr>
    <w:rPr>
      <w:rFonts w:ascii="Times New Roman" w:hAnsi="Times New Roman"/>
      <w:spacing w:val="-3"/>
      <w:kern w:val="0"/>
      <w:sz w:val="24"/>
      <w:szCs w:val="20"/>
      <w:lang w:val="en-AU" w:eastAsia="en-US"/>
    </w:rPr>
  </w:style>
  <w:style w:type="character" w:customStyle="1" w:styleId="84">
    <w:name w:val="font01"/>
    <w:basedOn w:val="34"/>
    <w:qFormat/>
    <w:uiPriority w:val="0"/>
    <w:rPr>
      <w:rFonts w:hint="eastAsia" w:ascii="宋体" w:hAnsi="宋体" w:eastAsia="宋体" w:cs="宋体"/>
      <w:color w:val="000000"/>
      <w:sz w:val="22"/>
      <w:szCs w:val="22"/>
      <w:u w:val="none"/>
    </w:rPr>
  </w:style>
  <w:style w:type="character" w:customStyle="1" w:styleId="85">
    <w:name w:val="mini-tree-nodetext3"/>
    <w:basedOn w:val="34"/>
    <w:qFormat/>
    <w:uiPriority w:val="0"/>
  </w:style>
  <w:style w:type="paragraph" w:customStyle="1" w:styleId="86">
    <w:name w:val="null3"/>
    <w:hidden/>
    <w:qFormat/>
    <w:uiPriority w:val="0"/>
    <w:rPr>
      <w:rFonts w:hint="eastAsia" w:asciiTheme="minorHAnsi" w:hAnsiTheme="minorHAnsi" w:eastAsiaTheme="minorEastAsia" w:cstheme="minorBidi"/>
      <w:lang w:val="en-US" w:eastAsia="zh-Hans"/>
    </w:rPr>
  </w:style>
  <w:style w:type="paragraph" w:customStyle="1" w:styleId="87">
    <w:name w:val="cucd-0"/>
    <w:qFormat/>
    <w:uiPriority w:val="0"/>
    <w:pPr>
      <w:spacing w:line="360" w:lineRule="auto"/>
      <w:ind w:firstLine="480" w:firstLineChars="200"/>
    </w:pPr>
    <w:rPr>
      <w:rFonts w:ascii="Calibri" w:hAnsi="Calibri" w:eastAsia="Times New Roman" w:cs="Times New Roman"/>
      <w:kern w:val="2"/>
      <w:sz w:val="24"/>
      <w:szCs w:val="24"/>
      <w:lang w:val="en-US" w:eastAsia="zh-CN" w:bidi="ar-SA"/>
    </w:rPr>
  </w:style>
  <w:style w:type="paragraph" w:customStyle="1" w:styleId="88">
    <w:name w:val="列出段落1"/>
    <w:basedOn w:val="1"/>
    <w:unhideWhenUsed/>
    <w:qFormat/>
    <w:uiPriority w:val="99"/>
    <w:pPr>
      <w:adjustRightInd/>
      <w:spacing w:line="240" w:lineRule="auto"/>
      <w:ind w:firstLine="420" w:firstLineChars="200"/>
      <w:textAlignment w:val="auto"/>
    </w:pPr>
    <w:rPr>
      <w:rFonts w:ascii="Calibri" w:hAnsi="Calibri" w:eastAsia="宋体" w:cs="Times New Roman"/>
      <w:kern w:val="2"/>
      <w:szCs w:val="24"/>
    </w:rPr>
  </w:style>
  <w:style w:type="paragraph" w:customStyle="1" w:styleId="89">
    <w:name w:val="附录标题"/>
    <w:next w:val="1"/>
    <w:qFormat/>
    <w:uiPriority w:val="0"/>
    <w:pPr>
      <w:keepNext w:val="0"/>
      <w:keepLines w:val="0"/>
      <w:widowControl w:val="0"/>
      <w:spacing w:after="240" w:line="240" w:lineRule="auto"/>
      <w:jc w:val="left"/>
      <w:outlineLvl w:val="0"/>
    </w:pPr>
    <w:rPr>
      <w:rFonts w:ascii="Times New Roman" w:hAnsi="Times New Roman" w:eastAsia="宋体" w:cs="Times New Roman"/>
      <w:b/>
      <w:sz w:val="24"/>
    </w:rPr>
  </w:style>
  <w:style w:type="paragraph" w:customStyle="1" w:styleId="90">
    <w:name w:val="章前标题"/>
    <w:next w:val="1"/>
    <w:qFormat/>
    <w:uiPriority w:val="0"/>
    <w:pPr>
      <w:keepNext w:val="0"/>
      <w:keepLines w:val="0"/>
      <w:pageBreakBefore w:val="0"/>
      <w:widowControl w:val="0"/>
      <w:kinsoku/>
      <w:wordWrap/>
      <w:overflowPunct/>
      <w:topLinePunct w:val="0"/>
      <w:autoSpaceDE/>
      <w:autoSpaceDN/>
      <w:bidi w:val="0"/>
      <w:adjustRightInd/>
      <w:spacing w:before="240" w:after="240" w:line="240" w:lineRule="auto"/>
      <w:jc w:val="center"/>
      <w:textAlignment w:val="auto"/>
      <w:outlineLvl w:val="9"/>
    </w:pPr>
    <w:rPr>
      <w:rFonts w:ascii="黑体" w:hAnsi="黑体" w:eastAsia="黑体" w:cs="黑体"/>
      <w:kern w:val="44"/>
      <w:sz w:val="32"/>
      <w:szCs w:val="36"/>
    </w:rPr>
  </w:style>
  <w:style w:type="paragraph" w:customStyle="1" w:styleId="91">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paragraph" w:customStyle="1" w:styleId="92">
    <w:name w:val="文档说明标题"/>
    <w:next w:val="1"/>
    <w:qFormat/>
    <w:uiPriority w:val="0"/>
    <w:pPr>
      <w:keepNext w:val="0"/>
      <w:keepLines w:val="0"/>
      <w:widowControl w:val="0"/>
      <w:spacing w:before="240" w:after="240" w:line="240" w:lineRule="auto"/>
      <w:jc w:val="center"/>
      <w:outlineLvl w:val="9"/>
    </w:pPr>
    <w:rPr>
      <w:rFonts w:ascii="Times New Roman" w:hAnsi="Times New Roman" w:eastAsia="宋体" w:cs="Times New Roman"/>
      <w:b/>
      <w:sz w:val="32"/>
    </w:rPr>
  </w:style>
  <w:style w:type="paragraph" w:customStyle="1" w:styleId="93">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rPr>
  </w:style>
  <w:style w:type="paragraph" w:customStyle="1" w:styleId="94">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kern w:val="0"/>
      <w:sz w:val="24"/>
      <w:szCs w:val="3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2409</Words>
  <Characters>2665</Characters>
  <Lines>212</Lines>
  <Paragraphs>59</Paragraphs>
  <TotalTime>60</TotalTime>
  <ScaleCrop>false</ScaleCrop>
  <LinksUpToDate>false</LinksUpToDate>
  <CharactersWithSpaces>2730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2019-09-02T09:33:00Z</dcterms:created>
  <dc:creator>JD-P</dc:creator>
  <cp:lastModifiedBy>Dream</cp:lastModifiedBy>
  <cp:lastPrinted>2023-03-14T08:30:00Z</cp:lastPrinted>
  <dcterms:modified xsi:type="dcterms:W3CDTF">2026-08-19T01:06:48Z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AC749FC66C6342D3BD04A52D702AEAEB_13</vt:lpwstr>
  </property>
  <property fmtid="{D5CDD505-2E9C-101B-9397-08002B2CF9AE}" pid="4" name="KSOTemplateDocerSaveRecord">
    <vt:lpwstr>eyJoZGlkIjoiMTdlOWExZGNjZDlkNjBiZTE2YjNhMzEyNGZjNTNlMWMiLCJ1c2VySWQiOiIyODU0ODI4MDcifQ==</vt:lpwstr>
  </property>
</Properties>
</file>