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版本号：SXZBXA2026-1520260528001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医疗废物处置服务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SXZBXA2026-15</w:t>
      </w:r>
      <w:r>
        <w:br/>
      </w:r>
      <w:r>
        <w:br/>
      </w:r>
      <w:r>
        <w:br/>
      </w:r>
    </w:p>
    <w:p>
      <w:pPr>
        <w:pStyle w:val="null3"/>
        <w:jc w:val="center"/>
        <w:outlineLvl w:val="5"/>
      </w:pPr>
      <w:r>
        <w:rPr>
          <w:rFonts w:ascii="仿宋_GB2312" w:hAnsi="仿宋_GB2312" w:cs="仿宋_GB2312" w:eastAsia="仿宋_GB2312"/>
          <w:sz w:val="15"/>
          <w:b/>
        </w:rPr>
        <w:t>西安市中心血站</w:t>
      </w:r>
    </w:p>
    <w:p>
      <w:pPr>
        <w:pStyle w:val="null3"/>
        <w:jc w:val="center"/>
        <w:outlineLvl w:val="5"/>
      </w:pPr>
      <w:r>
        <w:rPr>
          <w:rFonts w:ascii="仿宋_GB2312" w:hAnsi="仿宋_GB2312" w:cs="仿宋_GB2312" w:eastAsia="仿宋_GB2312"/>
          <w:sz w:val="15"/>
          <w:b/>
        </w:rPr>
        <w:t>陕西盛鑫药械招标有限公司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陕西盛鑫药械招标有限公司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医疗废物处置服务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SXZBXA2026-15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医疗废物处置服务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拟采购的医疗废物处置采购内容包括采供血工作中产生的固体医疗废弃物和液体医疗废弃物两部分的收集、运输和处置，确保医疗废物得到安全、有效的处理。</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2、法定代表人委托授权书\身份证明：非法定代表人参加投标的，须提供法定代表人委托授权书及被授权人身份证，法定代表人参加投标时,需提供法定代表人身份证。</w:t>
      </w:r>
    </w:p>
    <w:p>
      <w:pPr>
        <w:pStyle w:val="null3"/>
      </w:pPr>
      <w:r>
        <w:rPr>
          <w:rFonts w:ascii="仿宋_GB2312" w:hAnsi="仿宋_GB2312" w:cs="仿宋_GB2312" w:eastAsia="仿宋_GB2312"/>
        </w:rPr>
        <w:t>3、社保资金缴纳证明：提供2026年1月以来至少一个月的社会保障资金缴存单据或社保机构开具的社会保险参保缴费情况证明。依法不需要缴纳社会保障资金的供应商应提供相关文件证明。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2026年1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5、供应商资质：供应商应具备环境主管部门审批颁发的《危险废物经营许可证》（包含废弃药品及其包装物）</w:t>
      </w:r>
    </w:p>
    <w:p>
      <w:pPr>
        <w:pStyle w:val="null3"/>
      </w:pPr>
      <w:r>
        <w:rPr>
          <w:rFonts w:ascii="仿宋_GB2312" w:hAnsi="仿宋_GB2312" w:cs="仿宋_GB2312" w:eastAsia="仿宋_GB2312"/>
        </w:rPr>
        <w:t>6、履约能力声明：具有履行合同所必需的设备和专业技术能力的书面声明。</w:t>
      </w:r>
    </w:p>
    <w:p>
      <w:pPr>
        <w:pStyle w:val="null3"/>
      </w:pPr>
      <w:r>
        <w:rPr>
          <w:rFonts w:ascii="仿宋_GB2312" w:hAnsi="仿宋_GB2312" w:cs="仿宋_GB2312" w:eastAsia="仿宋_GB2312"/>
        </w:rPr>
        <w:t>7、无重大违法记录声明：参加本次政府采购活动前3年内在经营活动中没有重大违法记录的书面声明。</w:t>
      </w:r>
    </w:p>
    <w:p>
      <w:pPr>
        <w:pStyle w:val="null3"/>
      </w:pPr>
      <w:r>
        <w:rPr>
          <w:rFonts w:ascii="仿宋_GB2312" w:hAnsi="仿宋_GB2312" w:cs="仿宋_GB2312" w:eastAsia="仿宋_GB2312"/>
        </w:rPr>
        <w:t>8、无关联关系与廉洁承诺书：提供非西安市中心血站本单位职工及其近亲属开办、投资的企业或其它实体参与本项目采购活动的承诺书。</w:t>
      </w:r>
    </w:p>
    <w:p>
      <w:pPr>
        <w:pStyle w:val="null3"/>
      </w:pPr>
      <w:r>
        <w:rPr>
          <w:rFonts w:ascii="仿宋_GB2312" w:hAnsi="仿宋_GB2312" w:cs="仿宋_GB2312" w:eastAsia="仿宋_GB2312"/>
        </w:rPr>
        <w:t>9、非联合体投标声明：提供非联合体投标声明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西安市中心血站经办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陕西盛鑫药械招标有限公司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西安市雁塔区南二环西段88号老三届世纪星大厦28层K座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029-81873383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代理服务费收费标准：按国家发展计划委员会颁发的[2002]1980号文《招标代理服务收费管理暂行办法》的有关规定下浮10%执行。（代理服务费交费账户同保证金缴纳账户）</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陕西盛鑫药械招标有限公司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陕西盛鑫药械招标有限公司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陕西盛鑫药械招标有限公司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1、根据招标文件、投标文件和合同约定执行 2、依据现行的国家标准或国家行政部门颁布的法律法规、规章制度等</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拟采购的医疗废物处置采购内容包括采供血工作中产生的固体医疗废弃物和液体医疗废弃物两部分的收集、运输和处置，确保医疗废物得到安全、有效的处理。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医疗废物处置服务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标的名称：医疗废物处置服务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 服务内容</w:t>
            </w:r>
          </w:p>
          <w:p>
            <w:pPr>
              <w:pStyle w:val="null3"/>
              <w:jc w:val="both"/>
            </w:pPr>
            <w:r>
              <w:rPr>
                <w:rFonts w:ascii="仿宋_GB2312" w:hAnsi="仿宋_GB2312" w:cs="仿宋_GB2312" w:eastAsia="仿宋_GB2312"/>
                <w:sz w:val="28"/>
              </w:rPr>
              <w:t>1.按规范提供专用、符合标准的收集容器，在指定地点定时收集医疗废物，对不同种类（如损伤性、感染性）进行分类收集。</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使用有明显医疗废物标识，防渗漏等安全措施的专用运输车辆，按规定路线在规定时间内将收集的医疗废物运输至医疗废物处置场所。</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采用合适的处置技术，如焚烧，对医疗废物进行无害化处理，处置过程符合环保、卫生等相关法规要求。</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建立完整的记录系统，记录医疗废物的来源、种类、数量、处置方式、处置时间等医疗废物处置情况。</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15"/>
              <w:ind w:left="420"/>
              <w:jc w:val="both"/>
            </w:pPr>
            <w:r>
              <w:rPr>
                <w:rFonts w:ascii="仿宋_GB2312" w:hAnsi="仿宋_GB2312" w:cs="仿宋_GB2312" w:eastAsia="仿宋_GB2312"/>
                <w:sz w:val="28"/>
                <w:b/>
              </w:rPr>
              <w:t>二 服务要求</w:t>
            </w:r>
          </w:p>
          <w:p>
            <w:pPr>
              <w:pStyle w:val="null3"/>
              <w:jc w:val="left"/>
            </w:pPr>
            <w:r>
              <w:rPr>
                <w:rFonts w:ascii="仿宋_GB2312" w:hAnsi="仿宋_GB2312" w:cs="仿宋_GB2312" w:eastAsia="仿宋_GB2312"/>
                <w:sz w:val="28"/>
              </w:rPr>
              <w:t>在合同执行过程中需要服务商应执行的相关服务标准和应当履行的相关义务。</w:t>
            </w:r>
          </w:p>
          <w:p>
            <w:pPr>
              <w:pStyle w:val="null3"/>
              <w:jc w:val="left"/>
            </w:pPr>
            <w:r>
              <w:rPr>
                <w:rFonts w:ascii="仿宋_GB2312" w:hAnsi="仿宋_GB2312" w:cs="仿宋_GB2312" w:eastAsia="仿宋_GB2312"/>
                <w:sz w:val="28"/>
                <w:color w:val="000000"/>
                <w:shd w:fill="FFFFFF" w:val="clear"/>
              </w:rPr>
              <w:t>1.指定专人</w:t>
            </w:r>
            <w:r>
              <w:rPr>
                <w:rFonts w:ascii="仿宋_GB2312" w:hAnsi="仿宋_GB2312" w:cs="仿宋_GB2312" w:eastAsia="仿宋_GB2312"/>
                <w:sz w:val="28"/>
                <w:color w:val="000000"/>
                <w:shd w:fill="FFFFFF" w:val="clear"/>
              </w:rPr>
              <w:t>负责</w:t>
            </w:r>
            <w:r>
              <w:rPr>
                <w:rFonts w:ascii="仿宋_GB2312" w:hAnsi="仿宋_GB2312" w:cs="仿宋_GB2312" w:eastAsia="仿宋_GB2312"/>
                <w:sz w:val="28"/>
                <w:color w:val="000000"/>
                <w:shd w:fill="FFFFFF" w:val="clear"/>
              </w:rPr>
              <w:t>对采购人的医疗废物处置的服务工作。</w:t>
            </w:r>
          </w:p>
          <w:p>
            <w:pPr>
              <w:pStyle w:val="null3"/>
              <w:ind w:firstLine="480"/>
              <w:jc w:val="both"/>
            </w:pPr>
            <w:r>
              <w:rPr>
                <w:rFonts w:ascii="仿宋_GB2312" w:hAnsi="仿宋_GB2312" w:cs="仿宋_GB2312" w:eastAsia="仿宋_GB2312"/>
                <w:sz w:val="28"/>
                <w:color w:val="000000"/>
                <w:shd w:fill="FFFFFF" w:val="clear"/>
              </w:rPr>
              <w:t>2.根据采购人的上年度医疗废物产生量提供相应数量的专用包装容器：包括包装袋、利器盒和周转桶。</w:t>
            </w:r>
          </w:p>
          <w:p>
            <w:pPr>
              <w:pStyle w:val="null3"/>
              <w:ind w:firstLine="480"/>
              <w:jc w:val="both"/>
            </w:pPr>
            <w:r>
              <w:rPr>
                <w:rFonts w:ascii="仿宋_GB2312" w:hAnsi="仿宋_GB2312" w:cs="仿宋_GB2312" w:eastAsia="仿宋_GB2312"/>
                <w:sz w:val="28"/>
                <w:color w:val="000000"/>
                <w:shd w:fill="FFFFFF" w:val="clear"/>
              </w:rPr>
              <w:t>3.指定专人负责医疗废物交接工作</w:t>
            </w:r>
            <w:r>
              <w:rPr>
                <w:rFonts w:ascii="仿宋_GB2312" w:hAnsi="仿宋_GB2312" w:cs="仿宋_GB2312" w:eastAsia="仿宋_GB2312"/>
                <w:sz w:val="28"/>
                <w:color w:val="000000"/>
                <w:shd w:fill="FFFFFF" w:val="clear"/>
              </w:rPr>
              <w:t>，</w:t>
            </w:r>
            <w:r>
              <w:rPr>
                <w:rFonts w:ascii="仿宋_GB2312" w:hAnsi="仿宋_GB2312" w:cs="仿宋_GB2312" w:eastAsia="仿宋_GB2312"/>
                <w:sz w:val="28"/>
                <w:color w:val="000000"/>
                <w:shd w:fill="FFFFFF" w:val="clear"/>
              </w:rPr>
              <w:t>对移交的医疗废物进行核实后填写《危险废物转移联单》（医疗废物专用）和《医疗废物运送登记卡》。</w:t>
            </w:r>
          </w:p>
          <w:p>
            <w:pPr>
              <w:pStyle w:val="null3"/>
              <w:ind w:firstLine="480"/>
              <w:jc w:val="both"/>
            </w:pPr>
            <w:r>
              <w:rPr>
                <w:rFonts w:ascii="仿宋_GB2312" w:hAnsi="仿宋_GB2312" w:cs="仿宋_GB2312" w:eastAsia="仿宋_GB2312"/>
                <w:sz w:val="28"/>
                <w:color w:val="000000"/>
                <w:shd w:fill="FFFFFF" w:val="clear"/>
              </w:rPr>
              <w:t>4.指定专人按照约定的时间到采购人的医疗废物暂存仓库接收医疗废物。</w:t>
            </w:r>
          </w:p>
          <w:tbl>
            <w:tblPr>
              <w:tblInd w:type="dxa" w:w="135"/>
              <w:tblBorders>
                <w:top w:val="none" w:color="000000" w:sz="4"/>
                <w:left w:val="none" w:color="000000" w:sz="4"/>
                <w:bottom w:val="none" w:color="000000" w:sz="4"/>
                <w:right w:val="none" w:color="000000" w:sz="4"/>
                <w:insideH w:val="none"/>
                <w:insideV w:val="none"/>
              </w:tblBorders>
            </w:tblPr>
            <w:tblGrid>
              <w:gridCol w:w="429"/>
              <w:gridCol w:w="500"/>
              <w:gridCol w:w="480"/>
              <w:gridCol w:w="476"/>
              <w:gridCol w:w="667"/>
            </w:tblGrid>
            <w:tr>
              <w:tc>
                <w:tcPr>
                  <w:tcW w:type="dxa" w:w="42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拉运周期</w:t>
                  </w:r>
                </w:p>
              </w:tc>
              <w:tc>
                <w:tcPr>
                  <w:tcW w:type="dxa" w:w="50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周一</w:t>
                  </w:r>
                </w:p>
              </w:tc>
              <w:tc>
                <w:tcPr>
                  <w:tcW w:type="dxa" w:w="4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周三</w:t>
                  </w:r>
                </w:p>
              </w:tc>
              <w:tc>
                <w:tcPr>
                  <w:tcW w:type="dxa" w:w="4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周五</w:t>
                  </w:r>
                </w:p>
              </w:tc>
              <w:tc>
                <w:tcPr>
                  <w:tcW w:type="dxa" w:w="66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周日</w:t>
                  </w:r>
                </w:p>
              </w:tc>
            </w:tr>
            <w:tr>
              <w:tc>
                <w:tcPr>
                  <w:tcW w:type="dxa" w:w="4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拉运时间</w:t>
                  </w:r>
                </w:p>
              </w:tc>
              <w:tc>
                <w:tcPr>
                  <w:tcW w:type="dxa" w:w="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19:00-20:00</w:t>
                  </w:r>
                </w:p>
              </w:tc>
              <w:tc>
                <w:tcPr>
                  <w:tcW w:type="dxa" w:w="4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19:00-20:00</w:t>
                  </w:r>
                </w:p>
              </w:tc>
              <w:tc>
                <w:tcPr>
                  <w:tcW w:type="dxa" w:w="4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19:00-20:00</w:t>
                  </w:r>
                </w:p>
              </w:tc>
              <w:tc>
                <w:tcPr>
                  <w:tcW w:type="dxa" w:w="6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19:00-20:00</w:t>
                  </w:r>
                </w:p>
              </w:tc>
            </w:tr>
          </w:tbl>
          <w:p>
            <w:pPr>
              <w:pStyle w:val="null3"/>
              <w:ind w:firstLine="480"/>
              <w:jc w:val="both"/>
            </w:pPr>
            <w:r>
              <w:rPr>
                <w:rFonts w:ascii="仿宋_GB2312" w:hAnsi="仿宋_GB2312" w:cs="仿宋_GB2312" w:eastAsia="仿宋_GB2312"/>
                <w:sz w:val="28"/>
                <w:color w:val="000000"/>
                <w:shd w:fill="FFFFFF" w:val="clear"/>
              </w:rPr>
              <w:t>5.根据《医疗废物管理条例》和《医疗废物集中处置技术规范》对接收的医疗废物进行无害化处置。</w:t>
            </w:r>
          </w:p>
          <w:p>
            <w:pPr>
              <w:pStyle w:val="null3"/>
              <w:ind w:firstLine="480"/>
              <w:jc w:val="both"/>
            </w:pPr>
            <w:r>
              <w:rPr>
                <w:rFonts w:ascii="仿宋_GB2312" w:hAnsi="仿宋_GB2312" w:cs="仿宋_GB2312" w:eastAsia="仿宋_GB2312"/>
                <w:sz w:val="28"/>
              </w:rPr>
              <w:t>6.如遇特殊情况，随时清运。</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成交供应商应于2026年12月后，向甲方提供2026年7月25日至2026年11月30日期间的符合甲方要求的处置费发票，甲方应结合验收结果，采购单位核对发票后支付第一周期处置费款项；成交供应商于合同完成后，向甲方提供2026年12月1日至合同截止日期间的符合甲方要求的处置费发票，甲方应结合验收结果，采购单位核对发票后支付第二周期处置费款项，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在领取中标（成交）通知书时需提交1正2副纸质版投标文件至招标代理机构（地址：西安市吉祥路298号长海大厦9层901室），正副本分别单独胶装，纸质版文件须用电子版文件直接打印，与电子版文件内容一致，不允许补充和修改，正本应逐页加盖投标供应商鲜章，副本可采用正本的复印件。纸质版文件与电子投标文件不一致由此造成的一切责任及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六个月内基本存款账户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提供2026年1月以来至少一个月的社会保障资金缴存单据或社保机构开具的社会保险参保缴费情况证明。依法不需要缴纳社会保障资金的供应商应提供相关文件证明。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供应商应具备环境主管部门审批颁发的《危险废物经营许可证》（包含废弃药品及其包装物）</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履约能力.docx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无关联关系与廉洁承诺书</w:t>
            </w:r>
          </w:p>
        </w:tc>
        <w:tc>
          <w:tcPr>
            <w:tcW w:type="dxa" w:w="3322"/>
          </w:tcPr>
          <w:p>
            <w:pPr>
              <w:pStyle w:val="null3"/>
            </w:pPr>
            <w:r>
              <w:rPr>
                <w:rFonts w:ascii="仿宋_GB2312" w:hAnsi="仿宋_GB2312" w:cs="仿宋_GB2312" w:eastAsia="仿宋_GB2312"/>
              </w:rPr>
              <w:t>提供非西安市中心血站本单位职工及其近亲属开办、投资的企业或其它实体参与本项目采购活动的承诺书。</w:t>
            </w:r>
          </w:p>
        </w:tc>
        <w:tc>
          <w:tcPr>
            <w:tcW w:type="dxa" w:w="1661"/>
          </w:tcPr>
          <w:p>
            <w:pPr>
              <w:pStyle w:val="null3"/>
            </w:pPr>
            <w:r>
              <w:rPr>
                <w:rFonts w:ascii="仿宋_GB2312" w:hAnsi="仿宋_GB2312" w:cs="仿宋_GB2312" w:eastAsia="仿宋_GB2312"/>
              </w:rPr>
              <w:t>关联关系与廉洁承诺书.docx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供应商必须满足采购文件的其他实质性要求</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投标文件签字盖章均符合采购文件要求,且无遗漏</w:t>
            </w:r>
          </w:p>
        </w:tc>
        <w:tc>
          <w:tcPr>
            <w:tcW w:type="dxa" w:w="1661"/>
          </w:tcPr>
          <w:p>
            <w:pPr>
              <w:pStyle w:val="null3"/>
            </w:pPr>
            <w:r>
              <w:rPr>
                <w:rFonts w:ascii="仿宋_GB2312" w:hAnsi="仿宋_GB2312" w:cs="仿宋_GB2312" w:eastAsia="仿宋_GB2312"/>
              </w:rPr>
              <w:t>供应商参加政府采购活动承诺书.docx 服务内容及服务邀请应答表 中小企业声明函 商务应答表 报价表 响应文件封面 履约能力.docx 供应商应提交的相关资格证明材料.docx 关联关系与廉洁承诺书.docx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投标报价及内容</w:t>
            </w:r>
          </w:p>
        </w:tc>
        <w:tc>
          <w:tcPr>
            <w:tcW w:type="dxa" w:w="3322"/>
          </w:tcPr>
          <w:p>
            <w:pPr>
              <w:pStyle w:val="null3"/>
            </w:pPr>
            <w:r>
              <w:rPr>
                <w:rFonts w:ascii="仿宋_GB2312" w:hAnsi="仿宋_GB2312" w:cs="仿宋_GB2312" w:eastAsia="仿宋_GB2312"/>
              </w:rPr>
              <w:t>同时满足以下条款： （1）投标报价符合唯一性要求； （2）开标一览表、标的清单、，填写符合要求； （3）报价货币符合采购文件要求； （4）未超出采购预算或采购文件规定的最高限价；（5）不接受0元报价与赠与行为；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1.根据财库〔2026〕2号文件《关于推动解决政府采购异常低价问题的通知》，在谈判过程中出现下列情形之一的，谈判小组应当启动异常低价投标（响应）审查程序：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(4).谈判小组基于专业判断，认为供应商报价过低，有可能影响产品质量或者不能诚信履约的其他情形。 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 2.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商务条款应答</w:t>
            </w:r>
          </w:p>
        </w:tc>
        <w:tc>
          <w:tcPr>
            <w:tcW w:type="dxa" w:w="3322"/>
          </w:tcPr>
          <w:p>
            <w:pPr>
              <w:pStyle w:val="null3"/>
            </w:pPr>
            <w:r>
              <w:rPr>
                <w:rFonts w:ascii="仿宋_GB2312" w:hAnsi="仿宋_GB2312" w:cs="仿宋_GB2312" w:eastAsia="仿宋_GB2312"/>
              </w:rPr>
              <w:t>供应商必须满足采购文件的商务要求，无缺项/漏项。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 没有出现法律法规或采购文件规定的其他无效情形。</w:t>
            </w:r>
          </w:p>
        </w:tc>
        <w:tc>
          <w:tcPr>
            <w:tcW w:type="dxa" w:w="1661"/>
          </w:tcPr>
          <w:p>
            <w:pPr>
              <w:pStyle w:val="null3"/>
            </w:pPr>
            <w:r>
              <w:rPr>
                <w:rFonts w:ascii="仿宋_GB2312" w:hAnsi="仿宋_GB2312" w:cs="仿宋_GB2312" w:eastAsia="仿宋_GB2312"/>
              </w:rPr>
              <w:t>供应商参加政府采购活动承诺书.docx 服务内容及服务邀请应答表 中小企业声明函 商务应答表 报价表 响应文件封面 履约能力.docx 供应商应提交的相关资格证明材料.docx 关联关系与廉洁承诺书.docx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详见附件：关联关系与廉洁承诺书.docx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详见附件：拟签订采购合同文本（仅供参考）.docx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