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版本号：DRZB2026-ZC-17320260728001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某重点工作动态监测项目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DRZB2026-ZC-173</w:t>
      </w:r>
      <w:r>
        <w:br/>
      </w:r>
      <w:r>
        <w:br/>
      </w:r>
      <w:r>
        <w:br/>
      </w:r>
    </w:p>
    <w:p>
      <w:pPr>
        <w:pStyle w:val="null3"/>
        <w:jc w:val="center"/>
        <w:outlineLvl w:val="2"/>
      </w:pPr>
      <w:r>
        <w:rPr>
          <w:rFonts w:ascii="仿宋_GB2312" w:hAnsi="仿宋_GB2312" w:cs="仿宋_GB2312" w:eastAsia="仿宋_GB2312"/>
          <w:sz w:val="28"/>
          <w:b/>
        </w:rPr>
        <w:t>陕西省测绘地理信息局</w:t>
      </w:r>
    </w:p>
    <w:p>
      <w:pPr>
        <w:pStyle w:val="null3"/>
        <w:jc w:val="center"/>
        <w:outlineLvl w:val="2"/>
      </w:pPr>
      <w:r>
        <w:rPr>
          <w:rFonts w:ascii="仿宋_GB2312" w:hAnsi="仿宋_GB2312" w:cs="仿宋_GB2312" w:eastAsia="仿宋_GB2312"/>
          <w:sz w:val="28"/>
          <w:b/>
        </w:rPr>
        <w:t>陕西德仁招标有限公司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陕西德仁招标有限公司</w:t>
      </w:r>
      <w:r>
        <w:rPr>
          <w:rFonts w:ascii="仿宋_GB2312" w:hAnsi="仿宋_GB2312" w:cs="仿宋_GB2312" w:eastAsia="仿宋_GB2312"/>
        </w:rPr>
        <w:t>（以下简称“代理机构”）受</w:t>
      </w:r>
      <w:r>
        <w:rPr>
          <w:rFonts w:ascii="仿宋_GB2312" w:hAnsi="仿宋_GB2312" w:cs="仿宋_GB2312" w:eastAsia="仿宋_GB2312"/>
        </w:rPr>
        <w:t>陕西省测绘地理信息局</w:t>
      </w:r>
      <w:r>
        <w:rPr>
          <w:rFonts w:ascii="仿宋_GB2312" w:hAnsi="仿宋_GB2312" w:cs="仿宋_GB2312" w:eastAsia="仿宋_GB2312"/>
        </w:rPr>
        <w:t>委托，拟对</w:t>
      </w:r>
      <w:r>
        <w:rPr>
          <w:rFonts w:ascii="仿宋_GB2312" w:hAnsi="仿宋_GB2312" w:cs="仿宋_GB2312" w:eastAsia="仿宋_GB2312"/>
        </w:rPr>
        <w:t>某重点工作动态监测项目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DRZB2026-ZC-173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某重点工作动态监测项目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某重点工作动态监测项目，具体详见招标文件及内容。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3、税收缴纳证明：提供递交投标文件截止之日前六个月内任意一个月的依法缴纳税收的相关凭据，凭据应有税务机关或代收机关的公章或业务专用章。依法免税或无须缴纳税收的投标人，应提供相应证明文件；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递交投标文件截止之日前六个月内任意一个月的社会保障资金缴存单据或社保机构开具的社会保险参保缴费情况证明。依法不需要缴纳社会保障资金的投标人应提供相关证明文件；</w:t>
      </w:r>
    </w:p>
    <w:p>
      <w:pPr>
        <w:pStyle w:val="null3"/>
      </w:pPr>
      <w:r>
        <w:rPr>
          <w:rFonts w:ascii="仿宋_GB2312" w:hAnsi="仿宋_GB2312" w:cs="仿宋_GB2312" w:eastAsia="仿宋_GB2312"/>
        </w:rPr>
        <w:t>5、书面声明：提供具有履行本合同所必需的专业技术能力的书面声明；</w:t>
      </w:r>
    </w:p>
    <w:p>
      <w:pPr>
        <w:pStyle w:val="null3"/>
      </w:pPr>
      <w:r>
        <w:rPr>
          <w:rFonts w:ascii="仿宋_GB2312" w:hAnsi="仿宋_GB2312" w:cs="仿宋_GB2312" w:eastAsia="仿宋_GB2312"/>
        </w:rPr>
        <w:t>6、无重大违法记录声明：参加本次政府采购活动前 3 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7、法定代表人授权委托书：法定代表人直接参加投标的，须出具法定代表人身份证明书及身份证；授权代表参加投标的，须出具法定代表人授权书及授权代表身份证；</w:t>
      </w:r>
    </w:p>
    <w:p>
      <w:pPr>
        <w:pStyle w:val="null3"/>
      </w:pPr>
      <w:r>
        <w:rPr>
          <w:rFonts w:ascii="仿宋_GB2312" w:hAnsi="仿宋_GB2312" w:cs="仿宋_GB2312" w:eastAsia="仿宋_GB2312"/>
        </w:rPr>
        <w:t>8、信用记录：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p>
      <w:pPr>
        <w:pStyle w:val="null3"/>
      </w:pPr>
      <w:r>
        <w:rPr>
          <w:rFonts w:ascii="仿宋_GB2312" w:hAnsi="仿宋_GB2312" w:cs="仿宋_GB2312" w:eastAsia="仿宋_GB2312"/>
        </w:rPr>
        <w:t>9、供应商关联关系声明：投标人关联关系声明，包括：①控股管理关系（不得与参加本项目的其他投标人单位负责人为同一人或者存在直接控股、管理关系），②未为本项目提供整体设计、规范编制或者项目管理、监理、检测等服务；</w:t>
      </w:r>
    </w:p>
    <w:p>
      <w:pPr>
        <w:pStyle w:val="null3"/>
      </w:pPr>
      <w:r>
        <w:rPr>
          <w:rFonts w:ascii="仿宋_GB2312" w:hAnsi="仿宋_GB2312" w:cs="仿宋_GB2312" w:eastAsia="仿宋_GB2312"/>
        </w:rPr>
        <w:t>10、特定资质：具有行政主管部门颁发的有效的甲级测绘资质（专业类别至少包含摄影测量与遥感、地理信息系统工程）；</w:t>
      </w:r>
    </w:p>
    <w:p>
      <w:pPr>
        <w:pStyle w:val="null3"/>
      </w:pPr>
      <w:r>
        <w:rPr>
          <w:rFonts w:ascii="仿宋_GB2312" w:hAnsi="仿宋_GB2312" w:cs="仿宋_GB2312" w:eastAsia="仿宋_GB2312"/>
        </w:rPr>
        <w:t>11、非联合体声明：本项目不接受联合体投标。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陕西省测绘地理信息局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陕西省西安市友谊东路334号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029-87604080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陕西德仁招标有限公司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西安市唐延路37号class公馆B栋1103室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贺培文、张海燕、赵璐、苏庆春、曹静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029-85565073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采购包1：7,700,000.00元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采购包1保证金金额：30,173.00元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开户名称：陕西德仁招标有限公司</w:t>
            </w:r>
          </w:p>
          <w:p>
            <w:pPr>
              <w:pStyle w:val="null3"/>
            </w:pPr>
            <w:r>
              <w:rPr>
                <w:rFonts w:ascii="仿宋_GB2312" w:hAnsi="仿宋_GB2312" w:cs="仿宋_GB2312" w:eastAsia="仿宋_GB2312"/>
              </w:rPr>
              <w:t>开户银行：中国建设银行股份有限公司西安吉祥路支行</w:t>
            </w:r>
          </w:p>
          <w:p>
            <w:pPr>
              <w:pStyle w:val="null3"/>
            </w:pPr>
            <w:r>
              <w:rPr>
                <w:rFonts w:ascii="仿宋_GB2312" w:hAnsi="仿宋_GB2312" w:cs="仿宋_GB2312" w:eastAsia="仿宋_GB2312"/>
              </w:rPr>
              <w:t>银行账号：61050172650000000081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说明：合同签订后10个工作日内，中标人须向采购人缴纳合同金额5%的履约保证金，履约保证金以金融机构、担保机构出具的保函形式提交，保函有效期至项目验收合格后1个月。</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代理服务费收费标准：本项目招标代理服务费实行市场调节价，采用差额定率累进法计费，以中标金额为计费基数，按照“服务类”项目的取费标准下浮20%收取。由成交供应商在领取成交通知书前一次性支付。 具体费率：100万元以下，按照1.5%计取；100-500万元，按照0.8%计取；500-1000万元，按照0.45%计取。 代理费缴纳账户：银行户名：陕西德仁招标有限公司 开户银行：招商银行股份有限公司西安城南支行 账 号：1299 0904 6810 901联系人：苏会计 联系电话：029-89185132 邮箱：sxdrzb@qq.com。</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陕西省测绘地理信息局</w:t>
      </w:r>
      <w:r>
        <w:rPr>
          <w:rFonts w:ascii="仿宋_GB2312" w:hAnsi="仿宋_GB2312" w:cs="仿宋_GB2312" w:eastAsia="仿宋_GB2312"/>
        </w:rPr>
        <w:t>和</w:t>
      </w:r>
      <w:r>
        <w:rPr>
          <w:rFonts w:ascii="仿宋_GB2312" w:hAnsi="仿宋_GB2312" w:cs="仿宋_GB2312" w:eastAsia="仿宋_GB2312"/>
        </w:rPr>
        <w:t>陕西德仁招标有限公司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陕西省测绘地理信息局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陕西德仁招标有限公司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陕西省测绘地理信息局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陕西德仁招标有限公司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以采购文件、响应文件及签订合同要求为准。</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联系人：贺培文、张海燕、赵璐</w:t>
      </w:r>
    </w:p>
    <w:p>
      <w:pPr>
        <w:pStyle w:val="null3"/>
      </w:pPr>
      <w:r>
        <w:rPr>
          <w:rFonts w:ascii="仿宋_GB2312" w:hAnsi="仿宋_GB2312" w:cs="仿宋_GB2312" w:eastAsia="仿宋_GB2312"/>
        </w:rPr>
        <w:t>联系电话：029-85565073</w:t>
      </w:r>
    </w:p>
    <w:p>
      <w:pPr>
        <w:pStyle w:val="null3"/>
      </w:pPr>
      <w:r>
        <w:rPr>
          <w:rFonts w:ascii="仿宋_GB2312" w:hAnsi="仿宋_GB2312" w:cs="仿宋_GB2312" w:eastAsia="仿宋_GB2312"/>
        </w:rPr>
        <w:t>地址：西安市唐延路37号class公馆B栋1103室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某重点工作动态监测项目，具体详见招标文件及内容。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7,700,000.00</w:t>
      </w:r>
    </w:p>
    <w:p>
      <w:pPr>
        <w:pStyle w:val="null3"/>
      </w:pPr>
      <w:r>
        <w:rPr>
          <w:rFonts w:ascii="仿宋_GB2312" w:hAnsi="仿宋_GB2312" w:cs="仿宋_GB2312" w:eastAsia="仿宋_GB2312"/>
        </w:rPr>
        <w:t>采购包最高限价（元）: 7,700,000.00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某重点工作动态监测项目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7,700,000.00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标的名称：某重点工作动态监测项目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both"/>
            </w:pPr>
            <w:r>
              <w:rPr>
                <w:rFonts w:ascii="仿宋_GB2312" w:hAnsi="仿宋_GB2312" w:cs="仿宋_GB2312" w:eastAsia="仿宋_GB2312"/>
                <w:sz w:val="21"/>
                <w:b/>
              </w:rPr>
              <w:t>一、</w:t>
            </w:r>
            <w:r>
              <w:rPr>
                <w:rFonts w:ascii="仿宋_GB2312" w:hAnsi="仿宋_GB2312" w:cs="仿宋_GB2312" w:eastAsia="仿宋_GB2312"/>
                <w:sz w:val="21"/>
                <w:b/>
              </w:rPr>
              <w:t>项目目标</w:t>
            </w:r>
          </w:p>
          <w:p>
            <w:pPr>
              <w:pStyle w:val="null3"/>
              <w:ind w:firstLine="400"/>
              <w:jc w:val="both"/>
            </w:pPr>
            <w:r>
              <w:rPr>
                <w:rFonts w:ascii="仿宋_GB2312" w:hAnsi="仿宋_GB2312" w:cs="仿宋_GB2312" w:eastAsia="仿宋_GB2312"/>
                <w:sz w:val="21"/>
              </w:rPr>
              <w:t>通过卫星遥感监测动态掌握陕西省各行政单元耕地数量变化情况及疑似违法占用耕地情况等，为耕地保护考核和遏制违法占用耕地提供有效抓手；持续完善耕地、永久基本农田和高标准农田一体化管理场景，科学支撑管理部门决策；为省级田长办相关工作提供技术支撑，助力省级田长办落实相关职能。</w:t>
            </w:r>
          </w:p>
          <w:p>
            <w:pPr>
              <w:pStyle w:val="null3"/>
              <w:ind w:firstLine="402"/>
              <w:jc w:val="both"/>
            </w:pPr>
            <w:r>
              <w:rPr>
                <w:rFonts w:ascii="仿宋_GB2312" w:hAnsi="仿宋_GB2312" w:cs="仿宋_GB2312" w:eastAsia="仿宋_GB2312"/>
                <w:sz w:val="21"/>
                <w:b/>
              </w:rPr>
              <w:t>二、</w:t>
            </w:r>
            <w:r>
              <w:rPr>
                <w:rFonts w:ascii="仿宋_GB2312" w:hAnsi="仿宋_GB2312" w:cs="仿宋_GB2312" w:eastAsia="仿宋_GB2312"/>
                <w:sz w:val="21"/>
                <w:b/>
              </w:rPr>
              <w:t>工作内容</w:t>
            </w:r>
          </w:p>
          <w:p>
            <w:pPr>
              <w:pStyle w:val="null3"/>
              <w:ind w:firstLine="402"/>
              <w:jc w:val="both"/>
            </w:pPr>
            <w:r>
              <w:rPr>
                <w:rFonts w:ascii="仿宋_GB2312" w:hAnsi="仿宋_GB2312" w:cs="仿宋_GB2312" w:eastAsia="仿宋_GB2312"/>
                <w:sz w:val="21"/>
                <w:b/>
              </w:rPr>
              <w:t>1.耕地保护常态化监测监管</w:t>
            </w:r>
          </w:p>
          <w:p>
            <w:pPr>
              <w:pStyle w:val="null3"/>
              <w:ind w:firstLine="402"/>
              <w:jc w:val="both"/>
            </w:pPr>
            <w:r>
              <w:rPr>
                <w:rFonts w:ascii="仿宋_GB2312" w:hAnsi="仿宋_GB2312" w:cs="仿宋_GB2312" w:eastAsia="仿宋_GB2312"/>
                <w:sz w:val="21"/>
                <w:b/>
              </w:rPr>
              <w:t>（1）卫星遥感正射影像加工</w:t>
            </w:r>
          </w:p>
          <w:p>
            <w:pPr>
              <w:pStyle w:val="null3"/>
              <w:ind w:firstLine="400"/>
              <w:jc w:val="both"/>
            </w:pPr>
            <w:r>
              <w:rPr>
                <w:rFonts w:ascii="仿宋_GB2312" w:hAnsi="仿宋_GB2312" w:cs="仿宋_GB2312" w:eastAsia="仿宋_GB2312"/>
                <w:sz w:val="21"/>
              </w:rPr>
              <w:t>根据项目需求，收集时相为2026年、分辨率为2米级及优于2米的原始卫星影像，每双月覆盖陕西省全域1次，单次全省有效影像覆盖率不低于90%。以陕西省三调正射影像成果、数字高程模型数据等控制资料为基础，以景为单位，对原始卫星影像进行纠正融合等处理，制作符合要求的2026年陕西省卫星遥感正射影像。</w:t>
            </w:r>
          </w:p>
          <w:p>
            <w:pPr>
              <w:pStyle w:val="null3"/>
              <w:ind w:firstLine="402"/>
              <w:jc w:val="both"/>
            </w:pPr>
            <w:r>
              <w:rPr>
                <w:rFonts w:ascii="仿宋_GB2312" w:hAnsi="仿宋_GB2312" w:cs="仿宋_GB2312" w:eastAsia="仿宋_GB2312"/>
                <w:sz w:val="21"/>
                <w:b/>
              </w:rPr>
              <w:t>（2）常态化遥感监测</w:t>
            </w:r>
          </w:p>
          <w:p>
            <w:pPr>
              <w:pStyle w:val="null3"/>
              <w:ind w:firstLine="400"/>
              <w:jc w:val="both"/>
            </w:pPr>
            <w:r>
              <w:rPr>
                <w:rFonts w:ascii="仿宋_GB2312" w:hAnsi="仿宋_GB2312" w:cs="仿宋_GB2312" w:eastAsia="仿宋_GB2312"/>
                <w:sz w:val="21"/>
              </w:rPr>
              <w:t>一是常态化开展耕地双向变化监测。基于2025年度国土变更调查成果和2026年卫星遥感正射影像，常态化开展耕地双向变化监测，每双月覆盖陕西省全域1次，精准掌握耕地动态变化情况。</w:t>
            </w:r>
          </w:p>
          <w:p>
            <w:pPr>
              <w:pStyle w:val="null3"/>
              <w:ind w:firstLine="400"/>
              <w:jc w:val="both"/>
            </w:pPr>
            <w:r>
              <w:rPr>
                <w:rFonts w:ascii="仿宋_GB2312" w:hAnsi="仿宋_GB2312" w:cs="仿宋_GB2312" w:eastAsia="仿宋_GB2312"/>
                <w:sz w:val="21"/>
              </w:rPr>
              <w:t>二是开展专题性监测。基于最新永久基本农田保护红线范围、设施农用地、禁止开垦区等重点范围和重点事项，结合2026年卫星遥感正射影像，持续开展专题性监测，每双月覆盖陕西省全域1次，筑牢耕地保护防线。</w:t>
            </w:r>
          </w:p>
          <w:p>
            <w:pPr>
              <w:pStyle w:val="null3"/>
              <w:ind w:firstLine="400"/>
              <w:jc w:val="both"/>
            </w:pPr>
            <w:r>
              <w:rPr>
                <w:rFonts w:ascii="仿宋_GB2312" w:hAnsi="仿宋_GB2312" w:cs="仿宋_GB2312" w:eastAsia="仿宋_GB2312"/>
                <w:sz w:val="21"/>
              </w:rPr>
              <w:t>三是开展耕地“非粮化”等补充监测。针对耕地“非粮化”等监测难点，收集时相为2026年二三季度、分辨率为亚米的卫星遥感正射影像，开展一次覆盖全省的补充监测，补齐常态化监测的耕地“非粮化”等监测短板。</w:t>
            </w:r>
          </w:p>
          <w:p>
            <w:pPr>
              <w:pStyle w:val="null3"/>
              <w:ind w:firstLine="402"/>
              <w:jc w:val="both"/>
            </w:pPr>
            <w:r>
              <w:rPr>
                <w:rFonts w:ascii="仿宋_GB2312" w:hAnsi="仿宋_GB2312" w:cs="仿宋_GB2312" w:eastAsia="仿宋_GB2312"/>
                <w:sz w:val="21"/>
                <w:b/>
              </w:rPr>
              <w:t>（3）监测成果应用与监管</w:t>
            </w:r>
          </w:p>
          <w:p>
            <w:pPr>
              <w:pStyle w:val="null3"/>
              <w:ind w:firstLine="400"/>
              <w:jc w:val="both"/>
            </w:pPr>
            <w:r>
              <w:rPr>
                <w:rFonts w:ascii="仿宋_GB2312" w:hAnsi="仿宋_GB2312" w:cs="仿宋_GB2312" w:eastAsia="仿宋_GB2312"/>
                <w:sz w:val="21"/>
              </w:rPr>
              <w:t>按照《陕西省自然资源厅办公室关于印发〈发挥“四早”内部联动机制作用推动日常耕地保护工作措施〉的通知》要求，及时分析、持续移交相关线索，助力全省耕地保护相关问题“早发现、早制止、早查处、早预警”。</w:t>
            </w:r>
          </w:p>
          <w:p>
            <w:pPr>
              <w:pStyle w:val="null3"/>
              <w:ind w:firstLine="400"/>
              <w:jc w:val="both"/>
            </w:pPr>
            <w:r>
              <w:rPr>
                <w:rFonts w:ascii="仿宋_GB2312" w:hAnsi="仿宋_GB2312" w:cs="仿宋_GB2312" w:eastAsia="仿宋_GB2312"/>
                <w:sz w:val="21"/>
              </w:rPr>
              <w:t>根据遥感监测成果，持续统计分析省、市各行政单元耕地和永久基本农田总体变化情况、疑似耕地“非农化”、疑似永久基本农田“非粮化”等情况，形成报告报送省级耕地保护监管部门。</w:t>
            </w:r>
          </w:p>
          <w:p>
            <w:pPr>
              <w:pStyle w:val="null3"/>
              <w:ind w:firstLine="400"/>
              <w:jc w:val="both"/>
            </w:pPr>
            <w:r>
              <w:rPr>
                <w:rFonts w:ascii="仿宋_GB2312" w:hAnsi="仿宋_GB2312" w:cs="仿宋_GB2312" w:eastAsia="仿宋_GB2312"/>
                <w:sz w:val="21"/>
              </w:rPr>
              <w:t>根据耕地及永久基本农田变化监测成果，套合用地审批数据，筛选用地审批数据范围外的疑似问题图斑</w:t>
            </w:r>
            <w:r>
              <w:rPr>
                <w:rFonts w:ascii="仿宋_GB2312" w:hAnsi="仿宋_GB2312" w:cs="仿宋_GB2312" w:eastAsia="仿宋_GB2312"/>
                <w:sz w:val="21"/>
              </w:rPr>
              <w:t>，</w:t>
            </w:r>
            <w:r>
              <w:rPr>
                <w:rFonts w:ascii="仿宋_GB2312" w:hAnsi="仿宋_GB2312" w:cs="仿宋_GB2312" w:eastAsia="仿宋_GB2312"/>
                <w:sz w:val="21"/>
              </w:rPr>
              <w:t>针对疑似违法占用耕地建设线索，移交相关部门，每月移交2-3次；针对疑似永久基本农田“非粮化”线索，移交相关部门，每月移交1次。</w:t>
            </w:r>
          </w:p>
          <w:p>
            <w:pPr>
              <w:pStyle w:val="null3"/>
              <w:ind w:firstLine="402"/>
              <w:jc w:val="both"/>
            </w:pPr>
            <w:r>
              <w:rPr>
                <w:rFonts w:ascii="仿宋_GB2312" w:hAnsi="仿宋_GB2312" w:cs="仿宋_GB2312" w:eastAsia="仿宋_GB2312"/>
                <w:sz w:val="21"/>
                <w:b/>
              </w:rPr>
              <w:t>（4）动态监测预警分析</w:t>
            </w:r>
          </w:p>
          <w:p>
            <w:pPr>
              <w:pStyle w:val="null3"/>
              <w:ind w:firstLine="400"/>
              <w:jc w:val="both"/>
            </w:pPr>
            <w:r>
              <w:rPr>
                <w:rFonts w:ascii="仿宋_GB2312" w:hAnsi="仿宋_GB2312" w:cs="仿宋_GB2312" w:eastAsia="仿宋_GB2312"/>
                <w:sz w:val="21"/>
              </w:rPr>
              <w:t>根据监测成果，开展耕地保护考核相关指标统计与动态分析。基于省、市各行政单元耕地现有规模、永久基本农田管控范围现状耕地面积、新增耕地数量等现状情况，对标各行政单元耕地及永久基本农田相关控制数，开展动态比对分析及必要情况下的预警。每周统计汇报1次，及时反映各地指标缺口及指标动态变化趋势，为省级耕地保护考核研判、动态管控及风险预警提供精准的数据支撑。</w:t>
            </w:r>
          </w:p>
          <w:p>
            <w:pPr>
              <w:pStyle w:val="null3"/>
              <w:ind w:firstLine="402"/>
              <w:jc w:val="both"/>
            </w:pPr>
            <w:r>
              <w:rPr>
                <w:rFonts w:ascii="仿宋_GB2312" w:hAnsi="仿宋_GB2312" w:cs="仿宋_GB2312" w:eastAsia="仿宋_GB2312"/>
                <w:sz w:val="21"/>
                <w:b/>
              </w:rPr>
              <w:t>2.耕地、永久基本农田和高标准农田一体化管理场景建设</w:t>
            </w:r>
          </w:p>
          <w:p>
            <w:pPr>
              <w:pStyle w:val="null3"/>
              <w:ind w:firstLine="400"/>
              <w:jc w:val="left"/>
            </w:pPr>
            <w:r>
              <w:rPr>
                <w:rFonts w:ascii="仿宋_GB2312" w:hAnsi="仿宋_GB2312" w:cs="仿宋_GB2312" w:eastAsia="仿宋_GB2312"/>
                <w:sz w:val="21"/>
              </w:rPr>
              <w:t>在原有动态监测预警模块的基础上，根据项目需要，完成四个方面的工作。</w:t>
            </w:r>
          </w:p>
          <w:p>
            <w:pPr>
              <w:pStyle w:val="null3"/>
              <w:ind w:firstLine="402"/>
              <w:jc w:val="left"/>
            </w:pPr>
            <w:r>
              <w:rPr>
                <w:rFonts w:ascii="仿宋_GB2312" w:hAnsi="仿宋_GB2312" w:cs="仿宋_GB2312" w:eastAsia="仿宋_GB2312"/>
                <w:sz w:val="21"/>
                <w:b/>
              </w:rPr>
              <w:t>（1）数据中心改造</w:t>
            </w:r>
          </w:p>
          <w:p>
            <w:pPr>
              <w:pStyle w:val="null3"/>
              <w:ind w:firstLine="400"/>
              <w:jc w:val="left"/>
            </w:pPr>
            <w:r>
              <w:rPr>
                <w:rFonts w:ascii="仿宋_GB2312" w:hAnsi="仿宋_GB2312" w:cs="仿宋_GB2312" w:eastAsia="仿宋_GB2312"/>
                <w:sz w:val="21"/>
              </w:rPr>
              <w:t>对原有数据中心进行架构改造，推进跨部门业务数据更新，对各类接入数据开展清洗处理与入库，实现从仅自然资源部门数据的集中管理到自然资源、农业农村、水利、林业等多部门统一规范化管理。需完善基础数据管理能力，支持项目数据库配置与链路连接，可读取数据库数据表、属性及空间信息。升级数据中心二三维支撑功能，包括二三维数据服务发布与运维工具，并搭建可视化配置管理模块，统一开展二三维地图服务的发布和日常运维管理。支持依托已入库数据实时发布数据服务，可配置三维场景数据分级显示层级，自主选定关键属性字段、样式字段、切片等级，预设地图服务可见性等基础参数；支持页面统一管理地图服务运行状态与配置项，自定义设置服务授权访问地址、发布目录、服务端口等配置信息；支持叠加底图预览服务发布效果，完成各类地图服务展示样式配置。</w:t>
            </w:r>
          </w:p>
          <w:p>
            <w:pPr>
              <w:pStyle w:val="null3"/>
              <w:ind w:firstLine="402"/>
              <w:jc w:val="left"/>
            </w:pPr>
            <w:r>
              <w:rPr>
                <w:rFonts w:ascii="仿宋_GB2312" w:hAnsi="仿宋_GB2312" w:cs="仿宋_GB2312" w:eastAsia="仿宋_GB2312"/>
                <w:sz w:val="21"/>
                <w:b/>
              </w:rPr>
              <w:t>（2）一体化管理场景建设</w:t>
            </w:r>
          </w:p>
          <w:p>
            <w:pPr>
              <w:pStyle w:val="null3"/>
              <w:ind w:firstLine="400"/>
              <w:jc w:val="left"/>
            </w:pPr>
            <w:r>
              <w:rPr>
                <w:rFonts w:ascii="仿宋_GB2312" w:hAnsi="仿宋_GB2312" w:cs="仿宋_GB2312" w:eastAsia="仿宋_GB2312"/>
                <w:sz w:val="21"/>
              </w:rPr>
              <w:t>在原有动态监测预警模块的基础上，进行升级改造，最终形成四个模块：综合一张图、耕地监测预警、项目建设共管、辅助决策。各部分具体要求如下：</w:t>
            </w:r>
          </w:p>
          <w:p>
            <w:pPr>
              <w:pStyle w:val="null3"/>
              <w:ind w:firstLine="402"/>
              <w:jc w:val="left"/>
            </w:pPr>
            <w:r>
              <w:rPr>
                <w:rFonts w:ascii="仿宋_GB2312" w:hAnsi="仿宋_GB2312" w:cs="仿宋_GB2312" w:eastAsia="仿宋_GB2312"/>
                <w:sz w:val="21"/>
                <w:b/>
              </w:rPr>
              <w:t>1）综合一张图模块</w:t>
            </w:r>
          </w:p>
          <w:p>
            <w:pPr>
              <w:pStyle w:val="null3"/>
              <w:ind w:firstLine="400"/>
              <w:jc w:val="left"/>
            </w:pPr>
            <w:r>
              <w:rPr>
                <w:rFonts w:ascii="仿宋_GB2312" w:hAnsi="仿宋_GB2312" w:cs="仿宋_GB2312" w:eastAsia="仿宋_GB2312"/>
                <w:sz w:val="21"/>
              </w:rPr>
              <w:t>图层管理功能：以目录树对地理底图和专题数据进行编目管理，具备图层开闭、透明度控制等基础功能，单一或叠加展示各类数据图层；</w:t>
            </w:r>
          </w:p>
          <w:p>
            <w:pPr>
              <w:pStyle w:val="null3"/>
              <w:ind w:firstLine="400"/>
              <w:jc w:val="left"/>
            </w:pPr>
            <w:r>
              <w:rPr>
                <w:rFonts w:ascii="仿宋_GB2312" w:hAnsi="仿宋_GB2312" w:cs="仿宋_GB2312" w:eastAsia="仿宋_GB2312"/>
                <w:sz w:val="21"/>
              </w:rPr>
              <w:t>驾驶舱功能：以“统计图表+地图”形式联动展示耕地和永久基本农田家底情况，对耕地和永久基本农田的现状、保护目标、控制目标、耕地细分类的统计数字及空间分布情况进行联动展示，实现省、市、县三级钻取。</w:t>
            </w:r>
          </w:p>
          <w:p>
            <w:pPr>
              <w:pStyle w:val="null3"/>
              <w:ind w:firstLine="402"/>
              <w:jc w:val="left"/>
            </w:pPr>
            <w:r>
              <w:rPr>
                <w:rFonts w:ascii="仿宋_GB2312" w:hAnsi="仿宋_GB2312" w:cs="仿宋_GB2312" w:eastAsia="仿宋_GB2312"/>
                <w:sz w:val="21"/>
                <w:b/>
              </w:rPr>
              <w:t>2）耕地监测预警模块</w:t>
            </w:r>
          </w:p>
          <w:p>
            <w:pPr>
              <w:pStyle w:val="null3"/>
              <w:ind w:firstLine="400"/>
              <w:jc w:val="left"/>
            </w:pPr>
            <w:r>
              <w:rPr>
                <w:rFonts w:ascii="仿宋_GB2312" w:hAnsi="仿宋_GB2312" w:cs="仿宋_GB2312" w:eastAsia="仿宋_GB2312"/>
                <w:sz w:val="21"/>
              </w:rPr>
              <w:t>以“统计图表+地图”形式展示“非农化”“非粮化”图斑监测与处置情况。统计数字需展示图斑个数、面积、图斑所在的行政单元；展示监测周期的卫星星源统计等；地图需展示图斑空间分布情况、监测周期的卫星覆盖情况、支持单个图斑属性查询、图斑对应的小影像、举证照片的查看。支持按照时间、行政区划等条件，对指定时间段和行政区划的图斑情况查询统计，支持按时间轴展示图斑个数和分布变化。</w:t>
            </w:r>
          </w:p>
          <w:p>
            <w:pPr>
              <w:pStyle w:val="null3"/>
              <w:ind w:firstLine="402"/>
              <w:jc w:val="left"/>
            </w:pPr>
            <w:r>
              <w:rPr>
                <w:rFonts w:ascii="仿宋_GB2312" w:hAnsi="仿宋_GB2312" w:cs="仿宋_GB2312" w:eastAsia="仿宋_GB2312"/>
                <w:sz w:val="21"/>
                <w:b/>
              </w:rPr>
              <w:t>3）项目建设共管模块</w:t>
            </w:r>
          </w:p>
          <w:p>
            <w:pPr>
              <w:pStyle w:val="null3"/>
              <w:ind w:firstLine="400"/>
              <w:jc w:val="left"/>
            </w:pPr>
            <w:r>
              <w:rPr>
                <w:rFonts w:ascii="仿宋_GB2312" w:hAnsi="仿宋_GB2312" w:cs="仿宋_GB2312" w:eastAsia="仿宋_GB2312"/>
                <w:sz w:val="21"/>
              </w:rPr>
              <w:t>该模块实现基于一张底图的涉及耕地、永久基本农田和高标准农田项目的规划选址与合规性审查，具备分析规则配置及管理、数据预检分析、空间套合分析、地图联动审查、分析报表输出、分析成果展示、项目流程管理等基本功能。</w:t>
            </w:r>
          </w:p>
          <w:p>
            <w:pPr>
              <w:pStyle w:val="null3"/>
              <w:ind w:firstLine="400"/>
              <w:jc w:val="left"/>
            </w:pPr>
            <w:r>
              <w:rPr>
                <w:rFonts w:ascii="仿宋_GB2312" w:hAnsi="仿宋_GB2312" w:cs="仿宋_GB2312" w:eastAsia="仿宋_GB2312"/>
                <w:sz w:val="21"/>
              </w:rPr>
              <w:t>①</w:t>
            </w:r>
            <w:r>
              <w:rPr>
                <w:rFonts w:ascii="仿宋_GB2312" w:hAnsi="仿宋_GB2312" w:cs="仿宋_GB2312" w:eastAsia="仿宋_GB2312"/>
                <w:sz w:val="21"/>
              </w:rPr>
              <w:t>分析规则配置及管理。支持针对不同业务场景制定空间套合分析规则表，分析规则包括相交、擦除等操作，提供表单新建、编辑、删除等基本操作。</w:t>
            </w:r>
          </w:p>
          <w:p>
            <w:pPr>
              <w:pStyle w:val="null3"/>
              <w:ind w:firstLine="400"/>
              <w:jc w:val="left"/>
            </w:pPr>
            <w:r>
              <w:rPr>
                <w:rFonts w:ascii="仿宋_GB2312" w:hAnsi="仿宋_GB2312" w:cs="仿宋_GB2312" w:eastAsia="仿宋_GB2312"/>
                <w:sz w:val="21"/>
              </w:rPr>
              <w:t>②</w:t>
            </w:r>
            <w:r>
              <w:rPr>
                <w:rFonts w:ascii="仿宋_GB2312" w:hAnsi="仿宋_GB2312" w:cs="仿宋_GB2312" w:eastAsia="仿宋_GB2312"/>
                <w:sz w:val="21"/>
              </w:rPr>
              <w:t>数据预检分析。支持针对上传的矢量数据开展逻辑性预检，包括成果有效性检查、矢量成果规范性预检、几何数据质量检查等基本数据质检分析功能。</w:t>
            </w:r>
          </w:p>
          <w:p>
            <w:pPr>
              <w:pStyle w:val="null3"/>
              <w:ind w:firstLine="400"/>
              <w:jc w:val="left"/>
            </w:pPr>
            <w:r>
              <w:rPr>
                <w:rFonts w:ascii="仿宋_GB2312" w:hAnsi="仿宋_GB2312" w:cs="仿宋_GB2312" w:eastAsia="仿宋_GB2312"/>
                <w:sz w:val="21"/>
              </w:rPr>
              <w:t>③</w:t>
            </w:r>
            <w:r>
              <w:rPr>
                <w:rFonts w:ascii="仿宋_GB2312" w:hAnsi="仿宋_GB2312" w:cs="仿宋_GB2312" w:eastAsia="仿宋_GB2312"/>
                <w:sz w:val="21"/>
              </w:rPr>
              <w:t>空间套合分析。支持两两图层之间的空间套合分析；支持按照分析规则表进行空间套合分析。</w:t>
            </w:r>
          </w:p>
          <w:p>
            <w:pPr>
              <w:pStyle w:val="null3"/>
              <w:ind w:firstLine="400"/>
              <w:jc w:val="left"/>
            </w:pPr>
            <w:r>
              <w:rPr>
                <w:rFonts w:ascii="仿宋_GB2312" w:hAnsi="仿宋_GB2312" w:cs="仿宋_GB2312" w:eastAsia="仿宋_GB2312"/>
                <w:sz w:val="21"/>
              </w:rPr>
              <w:t>④</w:t>
            </w:r>
            <w:r>
              <w:rPr>
                <w:rFonts w:ascii="仿宋_GB2312" w:hAnsi="仿宋_GB2312" w:cs="仿宋_GB2312" w:eastAsia="仿宋_GB2312"/>
                <w:sz w:val="21"/>
              </w:rPr>
              <w:t>地图联动审查。套合分析结果图层的属性和图形联动可视化，支持用户单一或批量操作图斑，修改图斑属性并保存。</w:t>
            </w:r>
          </w:p>
          <w:p>
            <w:pPr>
              <w:pStyle w:val="null3"/>
              <w:ind w:firstLine="400"/>
              <w:jc w:val="left"/>
            </w:pPr>
            <w:r>
              <w:rPr>
                <w:rFonts w:ascii="仿宋_GB2312" w:hAnsi="仿宋_GB2312" w:cs="仿宋_GB2312" w:eastAsia="仿宋_GB2312"/>
                <w:sz w:val="21"/>
              </w:rPr>
              <w:t>⑤</w:t>
            </w:r>
            <w:r>
              <w:rPr>
                <w:rFonts w:ascii="仿宋_GB2312" w:hAnsi="仿宋_GB2312" w:cs="仿宋_GB2312" w:eastAsia="仿宋_GB2312"/>
                <w:sz w:val="21"/>
              </w:rPr>
              <w:t>分析报表输出。按照用户定制化的要求，输出word、excel或者pdf格式分析报表</w:t>
            </w:r>
          </w:p>
          <w:p>
            <w:pPr>
              <w:pStyle w:val="null3"/>
              <w:ind w:firstLine="400"/>
              <w:jc w:val="left"/>
            </w:pPr>
            <w:r>
              <w:rPr>
                <w:rFonts w:ascii="仿宋_GB2312" w:hAnsi="仿宋_GB2312" w:cs="仿宋_GB2312" w:eastAsia="仿宋_GB2312"/>
                <w:sz w:val="21"/>
              </w:rPr>
              <w:t>⑥</w:t>
            </w:r>
            <w:r>
              <w:rPr>
                <w:rFonts w:ascii="仿宋_GB2312" w:hAnsi="仿宋_GB2312" w:cs="仿宋_GB2312" w:eastAsia="仿宋_GB2312"/>
                <w:sz w:val="21"/>
              </w:rPr>
              <w:t>分析成果展示。</w:t>
            </w:r>
            <w:r>
              <w:rPr>
                <w:rFonts w:ascii="仿宋_GB2312" w:hAnsi="仿宋_GB2312" w:cs="仿宋_GB2312" w:eastAsia="仿宋_GB2312"/>
                <w:sz w:val="21"/>
              </w:rPr>
              <w:t>支持各模块分析成果的展示，包括矢量分析成果的叠加展示，统计数值成果的图表展示等。</w:t>
            </w:r>
          </w:p>
          <w:p>
            <w:pPr>
              <w:pStyle w:val="null3"/>
              <w:ind w:firstLine="400"/>
              <w:jc w:val="left"/>
            </w:pPr>
            <w:r>
              <w:rPr>
                <w:rFonts w:ascii="仿宋_GB2312" w:hAnsi="仿宋_GB2312" w:cs="仿宋_GB2312" w:eastAsia="仿宋_GB2312"/>
                <w:sz w:val="21"/>
              </w:rPr>
              <w:t>⑦</w:t>
            </w:r>
            <w:r>
              <w:rPr>
                <w:rFonts w:ascii="仿宋_GB2312" w:hAnsi="仿宋_GB2312" w:cs="仿宋_GB2312" w:eastAsia="仿宋_GB2312"/>
                <w:sz w:val="21"/>
              </w:rPr>
              <w:t>项目流程管理。支撑新建项目、项目材料导入、项目环节流转。</w:t>
            </w:r>
          </w:p>
          <w:p>
            <w:pPr>
              <w:pStyle w:val="null3"/>
              <w:ind w:firstLine="402"/>
              <w:jc w:val="left"/>
            </w:pPr>
            <w:r>
              <w:rPr>
                <w:rFonts w:ascii="仿宋_GB2312" w:hAnsi="仿宋_GB2312" w:cs="仿宋_GB2312" w:eastAsia="仿宋_GB2312"/>
                <w:sz w:val="21"/>
                <w:b/>
              </w:rPr>
              <w:t>4）辅助决策模块</w:t>
            </w:r>
          </w:p>
          <w:p>
            <w:pPr>
              <w:pStyle w:val="null3"/>
              <w:ind w:firstLine="400"/>
              <w:jc w:val="left"/>
            </w:pPr>
            <w:r>
              <w:rPr>
                <w:rFonts w:ascii="仿宋_GB2312" w:hAnsi="仿宋_GB2312" w:cs="仿宋_GB2312" w:eastAsia="仿宋_GB2312"/>
                <w:sz w:val="21"/>
              </w:rPr>
              <w:t>依据专题管理数据、项目分析结果等各类数据，对目标区域的耕地保护情况进行统计、分析，搭建多方案比选场景，辅助掌握耕地保护与利用的空间分布现状与格局、发展趋势等。</w:t>
            </w:r>
          </w:p>
          <w:p>
            <w:pPr>
              <w:pStyle w:val="null3"/>
              <w:ind w:firstLine="400"/>
              <w:jc w:val="left"/>
            </w:pPr>
            <w:r>
              <w:rPr>
                <w:rFonts w:ascii="仿宋_GB2312" w:hAnsi="仿宋_GB2312" w:cs="仿宋_GB2312" w:eastAsia="仿宋_GB2312"/>
                <w:sz w:val="21"/>
              </w:rPr>
              <w:t>主要建设以下业务场景：</w:t>
            </w:r>
          </w:p>
          <w:p>
            <w:pPr>
              <w:pStyle w:val="null3"/>
              <w:ind w:firstLine="400"/>
              <w:jc w:val="left"/>
            </w:pPr>
            <w:r>
              <w:rPr>
                <w:rFonts w:ascii="仿宋_GB2312" w:hAnsi="仿宋_GB2312" w:cs="仿宋_GB2312" w:eastAsia="仿宋_GB2312"/>
                <w:sz w:val="21"/>
              </w:rPr>
              <w:t>①重大建设项目占用永农补划审查。结合项目流程管理、空间套合分析、三维交互审查等核心功能，梳理并构建业务审查规则，对项目的占用永农地块和补划永农地块进行逐地块审查，填写补划地块影像特征是否为耕地、补划地块与永久基本农田是否集中连片等属性信息，并进行项目的合规性套合审查，出具分析报告。</w:t>
            </w:r>
          </w:p>
          <w:p>
            <w:pPr>
              <w:pStyle w:val="null3"/>
              <w:ind w:firstLine="400"/>
              <w:jc w:val="left"/>
            </w:pPr>
            <w:r>
              <w:rPr>
                <w:rFonts w:ascii="仿宋_GB2312" w:hAnsi="仿宋_GB2312" w:cs="仿宋_GB2312" w:eastAsia="仿宋_GB2312"/>
                <w:sz w:val="21"/>
              </w:rPr>
              <w:t>②耕林置换。解析业务管控规则，建立耕林置换规则，支持对指定区域耕林置换的适宜区分析，分析结果矢量均可输出。</w:t>
            </w:r>
          </w:p>
          <w:p>
            <w:pPr>
              <w:pStyle w:val="null3"/>
              <w:ind w:firstLine="400"/>
              <w:jc w:val="left"/>
            </w:pPr>
            <w:r>
              <w:rPr>
                <w:rFonts w:ascii="仿宋_GB2312" w:hAnsi="仿宋_GB2312" w:cs="仿宋_GB2312" w:eastAsia="仿宋_GB2312"/>
                <w:sz w:val="21"/>
              </w:rPr>
              <w:t>③永久基本农田负面清单摸底。梳理永久基本农田数据更新来源，建立永久基本农田负面清单规则。实现数据导入更新、省市县三级负面清单分析生成。</w:t>
            </w:r>
          </w:p>
          <w:p>
            <w:pPr>
              <w:pStyle w:val="null3"/>
              <w:ind w:firstLine="400"/>
              <w:jc w:val="left"/>
            </w:pPr>
            <w:r>
              <w:rPr>
                <w:rFonts w:ascii="仿宋_GB2312" w:hAnsi="仿宋_GB2312" w:cs="仿宋_GB2312" w:eastAsia="仿宋_GB2312"/>
                <w:sz w:val="21"/>
              </w:rPr>
              <w:t>4</w:t>
            </w:r>
            <w:r>
              <w:rPr>
                <w:rFonts w:ascii="仿宋_GB2312" w:hAnsi="仿宋_GB2312" w:cs="仿宋_GB2312" w:eastAsia="仿宋_GB2312"/>
                <w:sz w:val="21"/>
              </w:rPr>
              <w:t>以全域土地综合整治，支持将全域土地综合整治的设计方案及图斑上图，在三维场景下展示整治方案的图斑位置、地形分布及统计数字，搭建多方案比选场景，为“百亩方、千亩方”建设等工作提供辅助决策。</w:t>
            </w:r>
          </w:p>
          <w:p>
            <w:pPr>
              <w:pStyle w:val="null3"/>
              <w:ind w:firstLine="402"/>
              <w:jc w:val="left"/>
            </w:pPr>
            <w:r>
              <w:rPr>
                <w:rFonts w:ascii="仿宋_GB2312" w:hAnsi="仿宋_GB2312" w:cs="仿宋_GB2312" w:eastAsia="仿宋_GB2312"/>
                <w:sz w:val="21"/>
                <w:b/>
              </w:rPr>
              <w:t>（3）</w:t>
            </w:r>
            <w:r>
              <w:rPr>
                <w:rFonts w:ascii="仿宋_GB2312" w:hAnsi="仿宋_GB2312" w:cs="仿宋_GB2312" w:eastAsia="仿宋_GB2312"/>
                <w:sz w:val="21"/>
                <w:b/>
              </w:rPr>
              <w:t>智能监测内容接入</w:t>
            </w:r>
          </w:p>
          <w:p>
            <w:pPr>
              <w:pStyle w:val="null3"/>
              <w:ind w:firstLine="400"/>
              <w:jc w:val="left"/>
            </w:pPr>
            <w:r>
              <w:rPr>
                <w:rFonts w:ascii="仿宋_GB2312" w:hAnsi="仿宋_GB2312" w:cs="仿宋_GB2312" w:eastAsia="仿宋_GB2312"/>
                <w:sz w:val="21"/>
              </w:rPr>
              <w:t>聚焦已建成的部署于互联网环境下的田长制综合巡查监管场景，按照给定的接口规范，对市县自建田长制系统进行接口适配开发，实现基层田长巡查监测内容向省级田长制综合巡查监管系统汇聚。</w:t>
            </w:r>
          </w:p>
          <w:p>
            <w:pPr>
              <w:pStyle w:val="null3"/>
              <w:ind w:firstLine="402"/>
              <w:jc w:val="left"/>
            </w:pPr>
            <w:r>
              <w:rPr>
                <w:rFonts w:ascii="仿宋_GB2312" w:hAnsi="仿宋_GB2312" w:cs="仿宋_GB2312" w:eastAsia="仿宋_GB2312"/>
                <w:sz w:val="21"/>
                <w:b/>
              </w:rPr>
              <w:t>1）网络与协议</w:t>
            </w:r>
          </w:p>
          <w:p>
            <w:pPr>
              <w:pStyle w:val="null3"/>
              <w:ind w:firstLine="400"/>
              <w:jc w:val="left"/>
            </w:pPr>
            <w:r>
              <w:rPr>
                <w:rFonts w:ascii="仿宋_GB2312" w:hAnsi="仿宋_GB2312" w:cs="仿宋_GB2312" w:eastAsia="仿宋_GB2312"/>
                <w:sz w:val="21"/>
              </w:rPr>
              <w:t>系统部署于互联网环境，数据接收采用HTTPS协议，POST请求方式。推送数据时，须以*.zip压缩包形式通过form-data上传，压缩包内数据内容采用JSON格式、UTF-8编码，空间坐标须为CGCS2000坐标系。每次推送须携带我方提供的sourceKey来源唯一标识进行身份认证。</w:t>
            </w:r>
          </w:p>
          <w:p>
            <w:pPr>
              <w:pStyle w:val="null3"/>
              <w:numPr>
                <w:ilvl w:val="0"/>
                <w:numId w:val="1"/>
              </w:numPr>
              <w:jc w:val="left"/>
            </w:pPr>
            <w:r>
              <w:rPr>
                <w:rFonts w:ascii="仿宋_GB2312" w:hAnsi="仿宋_GB2312" w:cs="仿宋_GB2312" w:eastAsia="仿宋_GB2312"/>
                <w:sz w:val="21"/>
                <w:b/>
              </w:rPr>
              <w:t>接口清单</w:t>
            </w:r>
          </w:p>
          <w:tbl>
            <w:tblPr>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120"/>
                    <w:left w:type="dxa" w:w="195"/>
                    <w:bottom w:type="dxa" w:w="120"/>
                    <w:right w:type="dxa" w:w="195"/>
                  </w:tcMar>
                  <w:vAlign w:val="top"/>
                </w:tcPr>
                <w:p>
                  <w:pPr>
                    <w:pStyle w:val="null3"/>
                    <w:jc w:val="left"/>
                  </w:pPr>
                  <w:r>
                    <w:rPr>
                      <w:rFonts w:ascii="仿宋_GB2312" w:hAnsi="仿宋_GB2312" w:cs="仿宋_GB2312" w:eastAsia="仿宋_GB2312"/>
                      <w:sz w:val="21"/>
                      <w:b/>
                    </w:rPr>
                    <w:t>接口名称</w:t>
                  </w:r>
                </w:p>
              </w:tc>
              <w:tc>
                <w:tcPr>
                  <w:tcW w:type="dxa" w:w="851"/>
                  <w:tcBorders>
                    <w:top w:val="single" w:color="000000" w:sz="4"/>
                    <w:left w:val="single" w:color="000000" w:sz="4"/>
                    <w:bottom w:val="single" w:color="000000" w:sz="4"/>
                    <w:right w:val="single" w:color="000000" w:sz="4"/>
                  </w:tcBorders>
                  <w:tcMar>
                    <w:top w:type="dxa" w:w="120"/>
                    <w:left w:type="dxa" w:w="195"/>
                    <w:bottom w:type="dxa" w:w="120"/>
                    <w:right w:type="dxa" w:w="195"/>
                  </w:tcMar>
                  <w:vAlign w:val="top"/>
                </w:tcPr>
                <w:p>
                  <w:pPr>
                    <w:pStyle w:val="null3"/>
                    <w:jc w:val="left"/>
                  </w:pPr>
                  <w:r>
                    <w:rPr>
                      <w:rFonts w:ascii="仿宋_GB2312" w:hAnsi="仿宋_GB2312" w:cs="仿宋_GB2312" w:eastAsia="仿宋_GB2312"/>
                      <w:sz w:val="21"/>
                      <w:b/>
                    </w:rPr>
                    <w:t>请求路径</w:t>
                  </w:r>
                </w:p>
              </w:tc>
              <w:tc>
                <w:tcPr>
                  <w:tcW w:type="dxa" w:w="851"/>
                  <w:tcBorders>
                    <w:top w:val="single" w:color="000000" w:sz="4"/>
                    <w:left w:val="single" w:color="000000" w:sz="4"/>
                    <w:bottom w:val="single" w:color="000000" w:sz="4"/>
                    <w:right w:val="single" w:color="000000" w:sz="4"/>
                  </w:tcBorders>
                  <w:tcMar>
                    <w:top w:type="dxa" w:w="120"/>
                    <w:left w:type="dxa" w:w="195"/>
                    <w:bottom w:type="dxa" w:w="120"/>
                    <w:right w:type="dxa" w:w="195"/>
                  </w:tcMar>
                  <w:vAlign w:val="top"/>
                </w:tcPr>
                <w:p>
                  <w:pPr>
                    <w:pStyle w:val="null3"/>
                    <w:jc w:val="left"/>
                  </w:pPr>
                  <w:r>
                    <w:rPr>
                      <w:rFonts w:ascii="仿宋_GB2312" w:hAnsi="仿宋_GB2312" w:cs="仿宋_GB2312" w:eastAsia="仿宋_GB2312"/>
                      <w:sz w:val="21"/>
                      <w:b/>
                    </w:rPr>
                    <w:t>功能说明</w:t>
                  </w:r>
                </w:p>
              </w:tc>
            </w:tr>
            <w:tr>
              <w:tc>
                <w:tcPr>
                  <w:tcW w:type="dxa" w:w="851"/>
                  <w:tcBorders>
                    <w:top w:val="none" w:color="000000" w:sz="4"/>
                    <w:left w:val="single" w:color="000000" w:sz="4"/>
                    <w:bottom w:val="single" w:color="000000" w:sz="4"/>
                    <w:right w:val="single" w:color="000000" w:sz="4"/>
                  </w:tcBorders>
                  <w:tcMar>
                    <w:top w:type="dxa" w:w="120"/>
                    <w:left w:type="dxa" w:w="195"/>
                    <w:bottom w:type="dxa" w:w="120"/>
                    <w:right w:type="dxa" w:w="195"/>
                  </w:tcMar>
                  <w:vAlign w:val="top"/>
                </w:tcPr>
                <w:p>
                  <w:pPr>
                    <w:pStyle w:val="null3"/>
                    <w:jc w:val="left"/>
                  </w:pPr>
                  <w:r>
                    <w:rPr>
                      <w:rFonts w:ascii="仿宋_GB2312" w:hAnsi="仿宋_GB2312" w:cs="仿宋_GB2312" w:eastAsia="仿宋_GB2312"/>
                      <w:sz w:val="21"/>
                    </w:rPr>
                    <w:t>日常线索推送</w:t>
                  </w:r>
                </w:p>
              </w:tc>
              <w:tc>
                <w:tcPr>
                  <w:tcW w:type="dxa" w:w="851"/>
                  <w:tcBorders>
                    <w:top w:val="none" w:color="000000" w:sz="4"/>
                    <w:left w:val="single" w:color="000000" w:sz="4"/>
                    <w:bottom w:val="single" w:color="000000" w:sz="4"/>
                    <w:right w:val="single" w:color="000000" w:sz="4"/>
                  </w:tcBorders>
                  <w:tcMar>
                    <w:top w:type="dxa" w:w="120"/>
                    <w:left w:type="dxa" w:w="195"/>
                    <w:bottom w:type="dxa" w:w="120"/>
                    <w:right w:type="dxa" w:w="195"/>
                  </w:tcMar>
                  <w:vAlign w:val="top"/>
                </w:tcPr>
                <w:p>
                  <w:pPr>
                    <w:pStyle w:val="null3"/>
                    <w:jc w:val="left"/>
                  </w:pPr>
                  <w:r>
                    <w:rPr>
                      <w:rFonts w:ascii="仿宋_GB2312" w:hAnsi="仿宋_GB2312" w:cs="仿宋_GB2312" w:eastAsia="仿宋_GB2312"/>
                      <w:sz w:val="21"/>
                    </w:rPr>
                    <w:t>POST /qxdj/tzzrc/pushXS</w:t>
                  </w:r>
                </w:p>
              </w:tc>
              <w:tc>
                <w:tcPr>
                  <w:tcW w:type="dxa" w:w="851"/>
                  <w:tcBorders>
                    <w:top w:val="none" w:color="000000" w:sz="4"/>
                    <w:left w:val="single" w:color="000000" w:sz="4"/>
                    <w:bottom w:val="single" w:color="000000" w:sz="4"/>
                    <w:right w:val="single" w:color="000000" w:sz="4"/>
                  </w:tcBorders>
                  <w:tcMar>
                    <w:top w:type="dxa" w:w="120"/>
                    <w:left w:type="dxa" w:w="195"/>
                    <w:bottom w:type="dxa" w:w="120"/>
                    <w:right w:type="dxa" w:w="195"/>
                  </w:tcMar>
                  <w:vAlign w:val="top"/>
                </w:tcPr>
                <w:p>
                  <w:pPr>
                    <w:pStyle w:val="null3"/>
                    <w:jc w:val="left"/>
                  </w:pPr>
                  <w:r>
                    <w:rPr>
                      <w:rFonts w:ascii="仿宋_GB2312" w:hAnsi="仿宋_GB2312" w:cs="仿宋_GB2312" w:eastAsia="仿宋_GB2312"/>
                      <w:sz w:val="21"/>
                    </w:rPr>
                    <w:t>推送基层田长日常巡田发现问题线索</w:t>
                  </w:r>
                </w:p>
              </w:tc>
            </w:tr>
            <w:tr>
              <w:tc>
                <w:tcPr>
                  <w:tcW w:type="dxa" w:w="851"/>
                  <w:tcBorders>
                    <w:top w:val="none" w:color="000000" w:sz="4"/>
                    <w:left w:val="single" w:color="000000" w:sz="4"/>
                    <w:bottom w:val="single" w:color="000000" w:sz="4"/>
                    <w:right w:val="single" w:color="000000" w:sz="4"/>
                  </w:tcBorders>
                  <w:tcMar>
                    <w:top w:type="dxa" w:w="120"/>
                    <w:left w:type="dxa" w:w="195"/>
                    <w:bottom w:type="dxa" w:w="120"/>
                    <w:right w:type="dxa" w:w="195"/>
                  </w:tcMar>
                  <w:vAlign w:val="top"/>
                </w:tcPr>
                <w:p>
                  <w:pPr>
                    <w:pStyle w:val="null3"/>
                    <w:jc w:val="left"/>
                  </w:pPr>
                  <w:r>
                    <w:rPr>
                      <w:rFonts w:ascii="仿宋_GB2312" w:hAnsi="仿宋_GB2312" w:cs="仿宋_GB2312" w:eastAsia="仿宋_GB2312"/>
                      <w:sz w:val="21"/>
                    </w:rPr>
                    <w:t>日常任务推送</w:t>
                  </w:r>
                </w:p>
              </w:tc>
              <w:tc>
                <w:tcPr>
                  <w:tcW w:type="dxa" w:w="851"/>
                  <w:tcBorders>
                    <w:top w:val="none" w:color="000000" w:sz="4"/>
                    <w:left w:val="single" w:color="000000" w:sz="4"/>
                    <w:bottom w:val="single" w:color="000000" w:sz="4"/>
                    <w:right w:val="single" w:color="000000" w:sz="4"/>
                  </w:tcBorders>
                  <w:tcMar>
                    <w:top w:type="dxa" w:w="120"/>
                    <w:left w:type="dxa" w:w="195"/>
                    <w:bottom w:type="dxa" w:w="120"/>
                    <w:right w:type="dxa" w:w="195"/>
                  </w:tcMar>
                  <w:vAlign w:val="top"/>
                </w:tcPr>
                <w:p>
                  <w:pPr>
                    <w:pStyle w:val="null3"/>
                    <w:jc w:val="left"/>
                  </w:pPr>
                  <w:r>
                    <w:rPr>
                      <w:rFonts w:ascii="仿宋_GB2312" w:hAnsi="仿宋_GB2312" w:cs="仿宋_GB2312" w:eastAsia="仿宋_GB2312"/>
                      <w:sz w:val="21"/>
                    </w:rPr>
                    <w:t>POST /qxdj/tzzrc/pushRW</w:t>
                  </w:r>
                </w:p>
              </w:tc>
              <w:tc>
                <w:tcPr>
                  <w:tcW w:type="dxa" w:w="851"/>
                  <w:tcBorders>
                    <w:top w:val="none" w:color="000000" w:sz="4"/>
                    <w:left w:val="single" w:color="000000" w:sz="4"/>
                    <w:bottom w:val="single" w:color="000000" w:sz="4"/>
                    <w:right w:val="single" w:color="000000" w:sz="4"/>
                  </w:tcBorders>
                  <w:tcMar>
                    <w:top w:type="dxa" w:w="120"/>
                    <w:left w:type="dxa" w:w="195"/>
                    <w:bottom w:type="dxa" w:w="120"/>
                    <w:right w:type="dxa" w:w="195"/>
                  </w:tcMar>
                  <w:vAlign w:val="top"/>
                </w:tcPr>
                <w:p>
                  <w:pPr>
                    <w:pStyle w:val="null3"/>
                    <w:jc w:val="left"/>
                  </w:pPr>
                  <w:r>
                    <w:rPr>
                      <w:rFonts w:ascii="仿宋_GB2312" w:hAnsi="仿宋_GB2312" w:cs="仿宋_GB2312" w:eastAsia="仿宋_GB2312"/>
                      <w:sz w:val="21"/>
                    </w:rPr>
                    <w:t>推送基层田长巡田任务执行过程数据</w:t>
                  </w:r>
                </w:p>
              </w:tc>
            </w:tr>
            <w:tr>
              <w:tc>
                <w:tcPr>
                  <w:tcW w:type="dxa" w:w="851"/>
                  <w:tcBorders>
                    <w:top w:val="none" w:color="000000" w:sz="4"/>
                    <w:left w:val="single" w:color="000000" w:sz="4"/>
                    <w:bottom w:val="single" w:color="000000" w:sz="4"/>
                    <w:right w:val="single" w:color="000000" w:sz="4"/>
                  </w:tcBorders>
                  <w:tcMar>
                    <w:top w:type="dxa" w:w="120"/>
                    <w:left w:type="dxa" w:w="195"/>
                    <w:bottom w:type="dxa" w:w="120"/>
                    <w:right w:type="dxa" w:w="195"/>
                  </w:tcMar>
                  <w:vAlign w:val="top"/>
                </w:tcPr>
                <w:p>
                  <w:pPr>
                    <w:pStyle w:val="null3"/>
                    <w:jc w:val="left"/>
                  </w:pPr>
                  <w:r>
                    <w:rPr>
                      <w:rFonts w:ascii="仿宋_GB2312" w:hAnsi="仿宋_GB2312" w:cs="仿宋_GB2312" w:eastAsia="仿宋_GB2312"/>
                      <w:sz w:val="21"/>
                    </w:rPr>
                    <w:t>专项线索推送</w:t>
                  </w:r>
                </w:p>
              </w:tc>
              <w:tc>
                <w:tcPr>
                  <w:tcW w:type="dxa" w:w="851"/>
                  <w:tcBorders>
                    <w:top w:val="none" w:color="000000" w:sz="4"/>
                    <w:left w:val="single" w:color="000000" w:sz="4"/>
                    <w:bottom w:val="single" w:color="000000" w:sz="4"/>
                    <w:right w:val="single" w:color="000000" w:sz="4"/>
                  </w:tcBorders>
                  <w:tcMar>
                    <w:top w:type="dxa" w:w="120"/>
                    <w:left w:type="dxa" w:w="195"/>
                    <w:bottom w:type="dxa" w:w="120"/>
                    <w:right w:type="dxa" w:w="195"/>
                  </w:tcMar>
                  <w:vAlign w:val="top"/>
                </w:tcPr>
                <w:p>
                  <w:pPr>
                    <w:pStyle w:val="null3"/>
                    <w:jc w:val="left"/>
                  </w:pPr>
                  <w:r>
                    <w:rPr>
                      <w:rFonts w:ascii="仿宋_GB2312" w:hAnsi="仿宋_GB2312" w:cs="仿宋_GB2312" w:eastAsia="仿宋_GB2312"/>
                      <w:sz w:val="21"/>
                    </w:rPr>
                    <w:t>POST /qxdj/tzzzx/pushXS</w:t>
                  </w:r>
                </w:p>
              </w:tc>
              <w:tc>
                <w:tcPr>
                  <w:tcW w:type="dxa" w:w="851"/>
                  <w:tcBorders>
                    <w:top w:val="none" w:color="000000" w:sz="4"/>
                    <w:left w:val="single" w:color="000000" w:sz="4"/>
                    <w:bottom w:val="single" w:color="000000" w:sz="4"/>
                    <w:right w:val="single" w:color="000000" w:sz="4"/>
                  </w:tcBorders>
                  <w:tcMar>
                    <w:top w:type="dxa" w:w="120"/>
                    <w:left w:type="dxa" w:w="195"/>
                    <w:bottom w:type="dxa" w:w="120"/>
                    <w:right w:type="dxa" w:w="195"/>
                  </w:tcMar>
                  <w:vAlign w:val="top"/>
                </w:tcPr>
                <w:p>
                  <w:pPr>
                    <w:pStyle w:val="null3"/>
                    <w:jc w:val="left"/>
                  </w:pPr>
                  <w:r>
                    <w:rPr>
                      <w:rFonts w:ascii="仿宋_GB2312" w:hAnsi="仿宋_GB2312" w:cs="仿宋_GB2312" w:eastAsia="仿宋_GB2312"/>
                      <w:sz w:val="21"/>
                    </w:rPr>
                    <w:t>推送专项巡田行动问题线索</w:t>
                  </w:r>
                </w:p>
              </w:tc>
            </w:tr>
            <w:tr>
              <w:tc>
                <w:tcPr>
                  <w:tcW w:type="dxa" w:w="851"/>
                  <w:tcBorders>
                    <w:top w:val="none" w:color="000000" w:sz="4"/>
                    <w:left w:val="single" w:color="000000" w:sz="4"/>
                    <w:bottom w:val="single" w:color="000000" w:sz="4"/>
                    <w:right w:val="single" w:color="000000" w:sz="4"/>
                  </w:tcBorders>
                  <w:tcMar>
                    <w:top w:type="dxa" w:w="120"/>
                    <w:left w:type="dxa" w:w="195"/>
                    <w:bottom w:type="dxa" w:w="120"/>
                    <w:right w:type="dxa" w:w="195"/>
                  </w:tcMar>
                  <w:vAlign w:val="top"/>
                </w:tcPr>
                <w:p>
                  <w:pPr>
                    <w:pStyle w:val="null3"/>
                    <w:jc w:val="left"/>
                  </w:pPr>
                  <w:r>
                    <w:rPr>
                      <w:rFonts w:ascii="仿宋_GB2312" w:hAnsi="仿宋_GB2312" w:cs="仿宋_GB2312" w:eastAsia="仿宋_GB2312"/>
                      <w:sz w:val="21"/>
                    </w:rPr>
                    <w:t>推送状态查询</w:t>
                  </w:r>
                </w:p>
              </w:tc>
              <w:tc>
                <w:tcPr>
                  <w:tcW w:type="dxa" w:w="851"/>
                  <w:tcBorders>
                    <w:top w:val="none" w:color="000000" w:sz="4"/>
                    <w:left w:val="single" w:color="000000" w:sz="4"/>
                    <w:bottom w:val="single" w:color="000000" w:sz="4"/>
                    <w:right w:val="single" w:color="000000" w:sz="4"/>
                  </w:tcBorders>
                  <w:tcMar>
                    <w:top w:type="dxa" w:w="120"/>
                    <w:left w:type="dxa" w:w="195"/>
                    <w:bottom w:type="dxa" w:w="120"/>
                    <w:right w:type="dxa" w:w="195"/>
                  </w:tcMar>
                  <w:vAlign w:val="top"/>
                </w:tcPr>
                <w:p>
                  <w:pPr>
                    <w:pStyle w:val="null3"/>
                    <w:jc w:val="left"/>
                  </w:pPr>
                  <w:r>
                    <w:rPr>
                      <w:rFonts w:ascii="仿宋_GB2312" w:hAnsi="仿宋_GB2312" w:cs="仿宋_GB2312" w:eastAsia="仿宋_GB2312"/>
                      <w:sz w:val="21"/>
                    </w:rPr>
                    <w:t>POST /qxdj/queryStage</w:t>
                  </w:r>
                </w:p>
              </w:tc>
              <w:tc>
                <w:tcPr>
                  <w:tcW w:type="dxa" w:w="851"/>
                  <w:tcBorders>
                    <w:top w:val="none" w:color="000000" w:sz="4"/>
                    <w:left w:val="single" w:color="000000" w:sz="4"/>
                    <w:bottom w:val="single" w:color="000000" w:sz="4"/>
                    <w:right w:val="single" w:color="000000" w:sz="4"/>
                  </w:tcBorders>
                  <w:tcMar>
                    <w:top w:type="dxa" w:w="120"/>
                    <w:left w:type="dxa" w:w="195"/>
                    <w:bottom w:type="dxa" w:w="120"/>
                    <w:right w:type="dxa" w:w="195"/>
                  </w:tcMar>
                  <w:vAlign w:val="top"/>
                </w:tcPr>
                <w:p>
                  <w:pPr>
                    <w:pStyle w:val="null3"/>
                    <w:jc w:val="left"/>
                  </w:pPr>
                  <w:r>
                    <w:rPr>
                      <w:rFonts w:ascii="仿宋_GB2312" w:hAnsi="仿宋_GB2312" w:cs="仿宋_GB2312" w:eastAsia="仿宋_GB2312"/>
                      <w:sz w:val="21"/>
                    </w:rPr>
                    <w:t>查询已推送数据的处理状态</w:t>
                  </w:r>
                </w:p>
              </w:tc>
            </w:tr>
          </w:tbl>
          <w:p>
            <w:pPr>
              <w:pStyle w:val="null3"/>
              <w:ind w:firstLine="402"/>
              <w:jc w:val="left"/>
            </w:pPr>
            <w:r>
              <w:rPr>
                <w:rFonts w:ascii="仿宋_GB2312" w:hAnsi="仿宋_GB2312" w:cs="仿宋_GB2312" w:eastAsia="仿宋_GB2312"/>
                <w:sz w:val="21"/>
                <w:b/>
              </w:rPr>
              <w:t>3）数据推送格式</w:t>
            </w:r>
          </w:p>
          <w:p>
            <w:pPr>
              <w:pStyle w:val="null3"/>
              <w:ind w:firstLine="400"/>
              <w:jc w:val="left"/>
            </w:pPr>
            <w:r>
              <w:rPr>
                <w:rFonts w:ascii="仿宋_GB2312" w:hAnsi="仿宋_GB2312" w:cs="仿宋_GB2312" w:eastAsia="仿宋_GB2312"/>
                <w:sz w:val="21"/>
              </w:rPr>
              <w:t>日常线索与专项线索：每条线索为一个文件夹（以线索ID命名），内含info.json及附件。info.json须包含来源信息（source.key、source.name）、线索属性（id、问题编码、问题类型、问题描述、耕地图斑id、线索处置状态、五级行政区代码及名称、创建人及时间、领取人、外业填报人、巡查距离等）、空间几何（Polygon，CGCS2000坐标）及附件信息（文件名、类型、拍摄位置、方位角、照片类型、采集时间）。</w:t>
            </w:r>
          </w:p>
          <w:p>
            <w:pPr>
              <w:pStyle w:val="null3"/>
              <w:ind w:firstLine="400"/>
              <w:jc w:val="left"/>
            </w:pPr>
            <w:r>
              <w:rPr>
                <w:rFonts w:ascii="仿宋_GB2312" w:hAnsi="仿宋_GB2312" w:cs="仿宋_GB2312" w:eastAsia="仿宋_GB2312"/>
                <w:sz w:val="21"/>
              </w:rPr>
              <w:t>日常任务：每条任务为一个文件夹（以任务ID命名），内含info.json。须包含任务信息（id、状态、五级行政区、领取人、外业填报人、巡查时间、巡查距离）及轨迹点（经纬度、记录时间）。</w:t>
            </w:r>
          </w:p>
          <w:p>
            <w:pPr>
              <w:pStyle w:val="null3"/>
              <w:ind w:firstLine="402"/>
              <w:jc w:val="left"/>
            </w:pPr>
            <w:r>
              <w:rPr>
                <w:rFonts w:ascii="仿宋_GB2312" w:hAnsi="仿宋_GB2312" w:cs="仿宋_GB2312" w:eastAsia="仿宋_GB2312"/>
                <w:sz w:val="21"/>
                <w:b/>
              </w:rPr>
              <w:t>（4）</w:t>
            </w:r>
            <w:r>
              <w:rPr>
                <w:rFonts w:ascii="仿宋_GB2312" w:hAnsi="仿宋_GB2312" w:cs="仿宋_GB2312" w:eastAsia="仿宋_GB2312"/>
                <w:sz w:val="21"/>
                <w:b/>
              </w:rPr>
              <w:t>三维化适配</w:t>
            </w:r>
          </w:p>
          <w:p>
            <w:pPr>
              <w:pStyle w:val="null3"/>
              <w:ind w:firstLine="400"/>
              <w:jc w:val="left"/>
            </w:pPr>
            <w:r>
              <w:rPr>
                <w:rFonts w:ascii="仿宋_GB2312" w:hAnsi="仿宋_GB2312" w:cs="仿宋_GB2312" w:eastAsia="仿宋_GB2312"/>
                <w:sz w:val="21"/>
              </w:rPr>
              <w:t>在三维环境下，新增三维场景下的基础通用工具，包括坡度量测、地块坡度查询、贴地面积量算、集中连片度分析、开挖模拟分析、典型场景快速定位、历史影像追溯、图层条件查询渲染、坐标拐点批量落图等。其中，1）坡度查询功能支持地块点击检索，按照地块内面积占比最优原则返回1—5级坡度分级结果；2）集中连片度分析采用“图斑面积与最近邻距离平方之比”方法计算单图斑连片指标，连片度的阈值需支持自行设定，低于该值判定为不连片；3）图层条件查询渲染可依据目标图层自定义字段筛选条件，支持结果图斑列表查看、汇总统计、动态渲染等；4）坐标拐点落图功能兼容shp、txt、kml等多格式数据源，可实现点、线、面要素在一张图中叠加落图可视化。</w:t>
            </w:r>
          </w:p>
          <w:p>
            <w:pPr>
              <w:pStyle w:val="null3"/>
              <w:ind w:firstLine="400"/>
              <w:jc w:val="left"/>
            </w:pPr>
            <w:r>
              <w:rPr>
                <w:rFonts w:ascii="仿宋_GB2312" w:hAnsi="仿宋_GB2312" w:cs="仿宋_GB2312" w:eastAsia="仿宋_GB2312"/>
                <w:sz w:val="21"/>
              </w:rPr>
              <w:t>集成以上基础算子，结合“项目建设共管”“辅助决策”模块需要，完成业务场景的三维化适配改造，提升业务应用的准确性与直观性。</w:t>
            </w:r>
          </w:p>
          <w:p>
            <w:pPr>
              <w:pStyle w:val="null3"/>
              <w:ind w:firstLine="402"/>
              <w:jc w:val="both"/>
            </w:pPr>
            <w:r>
              <w:rPr>
                <w:rFonts w:ascii="仿宋_GB2312" w:hAnsi="仿宋_GB2312" w:cs="仿宋_GB2312" w:eastAsia="仿宋_GB2312"/>
                <w:sz w:val="21"/>
                <w:b/>
              </w:rPr>
              <w:t>3.田长制日常支撑</w:t>
            </w:r>
          </w:p>
          <w:p>
            <w:pPr>
              <w:pStyle w:val="null3"/>
              <w:ind w:firstLine="400"/>
              <w:jc w:val="both"/>
            </w:pPr>
            <w:r>
              <w:rPr>
                <w:rFonts w:ascii="仿宋_GB2312" w:hAnsi="仿宋_GB2312" w:cs="仿宋_GB2312" w:eastAsia="仿宋_GB2312"/>
                <w:sz w:val="21"/>
              </w:rPr>
              <w:t>根据省田长制办公室、省自然资源厅耕地保护监督处工作需要，完成季度督帮调研支撑、田长制管理工作支撑、相关文表编制，以及相关临时交办事宜。</w:t>
            </w:r>
          </w:p>
          <w:p>
            <w:pPr>
              <w:pStyle w:val="null3"/>
              <w:ind w:firstLine="402"/>
              <w:jc w:val="both"/>
            </w:pPr>
            <w:r>
              <w:rPr>
                <w:rFonts w:ascii="仿宋_GB2312" w:hAnsi="仿宋_GB2312" w:cs="仿宋_GB2312" w:eastAsia="仿宋_GB2312"/>
                <w:sz w:val="21"/>
                <w:b/>
              </w:rPr>
              <w:t>三、指标要求</w:t>
            </w:r>
          </w:p>
          <w:p>
            <w:pPr>
              <w:pStyle w:val="null3"/>
              <w:ind w:firstLine="402"/>
              <w:jc w:val="left"/>
            </w:pPr>
            <w:r>
              <w:rPr>
                <w:rFonts w:ascii="仿宋_GB2312" w:hAnsi="仿宋_GB2312" w:cs="仿宋_GB2312" w:eastAsia="仿宋_GB2312"/>
                <w:sz w:val="21"/>
                <w:b/>
              </w:rPr>
              <w:t>1.卫星遥感正射影像</w:t>
            </w:r>
          </w:p>
          <w:p>
            <w:pPr>
              <w:pStyle w:val="null3"/>
              <w:ind w:firstLine="402"/>
              <w:jc w:val="left"/>
            </w:pPr>
            <w:r>
              <w:rPr>
                <w:rFonts w:ascii="仿宋_GB2312" w:hAnsi="仿宋_GB2312" w:cs="仿宋_GB2312" w:eastAsia="仿宋_GB2312"/>
                <w:sz w:val="21"/>
                <w:b/>
              </w:rPr>
              <w:t>（1）数学基础</w:t>
            </w:r>
          </w:p>
          <w:p>
            <w:pPr>
              <w:pStyle w:val="null3"/>
              <w:ind w:firstLine="400"/>
              <w:jc w:val="left"/>
            </w:pPr>
            <w:r>
              <w:rPr>
                <w:rFonts w:ascii="仿宋_GB2312" w:hAnsi="仿宋_GB2312" w:cs="仿宋_GB2312" w:eastAsia="仿宋_GB2312"/>
                <w:sz w:val="21"/>
              </w:rPr>
              <w:t>平面基准：采用2000国家大地坐标系，平面坐标单位为“米”。</w:t>
            </w:r>
          </w:p>
          <w:p>
            <w:pPr>
              <w:pStyle w:val="null3"/>
              <w:ind w:firstLine="400"/>
              <w:jc w:val="left"/>
            </w:pPr>
            <w:r>
              <w:rPr>
                <w:rFonts w:ascii="仿宋_GB2312" w:hAnsi="仿宋_GB2312" w:cs="仿宋_GB2312" w:eastAsia="仿宋_GB2312"/>
                <w:sz w:val="21"/>
              </w:rPr>
              <w:t>高程基准：采用1985国家高程基准，高程系统为正常高，高程值单位为“米”。</w:t>
            </w:r>
          </w:p>
          <w:p>
            <w:pPr>
              <w:pStyle w:val="null3"/>
              <w:ind w:firstLine="400"/>
              <w:jc w:val="left"/>
            </w:pPr>
            <w:r>
              <w:rPr>
                <w:rFonts w:ascii="仿宋_GB2312" w:hAnsi="仿宋_GB2312" w:cs="仿宋_GB2312" w:eastAsia="仿宋_GB2312"/>
                <w:sz w:val="21"/>
              </w:rPr>
              <w:t>投影与分带方式：采用高斯-克吕格投影，按3°分带投影，成果数据不加带号。</w:t>
            </w:r>
          </w:p>
          <w:p>
            <w:pPr>
              <w:pStyle w:val="null3"/>
              <w:ind w:firstLine="402"/>
              <w:jc w:val="left"/>
            </w:pPr>
            <w:r>
              <w:rPr>
                <w:rFonts w:ascii="仿宋_GB2312" w:hAnsi="仿宋_GB2312" w:cs="仿宋_GB2312" w:eastAsia="仿宋_GB2312"/>
                <w:sz w:val="21"/>
                <w:b/>
              </w:rPr>
              <w:t>（2）精度要求</w:t>
            </w:r>
          </w:p>
          <w:p>
            <w:pPr>
              <w:pStyle w:val="null3"/>
              <w:ind w:firstLine="400"/>
              <w:jc w:val="left"/>
            </w:pPr>
            <w:r>
              <w:rPr>
                <w:rFonts w:ascii="仿宋_GB2312" w:hAnsi="仿宋_GB2312" w:cs="仿宋_GB2312" w:eastAsia="仿宋_GB2312"/>
                <w:sz w:val="21"/>
              </w:rPr>
              <w:t>卫星遥感正射影像地物点相对于陕西省三调正射影像数据上同名点的中误差不大于表3-1中的指标。限差为中误差的2倍。不同景重叠区域误差不大于中误差。整景正射影像成果平面精度要求如下表3-1所示：</w:t>
            </w:r>
          </w:p>
          <w:p>
            <w:pPr>
              <w:pStyle w:val="null3"/>
              <w:jc w:val="center"/>
            </w:pPr>
            <w:r>
              <w:rPr>
                <w:rFonts w:ascii="仿宋_GB2312" w:hAnsi="仿宋_GB2312" w:cs="仿宋_GB2312" w:eastAsia="仿宋_GB2312"/>
                <w:sz w:val="21"/>
              </w:rPr>
              <w:t>表3-1 卫星遥感正射影像成果平面精度要求</w:t>
            </w:r>
          </w:p>
          <w:tbl>
            <w:tblPr>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地形类别</w:t>
                  </w:r>
                </w:p>
                <w:p>
                  <w:pPr>
                    <w:pStyle w:val="null3"/>
                    <w:jc w:val="left"/>
                  </w:pPr>
                  <w:r>
                    <w:rPr>
                      <w:rFonts w:ascii="仿宋_GB2312" w:hAnsi="仿宋_GB2312" w:cs="仿宋_GB2312" w:eastAsia="仿宋_GB2312"/>
                      <w:sz w:val="21"/>
                    </w:rPr>
                    <w:t>采样间隔</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平地、丘陵地</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山地、高山地</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1米级（包括1米、0.7米、0.8米、0.5米等）</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2米</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3米</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2米级（包括2米、2.1米、2.5米等）</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5米</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8米</w:t>
                  </w:r>
                </w:p>
              </w:tc>
            </w:tr>
          </w:tbl>
          <w:p>
            <w:pPr>
              <w:pStyle w:val="null3"/>
              <w:ind w:firstLine="402"/>
              <w:jc w:val="left"/>
            </w:pPr>
            <w:r>
              <w:rPr>
                <w:rFonts w:ascii="仿宋_GB2312" w:hAnsi="仿宋_GB2312" w:cs="仿宋_GB2312" w:eastAsia="仿宋_GB2312"/>
                <w:sz w:val="21"/>
                <w:b/>
              </w:rPr>
              <w:t>2.遥感监测图斑</w:t>
            </w:r>
          </w:p>
          <w:p>
            <w:pPr>
              <w:pStyle w:val="null3"/>
              <w:ind w:firstLine="402"/>
              <w:jc w:val="left"/>
            </w:pPr>
            <w:r>
              <w:rPr>
                <w:rFonts w:ascii="仿宋_GB2312" w:hAnsi="仿宋_GB2312" w:cs="仿宋_GB2312" w:eastAsia="仿宋_GB2312"/>
                <w:sz w:val="21"/>
                <w:b/>
              </w:rPr>
              <w:t>（1）数学基础</w:t>
            </w:r>
          </w:p>
          <w:p>
            <w:pPr>
              <w:pStyle w:val="null3"/>
              <w:ind w:firstLine="400"/>
              <w:jc w:val="left"/>
            </w:pPr>
            <w:r>
              <w:rPr>
                <w:rFonts w:ascii="仿宋_GB2312" w:hAnsi="仿宋_GB2312" w:cs="仿宋_GB2312" w:eastAsia="仿宋_GB2312"/>
                <w:sz w:val="21"/>
              </w:rPr>
              <w:t>采用2000国家大地坐标系，坐标单位为“度”。</w:t>
            </w:r>
          </w:p>
          <w:p>
            <w:pPr>
              <w:pStyle w:val="null3"/>
              <w:ind w:firstLine="402"/>
              <w:jc w:val="left"/>
            </w:pPr>
            <w:r>
              <w:rPr>
                <w:rFonts w:ascii="仿宋_GB2312" w:hAnsi="仿宋_GB2312" w:cs="仿宋_GB2312" w:eastAsia="仿宋_GB2312"/>
                <w:sz w:val="21"/>
                <w:b/>
              </w:rPr>
              <w:t>（2）精度要求</w:t>
            </w:r>
          </w:p>
          <w:p>
            <w:pPr>
              <w:pStyle w:val="null3"/>
              <w:ind w:firstLine="400"/>
              <w:jc w:val="left"/>
            </w:pPr>
            <w:r>
              <w:rPr>
                <w:rFonts w:ascii="仿宋_GB2312" w:hAnsi="仿宋_GB2312" w:cs="仿宋_GB2312" w:eastAsia="仿宋_GB2312"/>
                <w:sz w:val="21"/>
              </w:rPr>
              <w:t>遥感监测图斑边界相对于遥感影像上明显同名地物位移不得大于2个像素；特殊情况下，如薄云薄雪覆盖、高层建筑物或树木遮挡、阴影区等，位移不得大于4个像素。</w:t>
            </w:r>
          </w:p>
          <w:p>
            <w:pPr>
              <w:pStyle w:val="null3"/>
              <w:ind w:firstLine="402"/>
              <w:jc w:val="left"/>
            </w:pPr>
            <w:r>
              <w:rPr>
                <w:rFonts w:ascii="仿宋_GB2312" w:hAnsi="仿宋_GB2312" w:cs="仿宋_GB2312" w:eastAsia="仿宋_GB2312"/>
                <w:sz w:val="21"/>
                <w:b/>
              </w:rPr>
              <w:t>（3）采集指标</w:t>
            </w:r>
          </w:p>
          <w:p>
            <w:pPr>
              <w:pStyle w:val="null3"/>
              <w:ind w:firstLine="400"/>
              <w:jc w:val="left"/>
            </w:pPr>
            <w:r>
              <w:rPr>
                <w:rFonts w:ascii="仿宋_GB2312" w:hAnsi="仿宋_GB2312" w:cs="仿宋_GB2312" w:eastAsia="仿宋_GB2312"/>
                <w:sz w:val="21"/>
              </w:rPr>
              <w:t>变化特征为建设用地或设施农用地的图斑采集面积指标为200㎡（0.3亩），变化特征为非耕农用地（不含设施农用地）或耕地的图斑采集面积指标为400㎡（0.6亩），变化特征为未利用地的图斑采集面积指标为600㎡（0.9亩）。</w:t>
            </w:r>
          </w:p>
          <w:p>
            <w:pPr>
              <w:pStyle w:val="null3"/>
              <w:ind w:firstLine="402"/>
              <w:jc w:val="left"/>
            </w:pPr>
            <w:r>
              <w:rPr>
                <w:rFonts w:ascii="仿宋_GB2312" w:hAnsi="仿宋_GB2312" w:cs="仿宋_GB2312" w:eastAsia="仿宋_GB2312"/>
                <w:sz w:val="21"/>
                <w:b/>
              </w:rPr>
              <w:t>3.一体化管理场景</w:t>
            </w:r>
          </w:p>
          <w:p>
            <w:pPr>
              <w:pStyle w:val="null3"/>
              <w:ind w:firstLine="402"/>
              <w:jc w:val="left"/>
            </w:pPr>
            <w:r>
              <w:rPr>
                <w:rFonts w:ascii="仿宋_GB2312" w:hAnsi="仿宋_GB2312" w:cs="仿宋_GB2312" w:eastAsia="仿宋_GB2312"/>
                <w:sz w:val="21"/>
                <w:b/>
              </w:rPr>
              <w:t>（1）数学基础</w:t>
            </w:r>
          </w:p>
          <w:p>
            <w:pPr>
              <w:pStyle w:val="null3"/>
              <w:ind w:firstLine="400"/>
              <w:jc w:val="left"/>
            </w:pPr>
            <w:r>
              <w:rPr>
                <w:rFonts w:ascii="仿宋_GB2312" w:hAnsi="仿宋_GB2312" w:cs="仿宋_GB2312" w:eastAsia="仿宋_GB2312"/>
                <w:sz w:val="21"/>
              </w:rPr>
              <w:t>信息化场景接入数据统一采用国家标准2000国家大地坐标系（CGCS2000），高程基准采用1985国家高程基准。</w:t>
            </w:r>
          </w:p>
          <w:p>
            <w:pPr>
              <w:pStyle w:val="null3"/>
              <w:ind w:firstLine="402"/>
              <w:jc w:val="left"/>
            </w:pPr>
            <w:r>
              <w:rPr>
                <w:rFonts w:ascii="仿宋_GB2312" w:hAnsi="仿宋_GB2312" w:cs="仿宋_GB2312" w:eastAsia="仿宋_GB2312"/>
                <w:sz w:val="21"/>
                <w:b/>
              </w:rPr>
              <w:t>（2）功能模块技术指标</w:t>
            </w:r>
          </w:p>
          <w:p>
            <w:pPr>
              <w:pStyle w:val="null3"/>
              <w:ind w:firstLine="400"/>
              <w:jc w:val="left"/>
            </w:pPr>
            <w:r>
              <w:rPr>
                <w:rFonts w:ascii="仿宋_GB2312" w:hAnsi="仿宋_GB2312" w:cs="仿宋_GB2312" w:eastAsia="仿宋_GB2312"/>
                <w:sz w:val="21"/>
              </w:rPr>
              <w:t>1）网络稳定的情况下，常规操作和典型业务场景下的关键页面加载时间应小于3秒，用户操作指令响应时间应小于5秒，计算量较小的功能运行时间应小于10秒，计算量较大的功能运行时间应小于1分钟，计算量特别大的功能运行时间不应超过10分钟。</w:t>
            </w:r>
          </w:p>
          <w:p>
            <w:pPr>
              <w:pStyle w:val="null3"/>
              <w:ind w:firstLine="400"/>
              <w:jc w:val="left"/>
            </w:pPr>
            <w:r>
              <w:rPr>
                <w:rFonts w:ascii="仿宋_GB2312" w:hAnsi="仿宋_GB2312" w:cs="仿宋_GB2312" w:eastAsia="仿宋_GB2312"/>
                <w:sz w:val="21"/>
              </w:rPr>
              <w:t>2）坡度分析支持以度为单位输出地块坡度级别(1/2/3/4/5)结果，分析格网尺寸需至少支持2m×2m，适用于地形级和城市级实景三维数据。</w:t>
            </w:r>
          </w:p>
          <w:p>
            <w:pPr>
              <w:pStyle w:val="null3"/>
              <w:ind w:firstLine="400"/>
              <w:jc w:val="left"/>
            </w:pPr>
            <w:r>
              <w:rPr>
                <w:rFonts w:ascii="仿宋_GB2312" w:hAnsi="仿宋_GB2312" w:cs="仿宋_GB2312" w:eastAsia="仿宋_GB2312"/>
                <w:sz w:val="21"/>
              </w:rPr>
              <w:t>3）贴地面积量算支持沿地表起伏进行面积量测，量算结果与理论参考值之间的相对误差不超过5%，支持平方米和亩两种单位输出，单次量算响应时间不超过3秒。</w:t>
            </w:r>
          </w:p>
          <w:p>
            <w:pPr>
              <w:pStyle w:val="null3"/>
              <w:ind w:firstLine="400"/>
              <w:jc w:val="left"/>
            </w:pPr>
            <w:r>
              <w:rPr>
                <w:rFonts w:ascii="仿宋_GB2312" w:hAnsi="仿宋_GB2312" w:cs="仿宋_GB2312" w:eastAsia="仿宋_GB2312"/>
                <w:sz w:val="21"/>
              </w:rPr>
              <w:t>4）开挖模拟分析支持自定义开挖范围、开挖深度（精度为±0.3m）和堆载区域，模拟结果以三维剖切视图和土方量估算报告（含填挖方体积，体积计算精度不低于93%）两种形式输出，单次模拟计算响应时间不超过10秒。</w:t>
            </w:r>
          </w:p>
          <w:p>
            <w:pPr>
              <w:pStyle w:val="null3"/>
              <w:ind w:firstLine="402"/>
              <w:jc w:val="left"/>
            </w:pPr>
            <w:r>
              <w:rPr>
                <w:rFonts w:ascii="仿宋_GB2312" w:hAnsi="仿宋_GB2312" w:cs="仿宋_GB2312" w:eastAsia="仿宋_GB2312"/>
                <w:sz w:val="21"/>
                <w:b/>
              </w:rPr>
              <w:t>（3）三维数据服务技术指标</w:t>
            </w:r>
          </w:p>
          <w:p>
            <w:pPr>
              <w:pStyle w:val="null3"/>
              <w:ind w:firstLine="400"/>
              <w:jc w:val="left"/>
            </w:pPr>
            <w:r>
              <w:rPr>
                <w:rFonts w:ascii="仿宋_GB2312" w:hAnsi="仿宋_GB2312" w:cs="仿宋_GB2312" w:eastAsia="仿宋_GB2312"/>
                <w:sz w:val="21"/>
              </w:rPr>
              <w:t>三维数据服务发布满足以下性能指标：服务瓦片并发访问加载时间不超过3秒，服务接口响应时间不超过2秒，数据存储容量支持PB级扩展。影像数据格式兼容GeoTIFF、IMG等常用格式，矢量数据格式兼容Shapefile、GeoJSON、txt等。</w:t>
            </w:r>
          </w:p>
          <w:p>
            <w:pPr>
              <w:pStyle w:val="null3"/>
              <w:ind w:firstLine="402"/>
              <w:jc w:val="left"/>
            </w:pPr>
            <w:r>
              <w:rPr>
                <w:rFonts w:ascii="仿宋_GB2312" w:hAnsi="仿宋_GB2312" w:cs="仿宋_GB2312" w:eastAsia="仿宋_GB2312"/>
                <w:sz w:val="21"/>
                <w:b/>
              </w:rPr>
              <w:t>四、项目执行依据</w:t>
            </w:r>
          </w:p>
          <w:p>
            <w:pPr>
              <w:pStyle w:val="null3"/>
              <w:ind w:firstLine="400"/>
              <w:jc w:val="left"/>
            </w:pPr>
            <w:r>
              <w:rPr>
                <w:rFonts w:ascii="仿宋_GB2312" w:hAnsi="仿宋_GB2312" w:cs="仿宋_GB2312" w:eastAsia="仿宋_GB2312"/>
                <w:sz w:val="21"/>
              </w:rPr>
              <w:t>1.《中华人民共和国土地管理法》（2019年第三次修正 2020年1月1日起施行）；</w:t>
            </w:r>
          </w:p>
          <w:p>
            <w:pPr>
              <w:pStyle w:val="null3"/>
              <w:ind w:firstLine="400"/>
              <w:jc w:val="left"/>
            </w:pPr>
            <w:r>
              <w:rPr>
                <w:rFonts w:ascii="仿宋_GB2312" w:hAnsi="仿宋_GB2312" w:cs="仿宋_GB2312" w:eastAsia="仿宋_GB2312"/>
                <w:sz w:val="21"/>
              </w:rPr>
              <w:t>2.《中华人民共和国土地管理法实施条例》（2021年9月1日起施行）；</w:t>
            </w:r>
          </w:p>
          <w:p>
            <w:pPr>
              <w:pStyle w:val="null3"/>
              <w:ind w:firstLine="400"/>
              <w:jc w:val="left"/>
            </w:pPr>
            <w:r>
              <w:rPr>
                <w:rFonts w:ascii="仿宋_GB2312" w:hAnsi="仿宋_GB2312" w:cs="仿宋_GB2312" w:eastAsia="仿宋_GB2312"/>
                <w:sz w:val="21"/>
              </w:rPr>
              <w:t>3.《永久基本农田保护红线管理办法》（中华人民共和国自然资源部 中华人民共和国农业农村部 令 第17号）；</w:t>
            </w:r>
          </w:p>
          <w:p>
            <w:pPr>
              <w:pStyle w:val="null3"/>
              <w:ind w:firstLine="400"/>
              <w:jc w:val="left"/>
            </w:pPr>
            <w:r>
              <w:rPr>
                <w:rFonts w:ascii="仿宋_GB2312" w:hAnsi="仿宋_GB2312" w:cs="仿宋_GB2312" w:eastAsia="仿宋_GB2312"/>
                <w:sz w:val="21"/>
              </w:rPr>
              <w:t>4.《陕西省自然资源厅办公室关于印发〈发挥“四早”内部联动机制作用推动日常耕地保护工作措施〉的通知》（陕自然资办发〔2025〕150号）；</w:t>
            </w:r>
          </w:p>
          <w:p>
            <w:pPr>
              <w:pStyle w:val="null3"/>
              <w:ind w:firstLine="400"/>
              <w:jc w:val="left"/>
            </w:pPr>
            <w:r>
              <w:rPr>
                <w:rFonts w:ascii="仿宋_GB2312" w:hAnsi="仿宋_GB2312" w:cs="仿宋_GB2312" w:eastAsia="仿宋_GB2312"/>
                <w:sz w:val="21"/>
              </w:rPr>
              <w:t>5.《中共陕西省委办公厅 陕西省人民政府办公厅印发（陕西省关于全面建立耕地保护田长制的实施方案）的通知》（陕办发〔2022〕10号）；</w:t>
            </w:r>
          </w:p>
          <w:p>
            <w:pPr>
              <w:pStyle w:val="null3"/>
              <w:ind w:firstLine="400"/>
              <w:jc w:val="left"/>
            </w:pPr>
            <w:r>
              <w:rPr>
                <w:rFonts w:ascii="仿宋_GB2312" w:hAnsi="仿宋_GB2312" w:cs="仿宋_GB2312" w:eastAsia="仿宋_GB2312"/>
                <w:sz w:val="21"/>
              </w:rPr>
              <w:t>6.《陕西省自然资源厅 陕西省农业农村厅 陕西省林业局关于严格耕地用途管制的实施意见》（陕自然资发〔2022〕52号）；</w:t>
            </w:r>
          </w:p>
          <w:p>
            <w:pPr>
              <w:pStyle w:val="null3"/>
              <w:ind w:firstLine="400"/>
              <w:jc w:val="left"/>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《陕西省自然资源厅 陕西省农业农村厅关于印发&lt;陕西省耕地、永久基本农田和高标准农田一体化管理规则&gt;的通知》（陕自然资规〔2025〕1760号）；</w:t>
            </w:r>
          </w:p>
          <w:p>
            <w:pPr>
              <w:pStyle w:val="null3"/>
              <w:ind w:firstLine="400"/>
              <w:jc w:val="left"/>
            </w:pPr>
            <w:r>
              <w:rPr>
                <w:rFonts w:ascii="仿宋_GB2312" w:hAnsi="仿宋_GB2312" w:cs="仿宋_GB2312" w:eastAsia="仿宋_GB2312"/>
                <w:sz w:val="21"/>
              </w:rPr>
              <w:t>8</w:t>
            </w:r>
            <w:r>
              <w:rPr>
                <w:rFonts w:ascii="仿宋_GB2312" w:hAnsi="仿宋_GB2312" w:cs="仿宋_GB2312" w:eastAsia="仿宋_GB2312"/>
                <w:sz w:val="21"/>
              </w:rPr>
              <w:t>.GB/T 2260-2007《中华人民共和国行政区划代码》；</w:t>
            </w:r>
          </w:p>
          <w:p>
            <w:pPr>
              <w:pStyle w:val="null3"/>
              <w:ind w:firstLine="400"/>
              <w:jc w:val="left"/>
            </w:pPr>
            <w:r>
              <w:rPr>
                <w:rFonts w:ascii="仿宋_GB2312" w:hAnsi="仿宋_GB2312" w:cs="仿宋_GB2312" w:eastAsia="仿宋_GB2312"/>
                <w:sz w:val="21"/>
              </w:rPr>
              <w:t>9</w:t>
            </w:r>
            <w:r>
              <w:rPr>
                <w:rFonts w:ascii="仿宋_GB2312" w:hAnsi="仿宋_GB2312" w:cs="仿宋_GB2312" w:eastAsia="仿宋_GB2312"/>
                <w:sz w:val="21"/>
              </w:rPr>
              <w:t>.GB/T 21010-2017《土地利用现状分类》；</w:t>
            </w:r>
          </w:p>
          <w:p>
            <w:pPr>
              <w:pStyle w:val="null3"/>
              <w:ind w:firstLine="400"/>
              <w:jc w:val="left"/>
            </w:pPr>
            <w:r>
              <w:rPr>
                <w:rFonts w:ascii="仿宋_GB2312" w:hAnsi="仿宋_GB2312" w:cs="仿宋_GB2312" w:eastAsia="仿宋_GB2312"/>
                <w:sz w:val="21"/>
              </w:rPr>
              <w:t>10</w:t>
            </w:r>
            <w:r>
              <w:rPr>
                <w:rFonts w:ascii="仿宋_GB2312" w:hAnsi="仿宋_GB2312" w:cs="仿宋_GB2312" w:eastAsia="仿宋_GB2312"/>
                <w:sz w:val="21"/>
              </w:rPr>
              <w:t>.CH/T 1015.3-2007《基础地理信息数字产品1:10000 1:50000生产技术规程 第3部分：数字正射影像图（DOM）》；</w:t>
            </w:r>
          </w:p>
          <w:p>
            <w:pPr>
              <w:pStyle w:val="null3"/>
              <w:ind w:firstLine="400"/>
              <w:jc w:val="left"/>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.CH/T 9009.3-2010《基础地理信息数字成果1:5000 1:10000 1:25000 1:50000 1:100000数字正射影像图》；</w:t>
            </w:r>
          </w:p>
          <w:p>
            <w:pPr>
              <w:pStyle w:val="null3"/>
              <w:ind w:firstLine="400"/>
              <w:jc w:val="left"/>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.GB/T 17941-2008《数字测绘成果质量要求》；</w:t>
            </w:r>
          </w:p>
          <w:p>
            <w:pPr>
              <w:pStyle w:val="null3"/>
              <w:ind w:firstLine="400"/>
              <w:jc w:val="left"/>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.GB/T 24356-2023《测绘成果质量检查与验收》；</w:t>
            </w:r>
          </w:p>
          <w:p>
            <w:pPr>
              <w:pStyle w:val="null3"/>
              <w:ind w:firstLine="400"/>
              <w:jc w:val="left"/>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.GB/T 18316-2008《数字测绘成果质量检查与验收》；</w:t>
            </w:r>
          </w:p>
          <w:p>
            <w:pPr>
              <w:pStyle w:val="null3"/>
              <w:ind w:firstLine="400"/>
              <w:jc w:val="left"/>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.GB/T 9386-2008《计算机软件测试文档编制规范》；</w:t>
            </w:r>
          </w:p>
          <w:p>
            <w:pPr>
              <w:pStyle w:val="null3"/>
              <w:ind w:firstLine="400"/>
              <w:jc w:val="left"/>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.GB 17859-1999《计算机信息系统安全保护等级划分准则》；</w:t>
            </w:r>
          </w:p>
          <w:p>
            <w:pPr>
              <w:pStyle w:val="null3"/>
              <w:ind w:firstLine="400"/>
              <w:jc w:val="left"/>
            </w:pP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.GB/T 15532-2008《计算机软件测试规范》；</w:t>
            </w:r>
          </w:p>
          <w:p>
            <w:pPr>
              <w:pStyle w:val="null3"/>
              <w:ind w:firstLine="400"/>
              <w:jc w:val="left"/>
            </w:pP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.GB/T 28035-2011《软件系统验收规范》；</w:t>
            </w:r>
          </w:p>
          <w:p>
            <w:pPr>
              <w:pStyle w:val="null3"/>
              <w:ind w:firstLine="400"/>
              <w:jc w:val="left"/>
            </w:pPr>
            <w:r>
              <w:rPr>
                <w:rFonts w:ascii="仿宋_GB2312" w:hAnsi="仿宋_GB2312" w:cs="仿宋_GB2312" w:eastAsia="仿宋_GB2312"/>
                <w:sz w:val="21"/>
              </w:rPr>
              <w:t>1</w:t>
            </w:r>
            <w:r>
              <w:rPr>
                <w:rFonts w:ascii="仿宋_GB2312" w:hAnsi="仿宋_GB2312" w:cs="仿宋_GB2312" w:eastAsia="仿宋_GB2312"/>
                <w:sz w:val="21"/>
              </w:rPr>
              <w:t>9</w:t>
            </w:r>
            <w:r>
              <w:rPr>
                <w:rFonts w:ascii="仿宋_GB2312" w:hAnsi="仿宋_GB2312" w:cs="仿宋_GB2312" w:eastAsia="仿宋_GB2312"/>
                <w:sz w:val="21"/>
              </w:rPr>
              <w:t>.《国土变更调查技术要求》（2026年度适用）；</w:t>
            </w:r>
          </w:p>
          <w:p>
            <w:pPr>
              <w:pStyle w:val="null3"/>
              <w:ind w:firstLine="400"/>
              <w:jc w:val="left"/>
            </w:pPr>
            <w:r>
              <w:rPr>
                <w:rFonts w:ascii="仿宋_GB2312" w:hAnsi="仿宋_GB2312" w:cs="仿宋_GB2312" w:eastAsia="仿宋_GB2312"/>
                <w:sz w:val="21"/>
              </w:rPr>
              <w:t>20</w:t>
            </w:r>
            <w:r>
              <w:rPr>
                <w:rFonts w:ascii="仿宋_GB2312" w:hAnsi="仿宋_GB2312" w:cs="仿宋_GB2312" w:eastAsia="仿宋_GB2312"/>
                <w:sz w:val="21"/>
              </w:rPr>
              <w:t>.《第三次全国国土调查工作分类地类认定细则》（2019年4月）。</w:t>
            </w:r>
          </w:p>
          <w:p>
            <w:pPr>
              <w:pStyle w:val="null3"/>
              <w:ind w:firstLine="400"/>
              <w:jc w:val="left"/>
            </w:pPr>
            <w:r>
              <w:rPr>
                <w:rFonts w:ascii="仿宋_GB2312" w:hAnsi="仿宋_GB2312" w:cs="仿宋_GB2312" w:eastAsia="仿宋_GB2312"/>
                <w:sz w:val="21"/>
              </w:rPr>
              <w:t>上述所列规范标准，在项目执行期内，如有更新，以最新现行规范标准执行。</w:t>
            </w:r>
          </w:p>
          <w:p>
            <w:pPr>
              <w:pStyle w:val="null3"/>
              <w:ind w:firstLine="402"/>
              <w:jc w:val="left"/>
            </w:pPr>
            <w:r>
              <w:rPr>
                <w:rFonts w:ascii="仿宋_GB2312" w:hAnsi="仿宋_GB2312" w:cs="仿宋_GB2312" w:eastAsia="仿宋_GB2312"/>
                <w:sz w:val="21"/>
                <w:b/>
              </w:rPr>
              <w:t>五、工作要求</w:t>
            </w:r>
          </w:p>
          <w:p>
            <w:pPr>
              <w:pStyle w:val="null3"/>
              <w:ind w:firstLine="402"/>
              <w:jc w:val="left"/>
            </w:pPr>
            <w:r>
              <w:rPr>
                <w:rFonts w:ascii="仿宋_GB2312" w:hAnsi="仿宋_GB2312" w:cs="仿宋_GB2312" w:eastAsia="仿宋_GB2312"/>
                <w:sz w:val="21"/>
                <w:b/>
              </w:rPr>
              <w:t>1.保密与安全要求</w:t>
            </w:r>
          </w:p>
          <w:p>
            <w:pPr>
              <w:pStyle w:val="null3"/>
              <w:ind w:firstLine="400"/>
              <w:jc w:val="left"/>
            </w:pPr>
            <w:r>
              <w:rPr>
                <w:rFonts w:ascii="仿宋_GB2312" w:hAnsi="仿宋_GB2312" w:cs="仿宋_GB2312" w:eastAsia="仿宋_GB2312"/>
                <w:sz w:val="21"/>
              </w:rPr>
              <w:t>（1）供应商须严格遵守《中华人民共和国数据安全法》《中华人民共和国网络安全法》《中华人民共和国保守国家秘密法》等相关法律法规，确保相关数据安全和信息安全。</w:t>
            </w:r>
          </w:p>
          <w:p>
            <w:pPr>
              <w:pStyle w:val="null3"/>
              <w:ind w:firstLine="400"/>
              <w:jc w:val="left"/>
            </w:pPr>
            <w:r>
              <w:rPr>
                <w:rFonts w:ascii="仿宋_GB2312" w:hAnsi="仿宋_GB2312" w:cs="仿宋_GB2312" w:eastAsia="仿宋_GB2312"/>
                <w:sz w:val="21"/>
              </w:rPr>
              <w:t>（2）供应商须对项目涉及的所有基础数据、过程资料及成果文件承担保密责任，未经采购方同意不得向任何第三方复制。</w:t>
            </w:r>
          </w:p>
          <w:p>
            <w:pPr>
              <w:pStyle w:val="null3"/>
              <w:ind w:firstLine="400"/>
              <w:jc w:val="left"/>
            </w:pPr>
            <w:r>
              <w:rPr>
                <w:rFonts w:ascii="仿宋_GB2312" w:hAnsi="仿宋_GB2312" w:cs="仿宋_GB2312" w:eastAsia="仿宋_GB2312"/>
                <w:sz w:val="21"/>
              </w:rPr>
              <w:t>（3）供应商须在项目结束后，按照采购人要求，对所有相关数据、文档、成果及存储介质进行清理、移交或销毁。</w:t>
            </w:r>
          </w:p>
          <w:p>
            <w:pPr>
              <w:pStyle w:val="null3"/>
              <w:ind w:firstLine="402"/>
              <w:jc w:val="left"/>
            </w:pPr>
            <w:r>
              <w:rPr>
                <w:rFonts w:ascii="仿宋_GB2312" w:hAnsi="仿宋_GB2312" w:cs="仿宋_GB2312" w:eastAsia="仿宋_GB2312"/>
                <w:sz w:val="21"/>
                <w:b/>
              </w:rPr>
              <w:t>2.人员配置要求</w:t>
            </w:r>
          </w:p>
          <w:p>
            <w:pPr>
              <w:pStyle w:val="null3"/>
              <w:ind w:firstLine="400"/>
              <w:jc w:val="left"/>
            </w:pPr>
            <w:r>
              <w:rPr>
                <w:rFonts w:ascii="仿宋_GB2312" w:hAnsi="仿宋_GB2312" w:cs="仿宋_GB2312" w:eastAsia="仿宋_GB2312"/>
                <w:sz w:val="21"/>
              </w:rPr>
              <w:t>（1）为保障项目质量管控与实施落地，供应商配备的项目负责人须具备测绘相关专业副高级（含）以上职称，统筹负责项目的整体设计和实施，满足项目全周期统筹管控需求。</w:t>
            </w:r>
          </w:p>
          <w:p>
            <w:pPr>
              <w:pStyle w:val="null3"/>
              <w:ind w:firstLine="400"/>
              <w:jc w:val="left"/>
            </w:pPr>
            <w:r>
              <w:rPr>
                <w:rFonts w:ascii="仿宋_GB2312" w:hAnsi="仿宋_GB2312" w:cs="仿宋_GB2312" w:eastAsia="仿宋_GB2312"/>
                <w:sz w:val="21"/>
              </w:rPr>
              <w:t>（2）为保障项目高效推进、按期完成，满足遥感监测监管、一体化场景建设和日常支撑的需要，供应商需组建专项服务团队，投入本项目遥感监测监管、日常支撑的工作人员不少于</w:t>
            </w:r>
            <w:r>
              <w:rPr>
                <w:rFonts w:ascii="仿宋_GB2312" w:hAnsi="仿宋_GB2312" w:cs="仿宋_GB2312" w:eastAsia="仿宋_GB2312"/>
                <w:sz w:val="21"/>
              </w:rPr>
              <w:t>60</w:t>
            </w:r>
            <w:r>
              <w:rPr>
                <w:rFonts w:ascii="仿宋_GB2312" w:hAnsi="仿宋_GB2312" w:cs="仿宋_GB2312" w:eastAsia="仿宋_GB2312"/>
                <w:sz w:val="21"/>
              </w:rPr>
              <w:t>人；供应商应根据项目情况随时增配人员，保障监测监管、软件研发、日常支撑等任务同步推进。</w:t>
            </w:r>
          </w:p>
          <w:p>
            <w:pPr>
              <w:pStyle w:val="null3"/>
              <w:ind w:firstLine="400"/>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）投标方需承诺本项目拟投入人员的真实性，如需更换人员，需经采购人同意，并且更换人员与原人员具有同等或以上的资质。</w:t>
            </w:r>
          </w:p>
          <w:p>
            <w:pPr>
              <w:pStyle w:val="null3"/>
              <w:ind w:firstLine="402"/>
              <w:jc w:val="left"/>
            </w:pPr>
            <w:r>
              <w:rPr>
                <w:rFonts w:ascii="仿宋_GB2312" w:hAnsi="仿宋_GB2312" w:cs="仿宋_GB2312" w:eastAsia="仿宋_GB2312"/>
                <w:sz w:val="21"/>
                <w:b/>
              </w:rPr>
              <w:t>3.成果交付要求</w:t>
            </w:r>
          </w:p>
          <w:p>
            <w:pPr>
              <w:pStyle w:val="null3"/>
              <w:ind w:firstLine="400"/>
              <w:jc w:val="left"/>
            </w:pPr>
            <w:r>
              <w:rPr>
                <w:rFonts w:ascii="仿宋_GB2312" w:hAnsi="仿宋_GB2312" w:cs="仿宋_GB2312" w:eastAsia="仿宋_GB2312"/>
                <w:sz w:val="21"/>
              </w:rPr>
              <w:t>供应商须严格按照双月周期结束当日交付批次遥感监测成果，并于服务期限前完成耕地、永久基本农田和高标准农田一体化管理场景建设的交付使用。</w:t>
            </w:r>
          </w:p>
          <w:p>
            <w:pPr>
              <w:pStyle w:val="null3"/>
              <w:ind w:firstLine="400"/>
              <w:jc w:val="left"/>
            </w:pPr>
            <w:r>
              <w:rPr>
                <w:rFonts w:ascii="仿宋_GB2312" w:hAnsi="仿宋_GB2312" w:cs="仿宋_GB2312" w:eastAsia="仿宋_GB2312"/>
                <w:sz w:val="21"/>
              </w:rPr>
              <w:t>所有成果须符合国家及行业相关标准，通过采购人组织的验收。若成果存在缺陷或不符合要求，供应商须在采购方规定时限内整改完善。</w:t>
            </w:r>
          </w:p>
          <w:p>
            <w:pPr>
              <w:pStyle w:val="null3"/>
              <w:ind w:firstLine="402"/>
              <w:jc w:val="left"/>
            </w:pPr>
            <w:r>
              <w:rPr>
                <w:rFonts w:ascii="仿宋_GB2312" w:hAnsi="仿宋_GB2312" w:cs="仿宋_GB2312" w:eastAsia="仿宋_GB2312"/>
                <w:sz w:val="21"/>
                <w:b/>
              </w:rPr>
              <w:t>4.成果验收要求</w:t>
            </w:r>
          </w:p>
          <w:p>
            <w:pPr>
              <w:pStyle w:val="null3"/>
              <w:ind w:firstLine="402"/>
              <w:jc w:val="left"/>
            </w:pPr>
            <w:r>
              <w:rPr>
                <w:rFonts w:ascii="仿宋_GB2312" w:hAnsi="仿宋_GB2312" w:cs="仿宋_GB2312" w:eastAsia="仿宋_GB2312"/>
                <w:sz w:val="21"/>
                <w:b/>
              </w:rPr>
              <w:t>（1）数据成果</w:t>
            </w:r>
          </w:p>
          <w:p>
            <w:pPr>
              <w:pStyle w:val="null3"/>
              <w:ind w:firstLine="400"/>
              <w:jc w:val="left"/>
            </w:pPr>
            <w:r>
              <w:rPr>
                <w:rFonts w:ascii="仿宋_GB2312" w:hAnsi="仿宋_GB2312" w:cs="仿宋_GB2312" w:eastAsia="仿宋_GB2312"/>
                <w:sz w:val="21"/>
              </w:rPr>
              <w:t>数据成果须完整齐全、格式规范，影像精度、数据精度等各项指标均满足项目指标要求。</w:t>
            </w:r>
          </w:p>
          <w:p>
            <w:pPr>
              <w:pStyle w:val="null3"/>
              <w:ind w:firstLine="402"/>
              <w:jc w:val="left"/>
            </w:pPr>
            <w:r>
              <w:rPr>
                <w:rFonts w:ascii="仿宋_GB2312" w:hAnsi="仿宋_GB2312" w:cs="仿宋_GB2312" w:eastAsia="仿宋_GB2312"/>
                <w:sz w:val="21"/>
                <w:b/>
              </w:rPr>
              <w:t>（2）软件成果</w:t>
            </w:r>
          </w:p>
          <w:p>
            <w:pPr>
              <w:pStyle w:val="null3"/>
              <w:ind w:firstLine="400"/>
              <w:jc w:val="left"/>
            </w:pPr>
            <w:r>
              <w:rPr>
                <w:rFonts w:ascii="仿宋_GB2312" w:hAnsi="仿宋_GB2312" w:cs="仿宋_GB2312" w:eastAsia="仿宋_GB2312"/>
                <w:sz w:val="21"/>
              </w:rPr>
              <w:t>软件成果须功能齐全、稳定可靠，满足相关管理部门的应用需求。</w:t>
            </w:r>
          </w:p>
          <w:p>
            <w:pPr>
              <w:pStyle w:val="null3"/>
              <w:ind w:firstLine="402"/>
              <w:jc w:val="left"/>
            </w:pPr>
            <w:r>
              <w:rPr>
                <w:rFonts w:ascii="仿宋_GB2312" w:hAnsi="仿宋_GB2312" w:cs="仿宋_GB2312" w:eastAsia="仿宋_GB2312"/>
                <w:sz w:val="21"/>
                <w:b/>
              </w:rPr>
              <w:t>（3）文档成果</w:t>
            </w:r>
          </w:p>
          <w:p>
            <w:pPr>
              <w:pStyle w:val="null3"/>
              <w:ind w:firstLine="400"/>
              <w:jc w:val="left"/>
            </w:pPr>
            <w:r>
              <w:rPr>
                <w:rFonts w:ascii="仿宋_GB2312" w:hAnsi="仿宋_GB2312" w:cs="仿宋_GB2312" w:eastAsia="仿宋_GB2312"/>
                <w:sz w:val="21"/>
              </w:rPr>
              <w:t>文档成果须完整齐全、内容真实准确、逻辑规范清晰，符合项目归档与验收要求。</w:t>
            </w:r>
          </w:p>
          <w:p>
            <w:pPr>
              <w:pStyle w:val="null3"/>
              <w:ind w:firstLine="402"/>
              <w:jc w:val="left"/>
            </w:pPr>
            <w:r>
              <w:rPr>
                <w:rFonts w:ascii="仿宋_GB2312" w:hAnsi="仿宋_GB2312" w:cs="仿宋_GB2312" w:eastAsia="仿宋_GB2312"/>
                <w:sz w:val="21"/>
                <w:b/>
              </w:rPr>
              <w:t>六、预期成果</w:t>
            </w:r>
          </w:p>
          <w:p>
            <w:pPr>
              <w:pStyle w:val="null3"/>
              <w:ind w:firstLine="402"/>
              <w:jc w:val="left"/>
            </w:pPr>
            <w:r>
              <w:rPr>
                <w:rFonts w:ascii="仿宋_GB2312" w:hAnsi="仿宋_GB2312" w:cs="仿宋_GB2312" w:eastAsia="仿宋_GB2312"/>
                <w:sz w:val="21"/>
                <w:b/>
              </w:rPr>
              <w:t>1.数据成果</w:t>
            </w:r>
          </w:p>
          <w:p>
            <w:pPr>
              <w:pStyle w:val="null3"/>
              <w:ind w:firstLine="400"/>
              <w:jc w:val="left"/>
            </w:pPr>
            <w:r>
              <w:rPr>
                <w:rFonts w:ascii="仿宋_GB2312" w:hAnsi="仿宋_GB2312" w:cs="仿宋_GB2312" w:eastAsia="仿宋_GB2312"/>
                <w:sz w:val="21"/>
              </w:rPr>
              <w:t>（1）常态化遥感监测监管成果（含卫星遥感正射影像、各类监测图斑、小影像、统计报表、分析报告等）；</w:t>
            </w:r>
          </w:p>
          <w:p>
            <w:pPr>
              <w:pStyle w:val="null3"/>
              <w:ind w:firstLine="400"/>
              <w:jc w:val="left"/>
            </w:pPr>
            <w:r>
              <w:rPr>
                <w:rFonts w:ascii="仿宋_GB2312" w:hAnsi="仿宋_GB2312" w:cs="仿宋_GB2312" w:eastAsia="仿宋_GB2312"/>
                <w:sz w:val="21"/>
              </w:rPr>
              <w:t>（2）田长制日常支撑成果（含各项日常支撑工作成果）。</w:t>
            </w:r>
          </w:p>
          <w:p>
            <w:pPr>
              <w:pStyle w:val="null3"/>
              <w:ind w:firstLine="402"/>
              <w:jc w:val="left"/>
            </w:pPr>
            <w:r>
              <w:rPr>
                <w:rFonts w:ascii="仿宋_GB2312" w:hAnsi="仿宋_GB2312" w:cs="仿宋_GB2312" w:eastAsia="仿宋_GB2312"/>
                <w:sz w:val="21"/>
                <w:b/>
              </w:rPr>
              <w:t>2.软件成果</w:t>
            </w:r>
          </w:p>
          <w:p>
            <w:pPr>
              <w:pStyle w:val="null3"/>
              <w:ind w:firstLine="400"/>
              <w:jc w:val="left"/>
            </w:pPr>
            <w:r>
              <w:rPr>
                <w:rFonts w:ascii="仿宋_GB2312" w:hAnsi="仿宋_GB2312" w:cs="仿宋_GB2312" w:eastAsia="仿宋_GB2312"/>
                <w:sz w:val="21"/>
              </w:rPr>
              <w:t>动态监测预警体系成果（含一体化管理场景、田长制综合巡查监管场景等）。</w:t>
            </w:r>
          </w:p>
          <w:p>
            <w:pPr>
              <w:pStyle w:val="null3"/>
              <w:ind w:firstLine="402"/>
              <w:jc w:val="left"/>
            </w:pPr>
            <w:r>
              <w:rPr>
                <w:rFonts w:ascii="仿宋_GB2312" w:hAnsi="仿宋_GB2312" w:cs="仿宋_GB2312" w:eastAsia="仿宋_GB2312"/>
                <w:sz w:val="21"/>
                <w:b/>
              </w:rPr>
              <w:t>3.文档成果</w:t>
            </w:r>
          </w:p>
          <w:p>
            <w:pPr>
              <w:pStyle w:val="null3"/>
              <w:ind w:firstLine="400"/>
              <w:jc w:val="left"/>
            </w:pPr>
            <w:r>
              <w:rPr>
                <w:rFonts w:ascii="仿宋_GB2312" w:hAnsi="仿宋_GB2312" w:cs="仿宋_GB2312" w:eastAsia="仿宋_GB2312"/>
                <w:sz w:val="21"/>
              </w:rPr>
              <w:t>（1）项目实施方案；</w:t>
            </w:r>
          </w:p>
          <w:p>
            <w:pPr>
              <w:pStyle w:val="null3"/>
              <w:ind w:firstLine="400"/>
              <w:jc w:val="left"/>
            </w:pPr>
            <w:r>
              <w:rPr>
                <w:rFonts w:ascii="仿宋_GB2312" w:hAnsi="仿宋_GB2312" w:cs="仿宋_GB2312" w:eastAsia="仿宋_GB2312"/>
                <w:sz w:val="21"/>
              </w:rPr>
              <w:t>（2）项目专业技术设计书；</w:t>
            </w:r>
          </w:p>
          <w:p>
            <w:pPr>
              <w:pStyle w:val="null3"/>
              <w:ind w:firstLine="400"/>
              <w:jc w:val="left"/>
            </w:pPr>
            <w:r>
              <w:rPr>
                <w:rFonts w:ascii="仿宋_GB2312" w:hAnsi="仿宋_GB2312" w:cs="仿宋_GB2312" w:eastAsia="仿宋_GB2312"/>
                <w:sz w:val="21"/>
              </w:rPr>
              <w:t>（3）项目技术总结；</w:t>
            </w:r>
          </w:p>
          <w:p>
            <w:pPr>
              <w:pStyle w:val="null3"/>
              <w:ind w:firstLine="400"/>
              <w:jc w:val="left"/>
            </w:pPr>
            <w:r>
              <w:rPr>
                <w:rFonts w:ascii="仿宋_GB2312" w:hAnsi="仿宋_GB2312" w:cs="仿宋_GB2312" w:eastAsia="仿宋_GB2312"/>
                <w:sz w:val="21"/>
              </w:rPr>
              <w:t>（4）项目工作总结。</w:t>
            </w:r>
          </w:p>
          <w:p>
            <w:pPr>
              <w:pStyle w:val="null3"/>
              <w:ind w:firstLine="402"/>
              <w:jc w:val="left"/>
            </w:pPr>
            <w:r>
              <w:rPr>
                <w:rFonts w:ascii="仿宋_GB2312" w:hAnsi="仿宋_GB2312" w:cs="仿宋_GB2312" w:eastAsia="仿宋_GB2312"/>
                <w:sz w:val="21"/>
                <w:b/>
              </w:rPr>
              <w:t>七、服务期限</w:t>
            </w:r>
          </w:p>
          <w:p>
            <w:pPr>
              <w:pStyle w:val="null3"/>
              <w:ind w:firstLine="402"/>
              <w:jc w:val="both"/>
            </w:pPr>
            <w:r>
              <w:rPr>
                <w:rFonts w:ascii="仿宋_GB2312" w:hAnsi="仿宋_GB2312" w:cs="仿宋_GB2312" w:eastAsia="仿宋_GB2312"/>
                <w:sz w:val="21"/>
              </w:rPr>
              <w:t>2026年12月31日前完成。</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配置能够满足项目实施设施设备。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2026年12月31日前完成。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1.乙方完成技术服务工作的形式：依据招标文件和甲方要求提交工作成果； 2.技术服务工作成果的验收标准：依据甲方要求，符合本项目约定服务内容，并符合甲方最终成果的归档入库形式要求； 3.技术服务工作成果的验收方法：由甲方组织审查验收； 4.验收的时间和地点：乙方提交最终成果并配合甲方开展验收工作；验收地点为甲方指定地点。</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进度款，合同签订后，采购方在收到中标人提供的有效发票之日起，达到付款条件起10个工作日内，支付合同总金额的40.0%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进度款，项目工作量完成60%后，采购方在收到中标人提供的有效发票之日起，达到付款条件起10个工作日内，支付合同总金额的40.0%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进度款，项目通过验收并经采购方确认后，采购方在收到中标人提供的有效发票之日起，达到付款条件起10个工作日内，支付合同总金额的20.0%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顺利推进本项目政府采购工作，投标人须在陕西省政府采购电子化交易平台上传电子版响应文件并完成签章、加密，同时，线下递交纸质版响应文件正本壹份。若电子版响应文件与纸质版响应文件不一致的，以陕西省政府采购电子化交易平台上传的电子版响应文件为准。纸质版响应文件递交截止时间同开标截止时间，递交地点为西安市唐延路37号class公馆B栋1103室。 2、由于本项目需要进行现场功能演示，请各投标人委派功能演示人员（演示人员须携带授权书）于开标截止时间前抵达西安市唐延路37号class公馆B栋1103室等候演示，未按时到达的投标人视为自动放弃参与演示环节。 3、投标保证金注意事项：投标保证金须从供应商账户转账；以保函形式交纳投标保证金的，投标人应在投标截止时间前将保函扫描成清晰的PDF文件，发送至邮箱1172109359@qq.com（邮件命名：项目名称+项目编号），投标人应在投标文件中附保函复印件。保函必须由具有开具投标保函资格的单位开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提供递交投标文件截止之日前六个月内任意一个月的依法缴纳税收的相关凭据，凭据应有税务机关或代收机关的公章或业务专用章。依法免税或无须缴纳税收的投标人，应提供相应证明文件；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提供递交投标文件截止之日前六个月内任意一个月的社会保障资金缴存单据或社保机构开具的社会保险参保缴费情况证明。依法不需要缴纳社会保障资金的投标人应提供相关证明文件；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 3 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法定代表人直接参加投标的，须出具法定代表人身份证明书及身份证；授权代表参加投标的，须出具法定代表人授权书及授权代表身份证；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投标人关联关系声明，包括：①控股管理关系（不得与参加本项目的其他投标人单位负责人为同一人或者存在直接控股、管理关系），②未为本项目提供整体设计、规范编制或者项目管理、监理、检测等服务；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具有行政主管部门颁发的有效的甲级测绘资质（专业类别至少包含摄影测量与遥感、地理信息系统工程）；</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3.落实《关于推动解决政府采购异常低价问题的通知》财库〔2026〕2号相关要求。</w:t>
            </w:r>
          </w:p>
        </w:tc>
        <w:tc>
          <w:tcPr>
            <w:tcW w:type="dxa" w:w="1661"/>
          </w:tcPr>
          <w:p>
            <w:pPr>
              <w:pStyle w:val="null3"/>
            </w:pPr>
            <w:r>
              <w:rPr>
                <w:rFonts w:ascii="仿宋_GB2312" w:hAnsi="仿宋_GB2312" w:cs="仿宋_GB2312" w:eastAsia="仿宋_GB2312"/>
              </w:rPr>
              <w:t>开标一览表 分项报价表.docx 标的清单 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投标人名称和公章、营业执照一致</w:t>
            </w:r>
          </w:p>
        </w:tc>
        <w:tc>
          <w:tcPr>
            <w:tcW w:type="dxa" w:w="1661"/>
          </w:tcPr>
          <w:p>
            <w:pPr>
              <w:pStyle w:val="null3"/>
            </w:pPr>
            <w:r>
              <w:rPr>
                <w:rFonts w:ascii="仿宋_GB2312" w:hAnsi="仿宋_GB2312" w:cs="仿宋_GB2312" w:eastAsia="仿宋_GB2312"/>
              </w:rPr>
              <w:t>投标函 投标文件封面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开标一览表 分项报价表.docx 标的清单 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w:t>
            </w:r>
          </w:p>
        </w:tc>
        <w:tc>
          <w:tcPr>
            <w:tcW w:type="dxa" w:w="3322"/>
          </w:tcPr>
          <w:p>
            <w:pPr>
              <w:pStyle w:val="null3"/>
            </w:pPr>
            <w:r>
              <w:rPr>
                <w:rFonts w:ascii="仿宋_GB2312" w:hAnsi="仿宋_GB2312" w:cs="仿宋_GB2312" w:eastAsia="仿宋_GB2312"/>
              </w:rPr>
              <w:t>自开标之日起不少于90个日历日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投标文件的签字盖章合格有效</w:t>
            </w:r>
          </w:p>
        </w:tc>
        <w:tc>
          <w:tcPr>
            <w:tcW w:type="dxa" w:w="1661"/>
          </w:tcPr>
          <w:p>
            <w:pPr>
              <w:pStyle w:val="null3"/>
            </w:pPr>
            <w:r>
              <w:rPr>
                <w:rFonts w:ascii="仿宋_GB2312" w:hAnsi="仿宋_GB2312" w:cs="仿宋_GB2312" w:eastAsia="仿宋_GB2312"/>
              </w:rPr>
              <w:t>开标一览表 投标人认为有必要说明的其他资料.docx 功能演示.docx 人员配备.docx 中小企业声明函 项目理解及实施方案.docx 企业实力.docx 资格证明文件.docx 服务偏离表.docx 分项报价表.docx 投标函 残疾人福利性单位声明函 业绩统计表.docx 标的清单 保证金缴纳凭证.docx 投标文件封面 报价表.docx 商务偏离表.docx 投标人承诺书.docx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保证金缴纳凭证.docx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招标文件商务条款</w:t>
            </w:r>
          </w:p>
        </w:tc>
        <w:tc>
          <w:tcPr>
            <w:tcW w:type="dxa" w:w="3322"/>
          </w:tcPr>
          <w:p>
            <w:pPr>
              <w:pStyle w:val="null3"/>
            </w:pPr>
            <w:r>
              <w:rPr>
                <w:rFonts w:ascii="仿宋_GB2312" w:hAnsi="仿宋_GB2312" w:cs="仿宋_GB2312" w:eastAsia="仿宋_GB2312"/>
              </w:rPr>
              <w:t>响应招标文件商务条款，无重大保留或偏差</w:t>
            </w:r>
          </w:p>
        </w:tc>
        <w:tc>
          <w:tcPr>
            <w:tcW w:type="dxa" w:w="1661"/>
          </w:tcPr>
          <w:p>
            <w:pPr>
              <w:pStyle w:val="null3"/>
            </w:pPr>
            <w:r>
              <w:rPr>
                <w:rFonts w:ascii="仿宋_GB2312" w:hAnsi="仿宋_GB2312" w:cs="仿宋_GB2312" w:eastAsia="仿宋_GB2312"/>
              </w:rPr>
              <w:t>报价表.docx 商务偏离表.docx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无不符合法律法规或招标文件规定的投标无效条款</w:t>
            </w:r>
          </w:p>
        </w:tc>
        <w:tc>
          <w:tcPr>
            <w:tcW w:type="dxa" w:w="1661"/>
          </w:tcPr>
          <w:p>
            <w:pPr>
              <w:pStyle w:val="null3"/>
            </w:pPr>
            <w:r>
              <w:rPr>
                <w:rFonts w:ascii="仿宋_GB2312" w:hAnsi="仿宋_GB2312" w:cs="仿宋_GB2312" w:eastAsia="仿宋_GB2312"/>
              </w:rPr>
              <w:t>开标一览表 投标人认为有必要说明的其他资料.docx 功能演示.docx 人员配备.docx 中小企业声明函 项目理解及实施方案.docx 企业实力.docx 资格证明文件.docx 服务偏离表.docx 分项报价表.docx 投标函 残疾人福利性单位声明函 业绩统计表.docx 标的清单 保证金缴纳凭证.docx 投标文件封面 报价表.docx 商务偏离表.docx 投标人承诺书.docx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项目理解及实施方案</w:t>
            </w:r>
          </w:p>
        </w:tc>
        <w:tc>
          <w:tcPr>
            <w:tcW w:type="dxa" w:w="2492"/>
          </w:tcPr>
          <w:p>
            <w:pPr>
              <w:pStyle w:val="null3"/>
            </w:pPr>
            <w:r>
              <w:rPr>
                <w:rFonts w:ascii="仿宋_GB2312" w:hAnsi="仿宋_GB2312" w:cs="仿宋_GB2312" w:eastAsia="仿宋_GB2312"/>
              </w:rPr>
              <w:t>针对本项目提供完善的项目理解及实施方案，包括但不限于：①项目背景及政策要求；②工作内容理解与分析；③项目重点难点分析及应对措施； ④总体工作思路和技术路线；⑤耕地保护常态化监测监管工作方案；⑥一体化管理场景建设方案；⑦日常支撑工作方案；⑧项目组织机构划分、人员岗位分工、职责任务及人员管理制度；⑨成果汇总及移交方案；⑩项目进度安排及计划;⑪项目保障措施；⑫成果质量保障措施；⑬保密管理措施；⑭突发事件处理方案及保障措施；⑮投标人服务承诺（包括服务响应时间、故障问题解决时限、定期回访机制等，且承诺具有可操作性和约束力，能充分保障采购人在服务过程中的权益）；⑯售后服务保障措施。 评审标准：方案各部分内容全面详细、阐述条理清晰详尽、符合本项目采购需求，能保障本项目实施得40分；评审内容每缺一项扣2.5分，每有一处缺陷扣0.5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项目理解及实施方案.docx</w:t>
            </w:r>
          </w:p>
        </w:tc>
      </w:tr>
      <w:tr>
        <w:tc>
          <w:tcPr>
            <w:tcW w:type="dxa" w:w="831"/>
            <w:vMerge/>
          </w:tcPr>
          <w:p/>
        </w:tc>
        <w:tc>
          <w:tcPr>
            <w:tcW w:type="dxa" w:w="1661"/>
          </w:tcPr>
          <w:p>
            <w:pPr>
              <w:pStyle w:val="null3"/>
            </w:pPr>
            <w:r>
              <w:rPr>
                <w:rFonts w:ascii="仿宋_GB2312" w:hAnsi="仿宋_GB2312" w:cs="仿宋_GB2312" w:eastAsia="仿宋_GB2312"/>
              </w:rPr>
              <w:t>功能演示</w:t>
            </w:r>
          </w:p>
        </w:tc>
        <w:tc>
          <w:tcPr>
            <w:tcW w:type="dxa" w:w="2492"/>
          </w:tcPr>
          <w:p>
            <w:pPr>
              <w:pStyle w:val="null3"/>
            </w:pPr>
            <w:r>
              <w:rPr>
                <w:rFonts w:ascii="仿宋_GB2312" w:hAnsi="仿宋_GB2312" w:cs="仿宋_GB2312" w:eastAsia="仿宋_GB2312"/>
              </w:rPr>
              <w:t>投标人针对以下五项内容，进行演示： 1）综合一张图模块：展示图层管理与透明度控制，展示驾驶舱的设计与交互； 2）耕地监测预警模块：展示监测图斑的统计图表设计与多级钻取，展示监测周期的时间轴变化； 3）项目建设共管模块：展示分析规则新建、修改和数据报表输出功能； 4）辅助决策模块：重大建设项目占用永农补划、耕林置换的界面设计与交互逻辑； 5）三维化适配方面：展示三维场景可视化效果，展示三维场景下贴地面积量算、坡度量测等功能。 根据投标人演示情况，结合演示内容与本项目的业务相关程度、技术相通性进行评审，以上5项中，每缺少1项或其无法满足项目需求的扣2分，扣完为止；每有1项中内容存在缺陷或不足扣1分，每有1项内容完备但存在部分瑕疵之处扣0.5分。 缺陷或不足是指：投标人虽进行功能演示，但演示内容核心功能缺失、业务逻辑存在实质性偏差，关键能力达不到本项目业务使用基本要求。 部分瑕疵之处：投标人完整演示全部要求内容，核心功能与业务逻辑均满足项目需求，仅存在界面、操作展示、视觉效果不佳等不影响正常业务办理的轻微问题。 注：投标人可以使用真实系统、测试环境、模拟数据或视频演示等形式进行演示，演示时间共计不得超过10分钟，自评审小组要求开始之时起计算时间。各投标人应在上述规定时间内完成演示部分的全部内容，如因时间问题未能演示完成或中断演示的，由投标人自行承担相关不利风险。各投标人应在开标前提前做好相关演示准备。且各投标人需自行准备相关演示所用的设施设备，并且自行考虑相关外部网络连接等问题，如在开标现场因投标人自身问题而造成的演示停滞、无法演示等情况，由投标人自行承担相关不利风险。</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功能演示.docx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1.项目负责人（1人）：具有测绘相关专业正高级职称得2分，具有测绘相关专业副高级职称得1分，同时具备注册测绘师资格证书的再加1分，本项最高得3分； 2.技术负责人（1人）：具有测绘相关专业正高级职称得2分，具有测绘相关专业副高级职称得1分，同时具备注册测绘师资格证书的再加1分，本项最高得3分； 3.质量负责人（1人）：具有测绘相关专业正高级职称得2分，具有测绘相关专业副高级职称得1分，本项最高得2分； 4.团队中其他技术人员（项目负责人和技术、质量负责人除外）：①具有测绘相关专业中级及以上职称的，60人得4分，每增加10人得1分，最高得6分。其中，团队成员中具有测绘相关专业副高级及以上职称的，每有10人再加1分，最高得3分。②每有一人具有系统架构设计师资格证书的得0.5分，每有一人具有系统集成项目管理工程师资格证书的得0.5分，本项最高得1分。 注：1.项目负责人、技术负责人、质量负责人不得兼任；2、需提供加盖投标人公章的职称证、资格证等相关证书扫描件和劳动合同或2026年1月以来任意一个月在本单位的社保证明，否则不予认定。</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1.投标人具有有效的信息安全管理体系认证、信息技术服务管理体系认证，每提供1项得1分，本项最高得2分。 2.2023年7月1日以来至今，投标人具有自研的耕地保护类相关软件的，每提供一个计算机软件著作权登记证书的得1分，本项最高得2分。 注：投标人需提供加盖投标人公章的相关证书复印件。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企业实力.docx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1.2023年7月1日以来至今，投标人承担过耕地保护类相关业绩的，每提供1项得2分，本项最高得12分； 2.2023年7月1日以来至今，投标人承担过系统开发类相关业绩的，每提供1项得2分，本项最高得6分。 注：需提供合同或任务书关键页扫描件作为证明资料，否则不计为有效业绩。</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业绩统计表.docx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报价表.docx</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采用低价优先法计算，即满足招标文件要求且投标总报价最低的投标总报价为评标基准价，其价格为 10分。（因落实政府采购政策进行价格调整的，以调整后的价格计算评标基准价）其他投标人的价格分按照下列公式计算：投标总报价得分＝（评标基准价/投标总报价）×10。价格得分四舍五入保留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报价表.docx</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详见附件：服务偏离表.docx</w:t>
      </w:r>
    </w:p>
    <w:p>
      <w:pPr>
        <w:pStyle w:val="null3"/>
        <w:ind w:firstLine="960"/>
      </w:pPr>
      <w:r>
        <w:rPr>
          <w:rFonts w:ascii="仿宋_GB2312" w:hAnsi="仿宋_GB2312" w:cs="仿宋_GB2312" w:eastAsia="仿宋_GB2312"/>
        </w:rPr>
        <w:t>详见附件：项目理解及实施方案.docx</w:t>
      </w:r>
    </w:p>
    <w:p>
      <w:pPr>
        <w:pStyle w:val="null3"/>
        <w:ind w:firstLine="960"/>
      </w:pPr>
      <w:r>
        <w:rPr>
          <w:rFonts w:ascii="仿宋_GB2312" w:hAnsi="仿宋_GB2312" w:cs="仿宋_GB2312" w:eastAsia="仿宋_GB2312"/>
        </w:rPr>
        <w:t>详见附件：功能演示.docx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详见附件：企业实力.docx</w:t>
      </w:r>
    </w:p>
    <w:p>
      <w:pPr>
        <w:pStyle w:val="null3"/>
        <w:ind w:firstLine="960"/>
      </w:pPr>
      <w:r>
        <w:rPr>
          <w:rFonts w:ascii="仿宋_GB2312" w:hAnsi="仿宋_GB2312" w:cs="仿宋_GB2312" w:eastAsia="仿宋_GB2312"/>
        </w:rPr>
        <w:t>详见附件：业绩统计表.docx</w:t>
      </w:r>
    </w:p>
    <w:p>
      <w:pPr>
        <w:pStyle w:val="null3"/>
        <w:ind w:firstLine="960"/>
      </w:pPr>
      <w:r>
        <w:rPr>
          <w:rFonts w:ascii="仿宋_GB2312" w:hAnsi="仿宋_GB2312" w:cs="仿宋_GB2312" w:eastAsia="仿宋_GB2312"/>
        </w:rPr>
        <w:t>详见附件：保证金缴纳凭证.docx</w:t>
      </w:r>
    </w:p>
    <w:p>
      <w:pPr>
        <w:pStyle w:val="null3"/>
        <w:ind w:firstLine="960"/>
      </w:pPr>
      <w:r>
        <w:rPr>
          <w:rFonts w:ascii="仿宋_GB2312" w:hAnsi="仿宋_GB2312" w:cs="仿宋_GB2312" w:eastAsia="仿宋_GB2312"/>
        </w:rPr>
        <w:t>详见附件：投标人认为有必要说明的其他资料.docx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