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35FCE">
      <w:pPr>
        <w:snapToGrid w:val="0"/>
        <w:spacing w:line="360" w:lineRule="auto"/>
        <w:jc w:val="left"/>
        <w:rPr>
          <w:rFonts w:hint="eastAsia" w:ascii="仿宋" w:hAnsi="仿宋" w:eastAsia="仿宋" w:cs="仿宋"/>
          <w:b/>
          <w:bCs/>
          <w:sz w:val="30"/>
          <w:szCs w:val="30"/>
        </w:rPr>
      </w:pPr>
    </w:p>
    <w:p w14:paraId="29CF2F41">
      <w:pPr>
        <w:snapToGrid w:val="0"/>
        <w:spacing w:line="360" w:lineRule="auto"/>
        <w:jc w:val="left"/>
        <w:rPr>
          <w:rFonts w:hint="eastAsia" w:ascii="仿宋" w:hAnsi="仿宋" w:eastAsia="仿宋" w:cs="仿宋"/>
          <w:b/>
          <w:bCs/>
          <w:sz w:val="30"/>
          <w:szCs w:val="30"/>
        </w:rPr>
      </w:pPr>
    </w:p>
    <w:p w14:paraId="0C0494B6">
      <w:pPr>
        <w:snapToGrid w:val="0"/>
        <w:spacing w:line="360" w:lineRule="auto"/>
        <w:jc w:val="left"/>
        <w:rPr>
          <w:rFonts w:hint="eastAsia" w:ascii="仿宋" w:hAnsi="仿宋" w:eastAsia="仿宋" w:cs="仿宋"/>
          <w:b/>
          <w:bCs/>
          <w:sz w:val="30"/>
          <w:szCs w:val="30"/>
        </w:rPr>
      </w:pPr>
    </w:p>
    <w:p w14:paraId="10C9F35F">
      <w:pPr>
        <w:snapToGrid w:val="0"/>
        <w:spacing w:line="360" w:lineRule="auto"/>
        <w:jc w:val="left"/>
        <w:rPr>
          <w:rFonts w:ascii="仿宋" w:hAnsi="仿宋" w:eastAsia="仿宋" w:cs="仿宋"/>
          <w:b/>
          <w:bCs/>
          <w:sz w:val="30"/>
          <w:szCs w:val="30"/>
        </w:rPr>
      </w:pPr>
      <w:bookmarkStart w:id="51" w:name="_GoBack"/>
      <w:bookmarkEnd w:id="51"/>
      <w:r>
        <w:rPr>
          <w:rFonts w:hint="eastAsia" w:ascii="仿宋" w:hAnsi="仿宋" w:eastAsia="仿宋" w:cs="仿宋"/>
          <w:b/>
          <w:bCs/>
          <w:sz w:val="30"/>
          <w:szCs w:val="30"/>
        </w:rPr>
        <w:t>政府采购合同                        合同编号：</w:t>
      </w:r>
    </w:p>
    <w:p w14:paraId="67345E47">
      <w:pPr>
        <w:pStyle w:val="4"/>
        <w:snapToGrid w:val="0"/>
        <w:spacing w:line="360" w:lineRule="auto"/>
        <w:rPr>
          <w:rFonts w:ascii="仿宋" w:hAnsi="仿宋" w:eastAsia="仿宋" w:cs="仿宋"/>
          <w:b/>
          <w:bCs/>
          <w:sz w:val="30"/>
          <w:szCs w:val="30"/>
        </w:rPr>
      </w:pPr>
    </w:p>
    <w:p w14:paraId="4405DED6">
      <w:pPr>
        <w:pStyle w:val="4"/>
        <w:snapToGrid w:val="0"/>
        <w:spacing w:line="360" w:lineRule="auto"/>
        <w:rPr>
          <w:rFonts w:ascii="仿宋" w:hAnsi="仿宋" w:eastAsia="仿宋" w:cs="仿宋"/>
          <w:b/>
          <w:bCs/>
          <w:sz w:val="30"/>
          <w:szCs w:val="30"/>
        </w:rPr>
      </w:pPr>
    </w:p>
    <w:p w14:paraId="68D2FCF9">
      <w:pPr>
        <w:pStyle w:val="4"/>
        <w:snapToGrid w:val="0"/>
        <w:spacing w:line="360" w:lineRule="auto"/>
        <w:rPr>
          <w:rFonts w:ascii="仿宋" w:hAnsi="仿宋" w:eastAsia="仿宋" w:cs="仿宋"/>
        </w:rPr>
      </w:pPr>
    </w:p>
    <w:p w14:paraId="64AF53DE">
      <w:pPr>
        <w:snapToGrid w:val="0"/>
        <w:spacing w:line="360" w:lineRule="auto"/>
        <w:jc w:val="center"/>
        <w:rPr>
          <w:rFonts w:ascii="仿宋" w:hAnsi="仿宋" w:eastAsia="仿宋" w:cs="仿宋"/>
          <w:b/>
          <w:bCs/>
          <w:sz w:val="44"/>
          <w:szCs w:val="44"/>
        </w:rPr>
      </w:pPr>
      <w:r>
        <w:rPr>
          <w:rFonts w:hint="eastAsia" w:ascii="仿宋" w:hAnsi="仿宋" w:eastAsia="仿宋" w:cs="仿宋"/>
          <w:b/>
          <w:bCs/>
          <w:sz w:val="44"/>
          <w:szCs w:val="44"/>
        </w:rPr>
        <w:t>某重点工作动态监测项目</w:t>
      </w:r>
    </w:p>
    <w:p w14:paraId="397F6EA8">
      <w:pPr>
        <w:snapToGrid w:val="0"/>
        <w:spacing w:line="360" w:lineRule="auto"/>
        <w:rPr>
          <w:rFonts w:ascii="仿宋" w:hAnsi="仿宋" w:eastAsia="仿宋" w:cs="仿宋"/>
        </w:rPr>
      </w:pPr>
    </w:p>
    <w:p w14:paraId="32E43A01">
      <w:pPr>
        <w:snapToGrid w:val="0"/>
        <w:spacing w:line="360" w:lineRule="auto"/>
        <w:rPr>
          <w:rFonts w:ascii="仿宋" w:hAnsi="仿宋" w:eastAsia="仿宋" w:cs="仿宋"/>
        </w:rPr>
      </w:pPr>
    </w:p>
    <w:p w14:paraId="08EB7246">
      <w:pPr>
        <w:pStyle w:val="4"/>
        <w:snapToGrid w:val="0"/>
        <w:spacing w:line="360" w:lineRule="auto"/>
        <w:rPr>
          <w:rFonts w:ascii="仿宋" w:hAnsi="仿宋" w:eastAsia="仿宋" w:cs="仿宋"/>
        </w:rPr>
      </w:pPr>
    </w:p>
    <w:p w14:paraId="5C82720E">
      <w:pPr>
        <w:pStyle w:val="4"/>
        <w:snapToGrid w:val="0"/>
        <w:spacing w:line="360" w:lineRule="auto"/>
        <w:rPr>
          <w:rFonts w:ascii="仿宋" w:hAnsi="仿宋" w:eastAsia="仿宋" w:cs="仿宋"/>
        </w:rPr>
      </w:pPr>
    </w:p>
    <w:p w14:paraId="751C96AC">
      <w:pPr>
        <w:snapToGrid w:val="0"/>
        <w:spacing w:line="360" w:lineRule="auto"/>
        <w:rPr>
          <w:rFonts w:ascii="仿宋" w:hAnsi="仿宋" w:eastAsia="仿宋" w:cs="仿宋"/>
        </w:rPr>
      </w:pPr>
    </w:p>
    <w:p w14:paraId="14168E83">
      <w:pPr>
        <w:snapToGrid w:val="0"/>
        <w:spacing w:line="360" w:lineRule="auto"/>
        <w:rPr>
          <w:rFonts w:ascii="仿宋" w:hAnsi="仿宋" w:eastAsia="仿宋" w:cs="仿宋"/>
        </w:rPr>
      </w:pPr>
    </w:p>
    <w:p w14:paraId="0AF8148D">
      <w:pPr>
        <w:snapToGrid w:val="0"/>
        <w:spacing w:line="360" w:lineRule="auto"/>
        <w:jc w:val="center"/>
        <w:rPr>
          <w:rFonts w:ascii="仿宋" w:hAnsi="仿宋" w:eastAsia="仿宋" w:cs="仿宋"/>
          <w:b/>
          <w:sz w:val="36"/>
          <w:szCs w:val="36"/>
        </w:rPr>
      </w:pPr>
      <w:r>
        <w:rPr>
          <w:rFonts w:hint="eastAsia" w:ascii="仿宋" w:hAnsi="仿宋" w:eastAsia="仿宋" w:cs="仿宋"/>
          <w:b/>
          <w:sz w:val="36"/>
          <w:szCs w:val="36"/>
        </w:rPr>
        <w:t>（示范文本仅供参考）</w:t>
      </w:r>
    </w:p>
    <w:p w14:paraId="6712AD5B">
      <w:pPr>
        <w:snapToGrid w:val="0"/>
        <w:spacing w:line="360" w:lineRule="auto"/>
        <w:jc w:val="center"/>
        <w:rPr>
          <w:rFonts w:ascii="仿宋" w:hAnsi="仿宋" w:eastAsia="仿宋" w:cs="仿宋"/>
          <w:b/>
          <w:sz w:val="36"/>
          <w:szCs w:val="36"/>
        </w:rPr>
      </w:pPr>
    </w:p>
    <w:p w14:paraId="3EAD7CF8">
      <w:pPr>
        <w:snapToGrid w:val="0"/>
        <w:spacing w:line="360" w:lineRule="auto"/>
        <w:rPr>
          <w:rFonts w:ascii="仿宋" w:hAnsi="仿宋" w:eastAsia="仿宋" w:cs="仿宋"/>
          <w:b/>
          <w:sz w:val="36"/>
          <w:szCs w:val="36"/>
        </w:rPr>
      </w:pPr>
    </w:p>
    <w:p w14:paraId="102621DD">
      <w:pPr>
        <w:snapToGrid w:val="0"/>
        <w:spacing w:line="360" w:lineRule="auto"/>
        <w:jc w:val="center"/>
        <w:rPr>
          <w:rFonts w:ascii="仿宋" w:hAnsi="仿宋" w:eastAsia="仿宋" w:cs="仿宋"/>
          <w:b/>
          <w:sz w:val="36"/>
          <w:szCs w:val="36"/>
        </w:rPr>
      </w:pPr>
    </w:p>
    <w:p w14:paraId="7220A847">
      <w:pPr>
        <w:snapToGrid w:val="0"/>
        <w:spacing w:line="360" w:lineRule="auto"/>
        <w:ind w:firstLine="1584" w:firstLineChars="493"/>
        <w:jc w:val="left"/>
        <w:rPr>
          <w:rFonts w:ascii="仿宋" w:hAnsi="仿宋" w:eastAsia="仿宋" w:cs="仿宋"/>
          <w:sz w:val="32"/>
          <w:szCs w:val="32"/>
          <w:u w:val="single"/>
        </w:rPr>
      </w:pPr>
      <w:r>
        <w:rPr>
          <w:rFonts w:hint="eastAsia" w:ascii="仿宋" w:hAnsi="仿宋" w:eastAsia="仿宋" w:cs="仿宋"/>
          <w:b/>
          <w:bCs/>
          <w:sz w:val="32"/>
          <w:szCs w:val="32"/>
        </w:rPr>
        <w:t>采购人：</w:t>
      </w:r>
      <w:r>
        <w:rPr>
          <w:rFonts w:hint="eastAsia" w:ascii="仿宋" w:hAnsi="仿宋" w:eastAsia="仿宋" w:cs="仿宋"/>
          <w:b/>
          <w:bCs/>
          <w:sz w:val="32"/>
          <w:szCs w:val="32"/>
          <w:u w:val="single"/>
        </w:rPr>
        <w:t>陕西省测绘地理信息局</w:t>
      </w:r>
    </w:p>
    <w:p w14:paraId="6CE5AB85">
      <w:pPr>
        <w:snapToGrid w:val="0"/>
        <w:spacing w:line="360" w:lineRule="auto"/>
        <w:ind w:firstLine="1584" w:firstLineChars="493"/>
        <w:jc w:val="left"/>
        <w:rPr>
          <w:rFonts w:ascii="仿宋" w:hAnsi="仿宋" w:eastAsia="仿宋" w:cs="仿宋"/>
          <w:b/>
          <w:bCs/>
          <w:sz w:val="32"/>
          <w:szCs w:val="32"/>
        </w:rPr>
      </w:pPr>
      <w:r>
        <w:rPr>
          <w:rFonts w:hint="eastAsia" w:ascii="仿宋" w:hAnsi="仿宋" w:eastAsia="仿宋" w:cs="仿宋"/>
          <w:b/>
          <w:bCs/>
          <w:sz w:val="32"/>
          <w:szCs w:val="32"/>
        </w:rPr>
        <w:t>投标人：</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r>
        <w:rPr>
          <w:rFonts w:hint="eastAsia" w:ascii="仿宋" w:hAnsi="仿宋" w:eastAsia="仿宋" w:cs="仿宋"/>
          <w:b/>
          <w:bCs/>
          <w:sz w:val="32"/>
          <w:szCs w:val="32"/>
        </w:rPr>
        <w:t xml:space="preserve">        </w:t>
      </w:r>
    </w:p>
    <w:p w14:paraId="5DC70743">
      <w:pPr>
        <w:pStyle w:val="4"/>
        <w:snapToGrid w:val="0"/>
        <w:spacing w:line="360" w:lineRule="auto"/>
        <w:jc w:val="center"/>
        <w:rPr>
          <w:rFonts w:ascii="仿宋" w:hAnsi="仿宋" w:eastAsia="仿宋" w:cs="仿宋"/>
        </w:rPr>
      </w:pPr>
      <w:r>
        <w:rPr>
          <w:rFonts w:hint="eastAsia" w:ascii="仿宋" w:hAnsi="仿宋" w:eastAsia="仿宋" w:cs="仿宋"/>
          <w:b/>
          <w:bCs/>
          <w:color w:val="auto"/>
          <w:sz w:val="32"/>
          <w:szCs w:val="32"/>
        </w:rPr>
        <w:t>二〇二六年  月</w:t>
      </w:r>
    </w:p>
    <w:p w14:paraId="18E05557">
      <w:pPr>
        <w:pStyle w:val="4"/>
        <w:snapToGrid w:val="0"/>
        <w:spacing w:line="360" w:lineRule="auto"/>
        <w:rPr>
          <w:rFonts w:ascii="仿宋" w:hAnsi="仿宋" w:eastAsia="仿宋" w:cs="仿宋"/>
        </w:rPr>
      </w:pPr>
    </w:p>
    <w:p w14:paraId="288A564F">
      <w:pPr>
        <w:snapToGrid w:val="0"/>
        <w:spacing w:line="360" w:lineRule="auto"/>
        <w:rPr>
          <w:rFonts w:ascii="仿宋" w:hAnsi="仿宋" w:eastAsia="仿宋" w:cs="仿宋"/>
          <w:b/>
          <w:bCs/>
          <w:sz w:val="32"/>
          <w:szCs w:val="40"/>
        </w:rPr>
      </w:pPr>
      <w:r>
        <w:rPr>
          <w:rFonts w:hint="eastAsia" w:ascii="仿宋" w:hAnsi="仿宋" w:eastAsia="仿宋" w:cs="仿宋"/>
          <w:b/>
          <w:bCs/>
          <w:sz w:val="32"/>
          <w:szCs w:val="40"/>
        </w:rPr>
        <w:br w:type="page"/>
      </w:r>
    </w:p>
    <w:p w14:paraId="7AC04358">
      <w:pPr>
        <w:adjustRightInd w:val="0"/>
        <w:snapToGrid w:val="0"/>
        <w:spacing w:line="360" w:lineRule="auto"/>
        <w:jc w:val="center"/>
        <w:rPr>
          <w:rFonts w:ascii="仿宋" w:hAnsi="仿宋" w:eastAsia="仿宋" w:cs="仿宋"/>
          <w:b/>
          <w:bCs/>
          <w:sz w:val="28"/>
          <w:szCs w:val="28"/>
        </w:rPr>
      </w:pPr>
      <w:r>
        <w:rPr>
          <w:rFonts w:hint="eastAsia" w:ascii="仿宋" w:hAnsi="仿宋" w:eastAsia="仿宋" w:cs="仿宋"/>
          <w:b/>
          <w:bCs/>
          <w:sz w:val="28"/>
          <w:szCs w:val="28"/>
        </w:rPr>
        <w:t>合同主要条款</w:t>
      </w:r>
    </w:p>
    <w:p w14:paraId="4FFD3992">
      <w:pPr>
        <w:adjustRightInd w:val="0"/>
        <w:snapToGrid w:val="0"/>
        <w:spacing w:line="360" w:lineRule="auto"/>
        <w:ind w:firstLine="402" w:firstLineChars="200"/>
        <w:jc w:val="left"/>
        <w:rPr>
          <w:rFonts w:ascii="仿宋" w:hAnsi="仿宋" w:eastAsia="仿宋" w:cs="仿宋"/>
          <w:b/>
          <w:sz w:val="20"/>
          <w:szCs w:val="20"/>
        </w:rPr>
      </w:pPr>
      <w:r>
        <w:rPr>
          <w:rFonts w:hint="eastAsia" w:ascii="仿宋" w:hAnsi="仿宋" w:eastAsia="仿宋" w:cs="仿宋"/>
          <w:b/>
          <w:sz w:val="20"/>
          <w:szCs w:val="20"/>
        </w:rPr>
        <w:t>采购人（甲方）：</w:t>
      </w:r>
      <w:r>
        <w:rPr>
          <w:rFonts w:hint="eastAsia" w:ascii="仿宋" w:hAnsi="仿宋" w:eastAsia="仿宋" w:cs="仿宋"/>
          <w:b/>
          <w:sz w:val="20"/>
          <w:szCs w:val="20"/>
          <w:u w:val="single"/>
        </w:rPr>
        <w:t xml:space="preserve"> 陕西省测绘地理信息局                 </w:t>
      </w:r>
    </w:p>
    <w:p w14:paraId="71D1070B">
      <w:pPr>
        <w:adjustRightInd w:val="0"/>
        <w:snapToGrid w:val="0"/>
        <w:spacing w:line="360" w:lineRule="auto"/>
        <w:ind w:firstLine="402" w:firstLineChars="200"/>
        <w:jc w:val="left"/>
        <w:rPr>
          <w:rFonts w:ascii="仿宋" w:hAnsi="仿宋" w:eastAsia="仿宋" w:cs="仿宋"/>
          <w:sz w:val="20"/>
          <w:szCs w:val="20"/>
          <w:u w:val="single"/>
        </w:rPr>
      </w:pPr>
      <w:r>
        <w:rPr>
          <w:rFonts w:hint="eastAsia" w:ascii="仿宋" w:hAnsi="仿宋" w:eastAsia="仿宋" w:cs="仿宋"/>
          <w:b/>
          <w:sz w:val="20"/>
          <w:szCs w:val="20"/>
        </w:rPr>
        <w:t>投标人（乙方）：</w:t>
      </w:r>
      <w:r>
        <w:rPr>
          <w:rFonts w:hint="eastAsia" w:ascii="仿宋" w:hAnsi="仿宋" w:eastAsia="仿宋" w:cs="仿宋"/>
          <w:b/>
          <w:sz w:val="20"/>
          <w:szCs w:val="20"/>
          <w:u w:val="single"/>
        </w:rPr>
        <w:t xml:space="preserve">                                   </w:t>
      </w:r>
      <w:r>
        <w:rPr>
          <w:rFonts w:hint="eastAsia" w:ascii="仿宋" w:hAnsi="仿宋" w:eastAsia="仿宋" w:cs="仿宋"/>
          <w:sz w:val="20"/>
          <w:szCs w:val="20"/>
          <w:u w:val="single"/>
        </w:rPr>
        <w:t xml:space="preserve">   </w:t>
      </w:r>
    </w:p>
    <w:p w14:paraId="237492AD">
      <w:pPr>
        <w:adjustRightInd w:val="0"/>
        <w:snapToGrid w:val="0"/>
        <w:spacing w:line="360" w:lineRule="auto"/>
        <w:ind w:firstLine="400" w:firstLineChars="200"/>
        <w:jc w:val="left"/>
        <w:rPr>
          <w:rFonts w:ascii="仿宋" w:hAnsi="仿宋" w:eastAsia="仿宋" w:cs="仿宋"/>
          <w:sz w:val="20"/>
          <w:szCs w:val="20"/>
          <w:u w:val="single"/>
        </w:rPr>
      </w:pPr>
      <w:r>
        <w:rPr>
          <w:rFonts w:hint="eastAsia" w:ascii="仿宋" w:hAnsi="仿宋" w:eastAsia="仿宋" w:cs="仿宋"/>
          <w:sz w:val="20"/>
          <w:szCs w:val="20"/>
        </w:rPr>
        <w:t>根据《中华人民共和国民法典》及其他有关法律、法规，遵循平等、自愿、公平和诚信的原则，双方就下述项目范围与相关服务事项协商一致，订立本合同。</w:t>
      </w:r>
    </w:p>
    <w:p w14:paraId="4A02BB81">
      <w:pPr>
        <w:adjustRightInd w:val="0"/>
        <w:snapToGrid w:val="0"/>
        <w:spacing w:line="360" w:lineRule="auto"/>
        <w:ind w:firstLine="402" w:firstLineChars="200"/>
        <w:jc w:val="left"/>
        <w:rPr>
          <w:rFonts w:ascii="仿宋" w:hAnsi="仿宋" w:eastAsia="仿宋" w:cs="仿宋"/>
          <w:b/>
          <w:sz w:val="20"/>
          <w:szCs w:val="20"/>
        </w:rPr>
      </w:pPr>
      <w:bookmarkStart w:id="0" w:name="_Toc12273"/>
      <w:bookmarkStart w:id="1" w:name="_Toc8253"/>
      <w:bookmarkStart w:id="2" w:name="_Toc24654"/>
      <w:bookmarkStart w:id="3" w:name="_Toc3961"/>
      <w:r>
        <w:rPr>
          <w:rFonts w:hint="eastAsia" w:ascii="仿宋" w:hAnsi="仿宋" w:eastAsia="仿宋" w:cs="仿宋"/>
          <w:b/>
          <w:sz w:val="20"/>
          <w:szCs w:val="20"/>
        </w:rPr>
        <w:t>一、项目概况</w:t>
      </w:r>
      <w:bookmarkEnd w:id="0"/>
      <w:bookmarkEnd w:id="1"/>
      <w:bookmarkEnd w:id="2"/>
      <w:bookmarkEnd w:id="3"/>
    </w:p>
    <w:p w14:paraId="52372CB0">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1.项目名称：</w:t>
      </w:r>
      <w:r>
        <w:rPr>
          <w:rFonts w:hint="eastAsia" w:ascii="仿宋" w:hAnsi="仿宋" w:eastAsia="仿宋" w:cs="仿宋"/>
          <w:sz w:val="20"/>
          <w:szCs w:val="20"/>
          <w:u w:val="single"/>
        </w:rPr>
        <w:t xml:space="preserve">某重点工作动态监测项目                        </w:t>
      </w:r>
      <w:r>
        <w:rPr>
          <w:rFonts w:hint="eastAsia" w:ascii="仿宋" w:hAnsi="仿宋" w:eastAsia="仿宋" w:cs="仿宋"/>
          <w:sz w:val="20"/>
          <w:szCs w:val="20"/>
        </w:rPr>
        <w:t>；</w:t>
      </w:r>
    </w:p>
    <w:p w14:paraId="786757D2">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2.项目地点：</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314E6631">
      <w:pPr>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bookmarkStart w:id="4" w:name="_Toc20644"/>
      <w:bookmarkStart w:id="5" w:name="_Toc19765"/>
      <w:bookmarkStart w:id="6" w:name="_Toc7460"/>
      <w:bookmarkStart w:id="7" w:name="_Toc24180"/>
      <w:r>
        <w:rPr>
          <w:rFonts w:hint="eastAsia" w:ascii="仿宋" w:hAnsi="仿宋" w:eastAsia="仿宋" w:cs="仿宋"/>
          <w:b/>
          <w:color w:val="000000" w:themeColor="text1"/>
          <w:sz w:val="20"/>
          <w:szCs w:val="20"/>
          <w14:textFill>
            <w14:solidFill>
              <w14:schemeClr w14:val="tx1"/>
            </w14:solidFill>
          </w14:textFill>
        </w:rPr>
        <w:t>二、组成本合同的文件</w:t>
      </w:r>
      <w:bookmarkEnd w:id="4"/>
      <w:bookmarkEnd w:id="5"/>
      <w:bookmarkEnd w:id="6"/>
      <w:bookmarkEnd w:id="7"/>
    </w:p>
    <w:p w14:paraId="425C987C">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1.中标通知书、政府采购招投标文件、澄清函等文件；</w:t>
      </w:r>
    </w:p>
    <w:p w14:paraId="53BF7A26">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2.本合同签订后，双方依法签订的补充协议。</w:t>
      </w:r>
    </w:p>
    <w:p w14:paraId="1EC5462C">
      <w:pPr>
        <w:adjustRightInd w:val="0"/>
        <w:snapToGrid w:val="0"/>
        <w:spacing w:line="360" w:lineRule="auto"/>
        <w:ind w:firstLine="402" w:firstLineChars="200"/>
        <w:jc w:val="left"/>
        <w:rPr>
          <w:rFonts w:ascii="仿宋" w:hAnsi="仿宋" w:eastAsia="仿宋" w:cs="仿宋"/>
          <w:b/>
          <w:sz w:val="20"/>
          <w:szCs w:val="20"/>
        </w:rPr>
      </w:pPr>
      <w:bookmarkStart w:id="8" w:name="_Toc15565"/>
      <w:bookmarkStart w:id="9" w:name="_Toc20296"/>
      <w:bookmarkStart w:id="10" w:name="_Toc6332"/>
      <w:bookmarkStart w:id="11" w:name="_Toc7040"/>
      <w:r>
        <w:rPr>
          <w:rFonts w:hint="eastAsia" w:ascii="仿宋" w:hAnsi="仿宋" w:eastAsia="仿宋" w:cs="仿宋"/>
          <w:b/>
          <w:sz w:val="20"/>
          <w:szCs w:val="20"/>
        </w:rPr>
        <w:t>三、合同金额</w:t>
      </w:r>
      <w:bookmarkEnd w:id="8"/>
      <w:bookmarkEnd w:id="9"/>
      <w:bookmarkEnd w:id="10"/>
      <w:bookmarkEnd w:id="11"/>
    </w:p>
    <w:p w14:paraId="4AEA0107">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合同金额（大写）：</w:t>
      </w:r>
      <w:r>
        <w:rPr>
          <w:rFonts w:hint="eastAsia" w:ascii="仿宋" w:hAnsi="仿宋" w:eastAsia="仿宋" w:cs="仿宋"/>
          <w:sz w:val="20"/>
          <w:szCs w:val="20"/>
          <w:u w:val="single"/>
        </w:rPr>
        <w:t xml:space="preserve">                      </w:t>
      </w:r>
      <w:r>
        <w:rPr>
          <w:rFonts w:hint="eastAsia" w:ascii="仿宋" w:hAnsi="仿宋" w:eastAsia="仿宋" w:cs="仿宋"/>
          <w:sz w:val="20"/>
          <w:szCs w:val="20"/>
        </w:rPr>
        <w:t>（¥</w:t>
      </w:r>
      <w:r>
        <w:rPr>
          <w:rFonts w:hint="eastAsia" w:ascii="仿宋" w:hAnsi="仿宋" w:eastAsia="仿宋" w:cs="仿宋"/>
          <w:sz w:val="20"/>
          <w:szCs w:val="20"/>
          <w:u w:val="single"/>
        </w:rPr>
        <w:t xml:space="preserve">            元</w:t>
      </w:r>
      <w:r>
        <w:rPr>
          <w:rFonts w:hint="eastAsia" w:ascii="仿宋" w:hAnsi="仿宋" w:eastAsia="仿宋" w:cs="仿宋"/>
          <w:sz w:val="20"/>
          <w:szCs w:val="20"/>
        </w:rPr>
        <w:t>）。</w:t>
      </w:r>
    </w:p>
    <w:p w14:paraId="5BCDC8ED">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合同价格为含税价，投标人提供服务所发生的一切费用等都已包含于合同价款中。</w:t>
      </w:r>
    </w:p>
    <w:p w14:paraId="340C41B1">
      <w:pPr>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bookmarkStart w:id="12" w:name="_Toc12205"/>
      <w:bookmarkStart w:id="13" w:name="_Toc23403"/>
      <w:bookmarkStart w:id="14" w:name="_Toc25097"/>
      <w:bookmarkStart w:id="15" w:name="_Toc15258"/>
      <w:r>
        <w:rPr>
          <w:rFonts w:hint="eastAsia" w:ascii="仿宋" w:hAnsi="仿宋" w:eastAsia="仿宋" w:cs="仿宋"/>
          <w:b/>
          <w:color w:val="000000" w:themeColor="text1"/>
          <w:sz w:val="20"/>
          <w:szCs w:val="20"/>
          <w14:textFill>
            <w14:solidFill>
              <w14:schemeClr w14:val="tx1"/>
            </w14:solidFill>
          </w14:textFill>
        </w:rPr>
        <w:t>四、付款方式</w:t>
      </w:r>
      <w:bookmarkEnd w:id="12"/>
      <w:bookmarkEnd w:id="13"/>
      <w:bookmarkEnd w:id="14"/>
      <w:bookmarkEnd w:id="15"/>
    </w:p>
    <w:p w14:paraId="7529E5D9">
      <w:pPr>
        <w:adjustRightInd w:val="0"/>
        <w:snapToGrid w:val="0"/>
        <w:spacing w:line="360" w:lineRule="auto"/>
        <w:ind w:firstLine="400" w:firstLineChars="200"/>
        <w:jc w:val="left"/>
        <w:rPr>
          <w:rFonts w:ascii="仿宋" w:hAnsi="仿宋" w:eastAsia="仿宋" w:cs="仿宋"/>
          <w:sz w:val="20"/>
          <w:szCs w:val="20"/>
        </w:rPr>
      </w:pPr>
      <w:bookmarkStart w:id="16" w:name="_Toc24217"/>
      <w:bookmarkStart w:id="17" w:name="_Toc1205"/>
      <w:bookmarkStart w:id="18" w:name="_Toc10035"/>
      <w:bookmarkStart w:id="19" w:name="_Toc26843"/>
      <w:r>
        <w:rPr>
          <w:rFonts w:hint="eastAsia" w:ascii="仿宋" w:hAnsi="仿宋" w:eastAsia="仿宋" w:cs="仿宋"/>
          <w:sz w:val="20"/>
          <w:szCs w:val="20"/>
        </w:rPr>
        <w:t>（1）银行转账。</w:t>
      </w:r>
    </w:p>
    <w:p w14:paraId="4FFC285C">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（2）乙方承诺在甲方办理支付手续前，为甲方出具等额的符合国家规定的发票。</w:t>
      </w:r>
    </w:p>
    <w:p w14:paraId="28A56E15">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（3）支付约定：</w:t>
      </w:r>
    </w:p>
    <w:p w14:paraId="3D81F891">
      <w:pPr>
        <w:adjustRightInd w:val="0"/>
        <w:snapToGrid w:val="0"/>
        <w:spacing w:line="360" w:lineRule="auto"/>
        <w:ind w:firstLine="400" w:firstLineChars="200"/>
        <w:jc w:val="left"/>
        <w:rPr>
          <w:rFonts w:ascii="仿宋" w:hAnsi="仿宋" w:eastAsia="仿宋" w:cs="仿宋"/>
          <w:sz w:val="20"/>
          <w:szCs w:val="20"/>
          <w:u w:val="single"/>
        </w:rPr>
      </w:pPr>
      <w:r>
        <w:rPr>
          <w:rFonts w:hint="eastAsia" w:ascii="仿宋" w:hAnsi="仿宋" w:eastAsia="仿宋" w:cs="仿宋"/>
          <w:sz w:val="20"/>
          <w:szCs w:val="20"/>
          <w:u w:val="single"/>
        </w:rPr>
        <w:t>①合同签订后，采购方在收到中标人提供的有效发票之日起，达到付款条件起10个工作日内，支付合同总金额的 40%。</w:t>
      </w:r>
    </w:p>
    <w:p w14:paraId="1065DF83">
      <w:pPr>
        <w:adjustRightInd w:val="0"/>
        <w:snapToGrid w:val="0"/>
        <w:spacing w:line="360" w:lineRule="auto"/>
        <w:ind w:firstLine="400" w:firstLineChars="200"/>
        <w:jc w:val="left"/>
        <w:rPr>
          <w:rFonts w:ascii="仿宋" w:hAnsi="仿宋" w:eastAsia="仿宋" w:cs="仿宋"/>
          <w:sz w:val="20"/>
          <w:szCs w:val="20"/>
          <w:u w:val="single"/>
        </w:rPr>
      </w:pPr>
      <w:r>
        <w:rPr>
          <w:rFonts w:hint="eastAsia" w:ascii="仿宋" w:hAnsi="仿宋" w:eastAsia="仿宋" w:cs="仿宋"/>
          <w:sz w:val="20"/>
          <w:szCs w:val="20"/>
          <w:u w:val="single"/>
        </w:rPr>
        <w:t>②项目工作量完成60%后，采购方在收到中标人提供的有效发票之日起10个工作日内，支付合同总金额的 40%。</w:t>
      </w:r>
    </w:p>
    <w:p w14:paraId="517CAD42">
      <w:pPr>
        <w:adjustRightInd w:val="0"/>
        <w:snapToGrid w:val="0"/>
        <w:spacing w:line="360" w:lineRule="auto"/>
        <w:ind w:firstLine="400" w:firstLineChars="200"/>
        <w:jc w:val="left"/>
        <w:rPr>
          <w:rFonts w:ascii="仿宋" w:hAnsi="仿宋" w:eastAsia="仿宋" w:cs="仿宋"/>
          <w:sz w:val="20"/>
          <w:szCs w:val="20"/>
          <w:u w:val="single"/>
        </w:rPr>
      </w:pPr>
      <w:r>
        <w:rPr>
          <w:rFonts w:hint="eastAsia" w:ascii="仿宋" w:hAnsi="仿宋" w:eastAsia="仿宋" w:cs="仿宋"/>
          <w:sz w:val="20"/>
          <w:szCs w:val="20"/>
          <w:u w:val="single"/>
        </w:rPr>
        <w:t>③项目通过验收并经采购方确认后，采购方在收到中标人提供的有效发票之日起10个工作日内，支付合同总金额的20%。</w:t>
      </w:r>
    </w:p>
    <w:p w14:paraId="4B01DEEA">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（4）上述时间不包括甲方正常办理支付报批手续的时间（办理银行担保所需的手续费、担保费等全部由中标人承担）。</w:t>
      </w:r>
    </w:p>
    <w:p w14:paraId="4CAF1D41">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乙方开户行：</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 xml:space="preserve"> </w:t>
      </w:r>
    </w:p>
    <w:p w14:paraId="4BB79951">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乙方户  名：</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 xml:space="preserve"> </w:t>
      </w:r>
    </w:p>
    <w:p w14:paraId="24600558">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乙方账  号：</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 xml:space="preserve"> </w:t>
      </w:r>
    </w:p>
    <w:p w14:paraId="3DC4AE6D">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（5）履约保证金：合同签订后10个工作日内，乙方须向甲方缴纳合同金额5%的履约保证金，履约保证金以金融机构、担保机构出具的保函形式提交，保函有效期至项目验收合格后1个月。</w:t>
      </w:r>
    </w:p>
    <w:p w14:paraId="22DC2C80">
      <w:pPr>
        <w:numPr>
          <w:ilvl w:val="0"/>
          <w:numId w:val="1"/>
        </w:numPr>
        <w:adjustRightInd w:val="0"/>
        <w:snapToGrid w:val="0"/>
        <w:spacing w:line="360" w:lineRule="auto"/>
        <w:ind w:firstLine="402" w:firstLineChars="200"/>
        <w:jc w:val="left"/>
        <w:rPr>
          <w:rFonts w:ascii="仿宋" w:hAnsi="仿宋" w:eastAsia="仿宋" w:cs="仿宋"/>
          <w:b/>
          <w:sz w:val="20"/>
          <w:szCs w:val="20"/>
        </w:rPr>
      </w:pPr>
      <w:r>
        <w:rPr>
          <w:rFonts w:hint="eastAsia" w:ascii="仿宋" w:hAnsi="仿宋" w:eastAsia="仿宋" w:cs="仿宋"/>
          <w:b/>
          <w:sz w:val="20"/>
          <w:szCs w:val="20"/>
        </w:rPr>
        <w:t>服务期限</w:t>
      </w:r>
    </w:p>
    <w:bookmarkEnd w:id="16"/>
    <w:bookmarkEnd w:id="17"/>
    <w:bookmarkEnd w:id="18"/>
    <w:bookmarkEnd w:id="19"/>
    <w:p w14:paraId="29E6E500">
      <w:pPr>
        <w:adjustRightInd w:val="0"/>
        <w:snapToGrid w:val="0"/>
        <w:spacing w:line="360" w:lineRule="auto"/>
        <w:ind w:firstLine="400" w:firstLineChars="200"/>
        <w:jc w:val="left"/>
        <w:rPr>
          <w:rFonts w:ascii="仿宋" w:hAnsi="仿宋" w:eastAsia="仿宋" w:cs="仿宋"/>
          <w:color w:val="000000" w:themeColor="text1"/>
          <w:sz w:val="20"/>
          <w:szCs w:val="20"/>
          <w:u w:val="single"/>
          <w14:textFill>
            <w14:solidFill>
              <w14:schemeClr w14:val="tx1"/>
            </w14:solidFill>
          </w14:textFill>
        </w:rPr>
      </w:pPr>
      <w:r>
        <w:rPr>
          <w:rFonts w:hint="eastAsia" w:ascii="仿宋" w:hAnsi="仿宋" w:eastAsia="仿宋" w:cs="仿宋"/>
          <w:color w:val="000000" w:themeColor="text1"/>
          <w:sz w:val="20"/>
          <w:szCs w:val="20"/>
          <w:u w:val="single"/>
          <w14:textFill>
            <w14:solidFill>
              <w14:schemeClr w14:val="tx1"/>
            </w14:solidFill>
          </w14:textFill>
        </w:rPr>
        <w:t xml:space="preserve">2026年12月31日前完成  </w:t>
      </w:r>
    </w:p>
    <w:p w14:paraId="2A19D211">
      <w:pPr>
        <w:tabs>
          <w:tab w:val="left" w:pos="720"/>
          <w:tab w:val="left" w:pos="3780"/>
          <w:tab w:val="left" w:pos="6480"/>
        </w:tabs>
        <w:autoSpaceDE w:val="0"/>
        <w:autoSpaceDN w:val="0"/>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r>
        <w:rPr>
          <w:rFonts w:hint="eastAsia" w:ascii="仿宋" w:hAnsi="仿宋" w:eastAsia="仿宋" w:cs="仿宋"/>
          <w:b/>
          <w:bCs/>
          <w:sz w:val="20"/>
          <w:szCs w:val="20"/>
        </w:rPr>
        <w:t>六、</w:t>
      </w:r>
      <w:r>
        <w:rPr>
          <w:rFonts w:hint="eastAsia" w:ascii="仿宋" w:hAnsi="仿宋" w:eastAsia="仿宋" w:cs="仿宋"/>
          <w:b/>
          <w:color w:val="000000" w:themeColor="text1"/>
          <w:sz w:val="20"/>
          <w:szCs w:val="20"/>
          <w14:textFill>
            <w14:solidFill>
              <w14:schemeClr w14:val="tx1"/>
            </w14:solidFill>
          </w14:textFill>
        </w:rPr>
        <w:t>内容及要求</w:t>
      </w:r>
    </w:p>
    <w:p w14:paraId="5B99FA8F">
      <w:pPr>
        <w:pStyle w:val="2"/>
        <w:numPr>
          <w:ilvl w:val="0"/>
          <w:numId w:val="2"/>
        </w:numPr>
        <w:adjustRightInd w:val="0"/>
        <w:snapToGrid w:val="0"/>
        <w:spacing w:line="360" w:lineRule="auto"/>
        <w:ind w:left="0" w:firstLine="400"/>
        <w:jc w:val="left"/>
        <w:rPr>
          <w:rFonts w:ascii="仿宋" w:hAnsi="仿宋" w:eastAsia="仿宋" w:cs="仿宋"/>
          <w:sz w:val="20"/>
          <w:szCs w:val="20"/>
        </w:rPr>
      </w:pPr>
      <w:r>
        <w:rPr>
          <w:rFonts w:hint="eastAsia" w:ascii="仿宋" w:hAnsi="仿宋" w:eastAsia="仿宋" w:cs="仿宋"/>
          <w:sz w:val="20"/>
          <w:szCs w:val="20"/>
        </w:rPr>
        <w:t>服务人员要求</w:t>
      </w:r>
    </w:p>
    <w:p w14:paraId="7BCD02AB">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1.1 乙方应配备具有专业能力的服务人员。</w:t>
      </w:r>
    </w:p>
    <w:p w14:paraId="4632999E">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1.2 甲方有权要求乙方更换服务人员，但不能超过3人次。</w:t>
      </w:r>
    </w:p>
    <w:p w14:paraId="4351BC35">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1.3 服务过程中，乙方有权更换相同级别人员，但不能影响服务质量，且整个服务过程中，更换人次不能超过3人次。</w:t>
      </w:r>
    </w:p>
    <w:p w14:paraId="3E64DFE2">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2.转委托要求</w:t>
      </w:r>
    </w:p>
    <w:p w14:paraId="00ED4296">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未经甲方同意，乙方不得将服务的全部或部分转由第三人承担。</w:t>
      </w:r>
    </w:p>
    <w:p w14:paraId="5AED200C">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3.其他要求</w:t>
      </w:r>
    </w:p>
    <w:p w14:paraId="2C4E1D55">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3.1 乙方服务应尽量满足项目目的，甲方在履行过程中提出的要求且乙方能够达到的，乙方应予以执行。</w:t>
      </w:r>
    </w:p>
    <w:p w14:paraId="55C5934E">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3.2 除双方约定的以外，乙方的服务同时应满足法律法规要求，满足行业操作规范，达到该领域专业企业的水准。</w:t>
      </w:r>
    </w:p>
    <w:p w14:paraId="2D21CF0D">
      <w:pPr>
        <w:adjustRightInd w:val="0"/>
        <w:snapToGrid w:val="0"/>
        <w:spacing w:line="360" w:lineRule="auto"/>
        <w:ind w:firstLine="402" w:firstLineChars="200"/>
        <w:jc w:val="left"/>
        <w:rPr>
          <w:rFonts w:ascii="仿宋" w:hAnsi="仿宋" w:eastAsia="仿宋" w:cs="仿宋"/>
          <w:b/>
          <w:sz w:val="20"/>
          <w:szCs w:val="20"/>
        </w:rPr>
      </w:pPr>
      <w:bookmarkStart w:id="20" w:name="_Toc11798"/>
      <w:bookmarkStart w:id="21" w:name="_Toc14609"/>
      <w:bookmarkStart w:id="22" w:name="_Toc8837"/>
      <w:bookmarkStart w:id="23" w:name="_Toc11563"/>
      <w:r>
        <w:rPr>
          <w:rFonts w:hint="eastAsia" w:ascii="仿宋" w:hAnsi="仿宋" w:eastAsia="仿宋" w:cs="仿宋"/>
          <w:b/>
          <w:sz w:val="20"/>
          <w:szCs w:val="20"/>
        </w:rPr>
        <w:t>七、项目实施地点</w:t>
      </w:r>
      <w:bookmarkEnd w:id="20"/>
      <w:bookmarkEnd w:id="21"/>
      <w:bookmarkEnd w:id="22"/>
      <w:bookmarkEnd w:id="23"/>
    </w:p>
    <w:p w14:paraId="7D9AFE50">
      <w:pPr>
        <w:adjustRightInd w:val="0"/>
        <w:snapToGrid w:val="0"/>
        <w:spacing w:line="360" w:lineRule="auto"/>
        <w:ind w:firstLine="400" w:firstLineChars="200"/>
        <w:jc w:val="left"/>
        <w:rPr>
          <w:rFonts w:ascii="仿宋" w:hAnsi="仿宋" w:eastAsia="仿宋" w:cs="仿宋"/>
          <w:sz w:val="20"/>
          <w:szCs w:val="20"/>
          <w:u w:val="single"/>
        </w:rPr>
      </w:pPr>
      <w:bookmarkStart w:id="24" w:name="_Toc32413"/>
      <w:bookmarkStart w:id="25" w:name="_Toc3186"/>
      <w:bookmarkStart w:id="26" w:name="_Toc25637"/>
      <w:r>
        <w:rPr>
          <w:rFonts w:hint="eastAsia" w:ascii="仿宋" w:hAnsi="仿宋" w:eastAsia="仿宋" w:cs="仿宋"/>
          <w:sz w:val="20"/>
          <w:szCs w:val="20"/>
          <w:u w:val="single"/>
        </w:rPr>
        <w:t xml:space="preserve"> </w:t>
      </w:r>
      <w:bookmarkEnd w:id="24"/>
      <w:bookmarkEnd w:id="25"/>
      <w:bookmarkEnd w:id="26"/>
      <w:r>
        <w:rPr>
          <w:rFonts w:hint="eastAsia" w:ascii="仿宋" w:hAnsi="仿宋" w:eastAsia="仿宋" w:cs="仿宋"/>
          <w:sz w:val="20"/>
          <w:szCs w:val="20"/>
          <w:u w:val="single"/>
        </w:rPr>
        <w:t xml:space="preserve">    甲方指定的地点       </w:t>
      </w:r>
    </w:p>
    <w:p w14:paraId="391316CD">
      <w:pPr>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r>
        <w:rPr>
          <w:rFonts w:hint="eastAsia" w:ascii="仿宋" w:hAnsi="仿宋" w:eastAsia="仿宋" w:cs="仿宋"/>
          <w:b/>
          <w:color w:val="000000" w:themeColor="text1"/>
          <w:sz w:val="20"/>
          <w:szCs w:val="20"/>
          <w14:textFill>
            <w14:solidFill>
              <w14:schemeClr w14:val="tx1"/>
            </w14:solidFill>
          </w14:textFill>
        </w:rPr>
        <w:t>八、双方的责任义务</w:t>
      </w:r>
    </w:p>
    <w:p w14:paraId="0B237E94">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1.投标人服务内容应与招投标文件及本合同所指明的服务内容相一致，确保本项目正常交付使用，并负责后期服务。</w:t>
      </w:r>
    </w:p>
    <w:p w14:paraId="2FFE4EE5">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2.采购人应按合同约定的付款方式向投标人支付相关费用。</w:t>
      </w:r>
    </w:p>
    <w:p w14:paraId="5EAADD18">
      <w:pPr>
        <w:pStyle w:val="5"/>
        <w:adjustRightInd w:val="0"/>
        <w:snapToGrid w:val="0"/>
        <w:spacing w:beforeAutospacing="0" w:afterAutospacing="0" w:line="360" w:lineRule="auto"/>
        <w:ind w:firstLine="400" w:firstLineChars="200"/>
        <w:rPr>
          <w:rFonts w:ascii="仿宋" w:hAnsi="仿宋" w:eastAsia="仿宋" w:cs="仿宋"/>
          <w:color w:val="000000"/>
          <w:sz w:val="20"/>
        </w:rPr>
      </w:pPr>
      <w:r>
        <w:rPr>
          <w:rFonts w:hint="eastAsia" w:ascii="仿宋" w:hAnsi="仿宋" w:eastAsia="仿宋" w:cs="仿宋"/>
          <w:sz w:val="20"/>
        </w:rPr>
        <w:t>3.</w:t>
      </w:r>
      <w:r>
        <w:rPr>
          <w:rFonts w:hint="eastAsia" w:ascii="仿宋" w:hAnsi="仿宋" w:eastAsia="仿宋" w:cs="仿宋"/>
          <w:color w:val="000000"/>
          <w:sz w:val="20"/>
        </w:rPr>
        <w:t>如需乙方提供现场支持服务的，甲方应当尽合理努力为乙方提供办公场所、网络等便利条件。</w:t>
      </w:r>
    </w:p>
    <w:p w14:paraId="459A2662">
      <w:pPr>
        <w:pStyle w:val="5"/>
        <w:adjustRightInd w:val="0"/>
        <w:snapToGrid w:val="0"/>
        <w:spacing w:beforeAutospacing="0" w:afterAutospacing="0" w:line="360" w:lineRule="auto"/>
        <w:ind w:firstLine="400" w:firstLineChars="200"/>
        <w:rPr>
          <w:rFonts w:ascii="仿宋" w:hAnsi="仿宋" w:eastAsia="仿宋" w:cs="仿宋"/>
          <w:color w:val="000000"/>
          <w:sz w:val="20"/>
        </w:rPr>
      </w:pPr>
      <w:r>
        <w:rPr>
          <w:rFonts w:hint="eastAsia" w:ascii="仿宋" w:hAnsi="仿宋" w:eastAsia="仿宋" w:cs="仿宋"/>
          <w:color w:val="000000"/>
          <w:sz w:val="20"/>
        </w:rPr>
        <w:t>4.乙方确认，甲乙双方不建立劳务派遣关系或类似关系，乙方应向其员工承担用人单位的全部责任。乙方应与其员工签署劳动合同，依法缴纳社会保险，对员工承担用人单位的全部法定责任。</w:t>
      </w:r>
    </w:p>
    <w:p w14:paraId="78F96B6B">
      <w:pPr>
        <w:pStyle w:val="5"/>
        <w:adjustRightInd w:val="0"/>
        <w:snapToGrid w:val="0"/>
        <w:spacing w:beforeAutospacing="0" w:afterAutospacing="0" w:line="360" w:lineRule="auto"/>
        <w:ind w:firstLine="400" w:firstLineChars="200"/>
        <w:rPr>
          <w:rFonts w:ascii="仿宋" w:hAnsi="仿宋" w:eastAsia="仿宋" w:cs="仿宋"/>
          <w:color w:val="000000"/>
          <w:sz w:val="20"/>
        </w:rPr>
      </w:pPr>
      <w:r>
        <w:rPr>
          <w:rFonts w:hint="eastAsia" w:ascii="仿宋" w:hAnsi="仿宋" w:eastAsia="仿宋" w:cs="仿宋"/>
          <w:color w:val="000000"/>
          <w:sz w:val="20"/>
        </w:rPr>
        <w:t>5.甲方不对乙方员工承担任何用人单位或劳务派遣用工单位的责任。无论因任何原因导致甲方向乙方员工或雇员承担任何责任的，甲方有权向乙方追偿。</w:t>
      </w:r>
    </w:p>
    <w:p w14:paraId="0CE0D668">
      <w:pPr>
        <w:pStyle w:val="5"/>
        <w:adjustRightInd w:val="0"/>
        <w:snapToGrid w:val="0"/>
        <w:spacing w:beforeAutospacing="0" w:afterAutospacing="0" w:line="360" w:lineRule="auto"/>
        <w:ind w:firstLine="400" w:firstLineChars="200"/>
        <w:rPr>
          <w:rFonts w:ascii="仿宋" w:hAnsi="仿宋" w:eastAsia="仿宋" w:cs="仿宋"/>
          <w:color w:val="000000"/>
          <w:sz w:val="20"/>
        </w:rPr>
      </w:pPr>
      <w:r>
        <w:rPr>
          <w:rFonts w:hint="eastAsia" w:ascii="仿宋" w:hAnsi="仿宋" w:eastAsia="仿宋" w:cs="仿宋"/>
          <w:color w:val="000000"/>
          <w:sz w:val="20"/>
        </w:rPr>
        <w:t>6.甲乙双方不构成代理关系，乙方不得以甲方名义对外签署或发布任何文件、制度等。</w:t>
      </w:r>
    </w:p>
    <w:p w14:paraId="7D424511">
      <w:pPr>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r>
        <w:rPr>
          <w:rFonts w:hint="eastAsia" w:ascii="仿宋" w:hAnsi="仿宋" w:eastAsia="仿宋" w:cs="仿宋"/>
          <w:b/>
          <w:color w:val="000000" w:themeColor="text1"/>
          <w:sz w:val="20"/>
          <w:szCs w:val="20"/>
          <w14:textFill>
            <w14:solidFill>
              <w14:schemeClr w14:val="tx1"/>
            </w14:solidFill>
          </w14:textFill>
        </w:rPr>
        <w:t>九、验收</w:t>
      </w:r>
    </w:p>
    <w:p w14:paraId="1A3C31C6">
      <w:pPr>
        <w:pStyle w:val="2"/>
        <w:adjustRightInd w:val="0"/>
        <w:snapToGrid w:val="0"/>
        <w:spacing w:line="360" w:lineRule="auto"/>
        <w:ind w:firstLine="400"/>
        <w:jc w:val="left"/>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w:t>
      </w:r>
      <w:r>
        <w:rPr>
          <w:rFonts w:ascii="仿宋" w:hAnsi="仿宋" w:eastAsia="仿宋" w:cs="仿宋"/>
          <w:color w:val="000000" w:themeColor="text1"/>
          <w:sz w:val="20"/>
          <w:szCs w:val="20"/>
          <w14:textFill>
            <w14:solidFill>
              <w14:schemeClr w14:val="tx1"/>
            </w14:solidFill>
          </w14:textFill>
        </w:rPr>
        <w:t>.</w:t>
      </w:r>
      <w:r>
        <w:rPr>
          <w:rFonts w:hint="eastAsia" w:ascii="仿宋" w:hAnsi="仿宋" w:eastAsia="仿宋" w:cs="仿宋"/>
          <w:color w:val="000000" w:themeColor="text1"/>
          <w:sz w:val="20"/>
          <w:szCs w:val="20"/>
          <w14:textFill>
            <w14:solidFill>
              <w14:schemeClr w14:val="tx1"/>
            </w14:solidFill>
          </w14:textFill>
        </w:rPr>
        <w:t>乙方完成技术服务工作的形式：依据招标文件和甲方要求提交工作成果；</w:t>
      </w:r>
    </w:p>
    <w:p w14:paraId="3982CB79">
      <w:pPr>
        <w:pStyle w:val="2"/>
        <w:adjustRightInd w:val="0"/>
        <w:snapToGrid w:val="0"/>
        <w:spacing w:line="360" w:lineRule="auto"/>
        <w:ind w:firstLine="400"/>
        <w:jc w:val="left"/>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w:t>
      </w:r>
      <w:r>
        <w:rPr>
          <w:rFonts w:ascii="仿宋" w:hAnsi="仿宋" w:eastAsia="仿宋" w:cs="仿宋"/>
          <w:color w:val="000000" w:themeColor="text1"/>
          <w:sz w:val="20"/>
          <w:szCs w:val="20"/>
          <w14:textFill>
            <w14:solidFill>
              <w14:schemeClr w14:val="tx1"/>
            </w14:solidFill>
          </w14:textFill>
        </w:rPr>
        <w:t>.</w:t>
      </w:r>
      <w:r>
        <w:rPr>
          <w:rFonts w:hint="eastAsia" w:ascii="仿宋" w:hAnsi="仿宋" w:eastAsia="仿宋" w:cs="仿宋"/>
          <w:color w:val="000000" w:themeColor="text1"/>
          <w:sz w:val="20"/>
          <w:szCs w:val="20"/>
          <w14:textFill>
            <w14:solidFill>
              <w14:schemeClr w14:val="tx1"/>
            </w14:solidFill>
          </w14:textFill>
        </w:rPr>
        <w:t>技术服务工作成果的验收标准：依据甲方要求，符合本项目约定服务内容，并符合甲方最终成果的归档入库形式要求；</w:t>
      </w:r>
    </w:p>
    <w:p w14:paraId="49855420">
      <w:pPr>
        <w:pStyle w:val="2"/>
        <w:adjustRightInd w:val="0"/>
        <w:snapToGrid w:val="0"/>
        <w:spacing w:line="360" w:lineRule="auto"/>
        <w:ind w:firstLine="400"/>
        <w:jc w:val="left"/>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3</w:t>
      </w:r>
      <w:r>
        <w:rPr>
          <w:rFonts w:ascii="仿宋" w:hAnsi="仿宋" w:eastAsia="仿宋" w:cs="仿宋"/>
          <w:color w:val="000000" w:themeColor="text1"/>
          <w:sz w:val="20"/>
          <w:szCs w:val="20"/>
          <w14:textFill>
            <w14:solidFill>
              <w14:schemeClr w14:val="tx1"/>
            </w14:solidFill>
          </w14:textFill>
        </w:rPr>
        <w:t>.</w:t>
      </w:r>
      <w:r>
        <w:rPr>
          <w:rFonts w:hint="eastAsia" w:ascii="仿宋" w:hAnsi="仿宋" w:eastAsia="仿宋" w:cs="仿宋"/>
          <w:color w:val="000000" w:themeColor="text1"/>
          <w:sz w:val="20"/>
          <w:szCs w:val="20"/>
          <w14:textFill>
            <w14:solidFill>
              <w14:schemeClr w14:val="tx1"/>
            </w14:solidFill>
          </w14:textFill>
        </w:rPr>
        <w:t>技术服务工作成果的验收方法：由甲方组织审查验收；</w:t>
      </w:r>
    </w:p>
    <w:p w14:paraId="49CCB8FF">
      <w:pPr>
        <w:pStyle w:val="2"/>
        <w:adjustRightInd w:val="0"/>
        <w:snapToGrid w:val="0"/>
        <w:spacing w:line="360" w:lineRule="auto"/>
        <w:ind w:firstLine="400"/>
        <w:jc w:val="left"/>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4</w:t>
      </w:r>
      <w:r>
        <w:rPr>
          <w:rFonts w:ascii="仿宋" w:hAnsi="仿宋" w:eastAsia="仿宋" w:cs="仿宋"/>
          <w:color w:val="000000" w:themeColor="text1"/>
          <w:sz w:val="20"/>
          <w:szCs w:val="20"/>
          <w14:textFill>
            <w14:solidFill>
              <w14:schemeClr w14:val="tx1"/>
            </w14:solidFill>
          </w14:textFill>
        </w:rPr>
        <w:t>.</w:t>
      </w:r>
      <w:r>
        <w:rPr>
          <w:rFonts w:hint="eastAsia" w:ascii="仿宋" w:hAnsi="仿宋" w:eastAsia="仿宋" w:cs="仿宋"/>
          <w:color w:val="000000" w:themeColor="text1"/>
          <w:sz w:val="20"/>
          <w:szCs w:val="20"/>
          <w14:textFill>
            <w14:solidFill>
              <w14:schemeClr w14:val="tx1"/>
            </w14:solidFill>
          </w14:textFill>
        </w:rPr>
        <w:t>验收的时间和地点：乙方提交最终成果并配合甲方开展验收工作；验收地点为甲方指定地点。</w:t>
      </w:r>
    </w:p>
    <w:p w14:paraId="15081C40">
      <w:pPr>
        <w:adjustRightInd w:val="0"/>
        <w:snapToGrid w:val="0"/>
        <w:spacing w:line="360" w:lineRule="auto"/>
        <w:ind w:firstLine="402" w:firstLineChars="200"/>
        <w:jc w:val="left"/>
        <w:rPr>
          <w:rFonts w:ascii="仿宋" w:hAnsi="仿宋" w:eastAsia="仿宋" w:cs="仿宋"/>
          <w:b/>
          <w:sz w:val="20"/>
          <w:szCs w:val="20"/>
        </w:rPr>
      </w:pPr>
      <w:bookmarkStart w:id="27" w:name="_Toc28951"/>
      <w:bookmarkStart w:id="28" w:name="_Toc5502"/>
      <w:bookmarkStart w:id="29" w:name="_Toc10839"/>
      <w:bookmarkStart w:id="30" w:name="_Toc2016"/>
      <w:r>
        <w:rPr>
          <w:rFonts w:hint="eastAsia" w:ascii="仿宋" w:hAnsi="仿宋" w:eastAsia="仿宋" w:cs="仿宋"/>
          <w:b/>
          <w:sz w:val="20"/>
          <w:szCs w:val="20"/>
        </w:rPr>
        <w:t>十、保密</w:t>
      </w:r>
    </w:p>
    <w:p w14:paraId="4C86F232">
      <w:pPr>
        <w:tabs>
          <w:tab w:val="left" w:pos="1080"/>
        </w:tabs>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 xml:space="preserve"> 对工作中了解到的采购人的技术、机密等进行严格保密，不得向他人泄露。本合同的解除或终止不免除投标人应承担的保密义务。</w:t>
      </w:r>
    </w:p>
    <w:p w14:paraId="3658038D">
      <w:pPr>
        <w:adjustRightInd w:val="0"/>
        <w:snapToGrid w:val="0"/>
        <w:spacing w:line="360" w:lineRule="auto"/>
        <w:ind w:firstLine="402" w:firstLineChars="200"/>
        <w:jc w:val="left"/>
        <w:rPr>
          <w:rFonts w:ascii="仿宋" w:hAnsi="仿宋" w:eastAsia="仿宋" w:cs="仿宋"/>
          <w:b/>
          <w:sz w:val="20"/>
          <w:szCs w:val="20"/>
        </w:rPr>
      </w:pPr>
      <w:r>
        <w:rPr>
          <w:rFonts w:hint="eastAsia" w:ascii="仿宋" w:hAnsi="仿宋" w:eastAsia="仿宋" w:cs="仿宋"/>
          <w:b/>
          <w:sz w:val="20"/>
          <w:szCs w:val="20"/>
        </w:rPr>
        <w:t>十一、知识产权</w:t>
      </w:r>
    </w:p>
    <w:p w14:paraId="30FA0A49">
      <w:pPr>
        <w:pStyle w:val="2"/>
        <w:adjustRightInd w:val="0"/>
        <w:snapToGrid w:val="0"/>
        <w:spacing w:line="360" w:lineRule="auto"/>
        <w:ind w:firstLine="4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投标人应保证投标货物及服务不会出现因第三方提出侵犯其专利权、商标权或其它知识产权而引发法律或经济纠纷，否则由投标人承担全部责任。任何被投标人用于未经授权的商业目的行为所造成的违约或侵权责任由投标人承担。</w:t>
      </w:r>
    </w:p>
    <w:p w14:paraId="2EF83E39">
      <w:pPr>
        <w:pStyle w:val="2"/>
        <w:adjustRightInd w:val="0"/>
        <w:snapToGrid w:val="0"/>
        <w:spacing w:line="360" w:lineRule="auto"/>
        <w:ind w:firstLine="4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2、本合同履行过程中，甲方向乙方及乙方人员提供的信息、材料、技术等知识产权仍归甲方所有；本合同的签订与履行不代表甲方对乙方的知识产权转让和许可，乙方仅可出于为甲方提供服务之目的而使用。</w:t>
      </w:r>
    </w:p>
    <w:p w14:paraId="2B0B4BD3">
      <w:pPr>
        <w:tabs>
          <w:tab w:val="left" w:pos="498"/>
        </w:tabs>
        <w:adjustRightInd w:val="0"/>
        <w:snapToGrid w:val="0"/>
        <w:spacing w:line="360" w:lineRule="auto"/>
        <w:ind w:firstLine="402" w:firstLineChars="200"/>
        <w:jc w:val="left"/>
        <w:rPr>
          <w:rFonts w:ascii="仿宋" w:hAnsi="仿宋" w:eastAsia="仿宋" w:cs="仿宋"/>
          <w:b/>
          <w:sz w:val="20"/>
          <w:szCs w:val="20"/>
        </w:rPr>
      </w:pPr>
      <w:r>
        <w:rPr>
          <w:rFonts w:hint="eastAsia" w:ascii="仿宋" w:hAnsi="仿宋" w:eastAsia="仿宋" w:cs="仿宋"/>
          <w:b/>
          <w:sz w:val="20"/>
          <w:szCs w:val="20"/>
        </w:rPr>
        <w:t>十二、合同争议的解决</w:t>
      </w:r>
      <w:bookmarkEnd w:id="27"/>
      <w:bookmarkEnd w:id="28"/>
      <w:bookmarkEnd w:id="29"/>
      <w:bookmarkEnd w:id="30"/>
    </w:p>
    <w:p w14:paraId="03D601B8">
      <w:pPr>
        <w:tabs>
          <w:tab w:val="left" w:pos="498"/>
        </w:tabs>
        <w:adjustRightInd w:val="0"/>
        <w:snapToGrid w:val="0"/>
        <w:spacing w:line="360" w:lineRule="auto"/>
        <w:ind w:firstLine="400" w:firstLineChars="200"/>
        <w:jc w:val="left"/>
        <w:rPr>
          <w:rFonts w:hint="eastAsia" w:ascii="仿宋" w:hAnsi="仿宋" w:eastAsia="仿宋" w:cs="仿宋"/>
          <w:sz w:val="20"/>
          <w:szCs w:val="20"/>
        </w:rPr>
      </w:pPr>
      <w:bookmarkStart w:id="31" w:name="_Toc4195"/>
      <w:bookmarkStart w:id="32" w:name="_Toc23875"/>
      <w:bookmarkStart w:id="33" w:name="_Toc10407"/>
      <w:bookmarkStart w:id="34" w:name="_Toc30951"/>
      <w:r>
        <w:rPr>
          <w:rFonts w:hint="eastAsia" w:ascii="仿宋" w:hAnsi="仿宋" w:eastAsia="仿宋" w:cs="仿宋"/>
          <w:sz w:val="20"/>
          <w:szCs w:val="20"/>
        </w:rPr>
        <w:t xml:space="preserve">本合同履行过程中发生的任何争议，双方当事人均可通过和解或者调解解决；不愿和解、调解或者和解、调解不成的，可以选择下列第 2 种方式解决： </w:t>
      </w:r>
    </w:p>
    <w:p w14:paraId="33E43C1E">
      <w:pPr>
        <w:tabs>
          <w:tab w:val="left" w:pos="498"/>
        </w:tabs>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1</w:t>
      </w:r>
      <w:r>
        <w:rPr>
          <w:rFonts w:ascii="仿宋" w:hAnsi="仿宋" w:eastAsia="仿宋" w:cs="仿宋"/>
          <w:sz w:val="20"/>
          <w:szCs w:val="20"/>
        </w:rPr>
        <w:t>.</w:t>
      </w:r>
      <w:r>
        <w:rPr>
          <w:rFonts w:hint="eastAsia" w:ascii="仿宋" w:hAnsi="仿宋" w:eastAsia="仿宋" w:cs="仿宋"/>
          <w:sz w:val="20"/>
          <w:szCs w:val="20"/>
        </w:rPr>
        <w:t xml:space="preserve">将争议提交仲裁委员会依申请仲裁时其现行有效的仲裁规则裁决； </w:t>
      </w:r>
    </w:p>
    <w:p w14:paraId="7551BD26">
      <w:pPr>
        <w:tabs>
          <w:tab w:val="left" w:pos="498"/>
        </w:tabs>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2</w:t>
      </w:r>
      <w:r>
        <w:rPr>
          <w:rFonts w:ascii="仿宋" w:hAnsi="仿宋" w:eastAsia="仿宋" w:cs="仿宋"/>
          <w:sz w:val="20"/>
          <w:szCs w:val="20"/>
        </w:rPr>
        <w:t>.</w:t>
      </w:r>
      <w:r>
        <w:rPr>
          <w:rFonts w:hint="eastAsia" w:ascii="仿宋" w:hAnsi="仿宋" w:eastAsia="仿宋" w:cs="仿宋"/>
          <w:sz w:val="20"/>
          <w:szCs w:val="20"/>
        </w:rPr>
        <w:t>向西安市碑林区人民法院起诉。</w:t>
      </w:r>
      <w:bookmarkEnd w:id="31"/>
      <w:bookmarkEnd w:id="32"/>
      <w:bookmarkEnd w:id="33"/>
      <w:bookmarkEnd w:id="34"/>
      <w:bookmarkStart w:id="35" w:name="_Toc9278"/>
      <w:bookmarkStart w:id="36" w:name="_Toc9175"/>
      <w:bookmarkStart w:id="37" w:name="_Toc31489"/>
      <w:bookmarkStart w:id="38" w:name="_Toc8978"/>
    </w:p>
    <w:p w14:paraId="374C83CE">
      <w:pPr>
        <w:tabs>
          <w:tab w:val="left" w:pos="498"/>
        </w:tabs>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r>
        <w:rPr>
          <w:rFonts w:hint="eastAsia" w:ascii="仿宋" w:hAnsi="仿宋" w:eastAsia="仿宋" w:cs="仿宋"/>
          <w:b/>
          <w:color w:val="000000" w:themeColor="text1"/>
          <w:sz w:val="20"/>
          <w:szCs w:val="20"/>
          <w14:textFill>
            <w14:solidFill>
              <w14:schemeClr w14:val="tx1"/>
            </w14:solidFill>
          </w14:textFill>
        </w:rPr>
        <w:t>十三、不可抗力情况下的免责约定</w:t>
      </w:r>
      <w:bookmarkEnd w:id="35"/>
      <w:bookmarkEnd w:id="36"/>
      <w:bookmarkEnd w:id="37"/>
      <w:bookmarkEnd w:id="38"/>
    </w:p>
    <w:p w14:paraId="2773ABC3">
      <w:pPr>
        <w:tabs>
          <w:tab w:val="left" w:pos="498"/>
        </w:tabs>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双方约定在以下不可抗力情况下互不承担责任，共同协商解决。双方不可预见、不可避免、不可克服的客观情况，但不包括双方的违约或疏忽，这些事件包括但不限于：战争、严重火灾、洪水、台风、地震等。</w:t>
      </w:r>
    </w:p>
    <w:p w14:paraId="3E26301B">
      <w:pPr>
        <w:tabs>
          <w:tab w:val="left" w:pos="498"/>
        </w:tabs>
        <w:adjustRightInd w:val="0"/>
        <w:snapToGrid w:val="0"/>
        <w:spacing w:line="360" w:lineRule="auto"/>
        <w:ind w:firstLine="402" w:firstLineChars="200"/>
        <w:jc w:val="left"/>
        <w:rPr>
          <w:rFonts w:ascii="仿宋" w:hAnsi="仿宋" w:eastAsia="仿宋" w:cs="仿宋"/>
          <w:b/>
          <w:sz w:val="20"/>
          <w:szCs w:val="20"/>
        </w:rPr>
      </w:pPr>
      <w:r>
        <w:rPr>
          <w:rFonts w:hint="eastAsia" w:ascii="仿宋" w:hAnsi="仿宋" w:eastAsia="仿宋" w:cs="仿宋"/>
          <w:b/>
          <w:sz w:val="20"/>
          <w:szCs w:val="20"/>
        </w:rPr>
        <w:t>十四、终止合同</w:t>
      </w:r>
    </w:p>
    <w:p w14:paraId="74C3EEAB">
      <w:pPr>
        <w:adjustRightInd w:val="0"/>
        <w:snapToGrid w:val="0"/>
        <w:spacing w:line="360" w:lineRule="auto"/>
        <w:ind w:firstLine="400" w:firstLineChars="200"/>
        <w:jc w:val="left"/>
        <w:rPr>
          <w:rFonts w:ascii="仿宋" w:hAnsi="仿宋" w:eastAsia="仿宋" w:cs="仿宋"/>
          <w:sz w:val="20"/>
          <w:szCs w:val="20"/>
        </w:rPr>
      </w:pPr>
      <w:bookmarkStart w:id="39" w:name="_Toc5406"/>
      <w:bookmarkStart w:id="40" w:name="_Toc14819"/>
      <w:bookmarkStart w:id="41" w:name="_Toc21744"/>
      <w:bookmarkStart w:id="42" w:name="_Toc21549"/>
      <w:r>
        <w:rPr>
          <w:rFonts w:hint="eastAsia" w:ascii="仿宋" w:hAnsi="仿宋" w:eastAsia="仿宋" w:cs="仿宋"/>
          <w:sz w:val="20"/>
          <w:szCs w:val="20"/>
        </w:rPr>
        <w:t>除本合同约定，合同一经签订，不得擅自变更、中止或者终止合同。对确需变更、调整或者中止、终止合同的，应按规定履行相应的手续。</w:t>
      </w:r>
      <w:bookmarkEnd w:id="39"/>
      <w:bookmarkEnd w:id="40"/>
      <w:bookmarkEnd w:id="41"/>
      <w:bookmarkEnd w:id="42"/>
    </w:p>
    <w:p w14:paraId="3BE1044C">
      <w:pPr>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bookmarkStart w:id="43" w:name="_Toc9263"/>
      <w:bookmarkStart w:id="44" w:name="_Toc3221"/>
      <w:bookmarkStart w:id="45" w:name="_Toc15052"/>
      <w:bookmarkStart w:id="46" w:name="_Toc30688"/>
      <w:r>
        <w:rPr>
          <w:rFonts w:hint="eastAsia" w:ascii="仿宋" w:hAnsi="仿宋" w:eastAsia="仿宋" w:cs="仿宋"/>
          <w:b/>
          <w:color w:val="000000" w:themeColor="text1"/>
          <w:sz w:val="20"/>
          <w:szCs w:val="20"/>
          <w14:textFill>
            <w14:solidFill>
              <w14:schemeClr w14:val="tx1"/>
            </w14:solidFill>
          </w14:textFill>
        </w:rPr>
        <w:t>十五、违约责任</w:t>
      </w:r>
      <w:bookmarkEnd w:id="43"/>
      <w:bookmarkEnd w:id="44"/>
      <w:bookmarkEnd w:id="45"/>
      <w:bookmarkEnd w:id="46"/>
    </w:p>
    <w:p w14:paraId="061EAB50">
      <w:pPr>
        <w:adjustRightInd w:val="0"/>
        <w:snapToGrid w:val="0"/>
        <w:spacing w:line="360" w:lineRule="auto"/>
        <w:ind w:firstLine="400" w:firstLineChars="200"/>
        <w:jc w:val="left"/>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w:t>
      </w:r>
      <w:r>
        <w:rPr>
          <w:rFonts w:ascii="仿宋" w:hAnsi="仿宋" w:eastAsia="仿宋" w:cs="仿宋"/>
          <w:color w:val="000000" w:themeColor="text1"/>
          <w:sz w:val="20"/>
          <w:szCs w:val="20"/>
          <w14:textFill>
            <w14:solidFill>
              <w14:schemeClr w14:val="tx1"/>
            </w14:solidFill>
          </w14:textFill>
        </w:rPr>
        <w:t>.</w:t>
      </w:r>
      <w:r>
        <w:rPr>
          <w:rFonts w:hint="eastAsia" w:ascii="仿宋" w:hAnsi="仿宋" w:eastAsia="仿宋" w:cs="仿宋"/>
          <w:color w:val="000000" w:themeColor="text1"/>
          <w:sz w:val="20"/>
          <w:szCs w:val="20"/>
          <w14:textFill>
            <w14:solidFill>
              <w14:schemeClr w14:val="tx1"/>
            </w14:solidFill>
          </w14:textFill>
        </w:rPr>
        <w:t xml:space="preserve">除不可抗力外，如果乙方没有按照本合同约定的期限、地点和方式履行，那么甲方可要求乙方支付违约金，违约金按每迟延履行一日的应提供而未提供服务价格的 0.5 %计算，最高限额为本合同总价的 20 %；迟延履行的违约金计算数额达到前述最高限额之日起，甲方有权在要求乙方支付违约金的同时，书面通知乙方解除本合同。 </w:t>
      </w:r>
    </w:p>
    <w:p w14:paraId="7722F33B">
      <w:pPr>
        <w:adjustRightInd w:val="0"/>
        <w:snapToGrid w:val="0"/>
        <w:spacing w:line="360" w:lineRule="auto"/>
        <w:ind w:firstLine="400" w:firstLineChars="200"/>
        <w:jc w:val="left"/>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w:t>
      </w:r>
      <w:r>
        <w:rPr>
          <w:rFonts w:ascii="仿宋" w:hAnsi="仿宋" w:eastAsia="仿宋" w:cs="仿宋"/>
          <w:color w:val="000000" w:themeColor="text1"/>
          <w:sz w:val="20"/>
          <w:szCs w:val="20"/>
          <w14:textFill>
            <w14:solidFill>
              <w14:schemeClr w14:val="tx1"/>
            </w14:solidFill>
          </w14:textFill>
        </w:rPr>
        <w:t>.</w:t>
      </w:r>
      <w:r>
        <w:rPr>
          <w:rFonts w:hint="eastAsia" w:ascii="仿宋" w:hAnsi="仿宋" w:eastAsia="仿宋" w:cs="仿宋"/>
          <w:color w:val="000000" w:themeColor="text1"/>
          <w:sz w:val="20"/>
          <w:szCs w:val="20"/>
          <w14:textFill>
            <w14:solidFill>
              <w14:schemeClr w14:val="tx1"/>
            </w14:solidFill>
          </w14:textFill>
        </w:rPr>
        <w:t xml:space="preserve">除不可抗力外，如果甲方没有按照本合同约定的付款方式付款，那么乙方可要求甲方支付违约金，违约金按每迟延付款一日的应付而未付款的 0.5 % 计算，最高限额为本合同总价的 20 %；迟延付款的违约金计算数额达到前述最高限额之日起，有权在要求甲方支付违约金的同时，书面通知甲方解除本合同。 </w:t>
      </w:r>
    </w:p>
    <w:p w14:paraId="6C9BA948">
      <w:pPr>
        <w:adjustRightInd w:val="0"/>
        <w:snapToGrid w:val="0"/>
        <w:spacing w:line="360" w:lineRule="auto"/>
        <w:ind w:firstLine="400" w:firstLineChars="200"/>
        <w:jc w:val="left"/>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3</w:t>
      </w:r>
      <w:r>
        <w:rPr>
          <w:rFonts w:ascii="仿宋" w:hAnsi="仿宋" w:eastAsia="仿宋" w:cs="仿宋"/>
          <w:color w:val="000000" w:themeColor="text1"/>
          <w:sz w:val="20"/>
          <w:szCs w:val="20"/>
          <w14:textFill>
            <w14:solidFill>
              <w14:schemeClr w14:val="tx1"/>
            </w14:solidFill>
          </w14:textFill>
        </w:rPr>
        <w:t>.</w:t>
      </w:r>
      <w:r>
        <w:rPr>
          <w:rFonts w:hint="eastAsia" w:ascii="仿宋" w:hAnsi="仿宋" w:eastAsia="仿宋" w:cs="仿宋"/>
          <w:color w:val="000000" w:themeColor="text1"/>
          <w:sz w:val="20"/>
          <w:szCs w:val="20"/>
          <w14:textFill>
            <w14:solidFill>
              <w14:schemeClr w14:val="tx1"/>
            </w14:solidFill>
          </w14:textFill>
        </w:rPr>
        <w:t xml:space="preserve">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 </w:t>
      </w:r>
    </w:p>
    <w:p w14:paraId="0F1CFEED">
      <w:pPr>
        <w:adjustRightInd w:val="0"/>
        <w:snapToGrid w:val="0"/>
        <w:spacing w:line="360" w:lineRule="auto"/>
        <w:ind w:firstLine="400" w:firstLineChars="200"/>
        <w:jc w:val="left"/>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4</w:t>
      </w:r>
      <w:r>
        <w:rPr>
          <w:rFonts w:ascii="仿宋" w:hAnsi="仿宋" w:eastAsia="仿宋" w:cs="仿宋"/>
          <w:color w:val="000000" w:themeColor="text1"/>
          <w:sz w:val="20"/>
          <w:szCs w:val="20"/>
          <w14:textFill>
            <w14:solidFill>
              <w14:schemeClr w14:val="tx1"/>
            </w14:solidFill>
          </w14:textFill>
        </w:rPr>
        <w:t>.</w:t>
      </w:r>
      <w:r>
        <w:rPr>
          <w:rFonts w:hint="eastAsia" w:ascii="仿宋" w:hAnsi="仿宋" w:eastAsia="仿宋" w:cs="仿宋"/>
          <w:color w:val="000000" w:themeColor="text1"/>
          <w:sz w:val="20"/>
          <w:szCs w:val="20"/>
          <w14:textFill>
            <w14:solidFill>
              <w14:schemeClr w14:val="tx1"/>
            </w14:solidFill>
          </w14:textFill>
        </w:rPr>
        <w:t xml:space="preserve">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 </w:t>
      </w:r>
    </w:p>
    <w:p w14:paraId="12CF4B74">
      <w:pPr>
        <w:adjustRightInd w:val="0"/>
        <w:snapToGrid w:val="0"/>
        <w:spacing w:line="360" w:lineRule="auto"/>
        <w:ind w:firstLine="400" w:firstLineChars="200"/>
        <w:jc w:val="left"/>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5</w:t>
      </w:r>
      <w:r>
        <w:rPr>
          <w:rFonts w:ascii="仿宋" w:hAnsi="仿宋" w:eastAsia="仿宋" w:cs="仿宋"/>
          <w:color w:val="000000" w:themeColor="text1"/>
          <w:sz w:val="20"/>
          <w:szCs w:val="20"/>
          <w14:textFill>
            <w14:solidFill>
              <w14:schemeClr w14:val="tx1"/>
            </w14:solidFill>
          </w14:textFill>
        </w:rPr>
        <w:t>.</w:t>
      </w:r>
      <w:r>
        <w:rPr>
          <w:rFonts w:hint="eastAsia" w:ascii="仿宋" w:hAnsi="仿宋" w:eastAsia="仿宋" w:cs="仿宋"/>
          <w:color w:val="000000" w:themeColor="text1"/>
          <w:sz w:val="20"/>
          <w:szCs w:val="20"/>
          <w14:textFill>
            <w14:solidFill>
              <w14:schemeClr w14:val="tx1"/>
            </w14:solidFill>
          </w14:textFill>
        </w:rPr>
        <w:t xml:space="preserve">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 </w:t>
      </w:r>
    </w:p>
    <w:p w14:paraId="51614757">
      <w:pPr>
        <w:adjustRightInd w:val="0"/>
        <w:snapToGrid w:val="0"/>
        <w:spacing w:line="360" w:lineRule="auto"/>
        <w:ind w:firstLine="400" w:firstLineChars="200"/>
        <w:jc w:val="left"/>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6</w:t>
      </w:r>
      <w:r>
        <w:rPr>
          <w:rFonts w:ascii="仿宋" w:hAnsi="仿宋" w:eastAsia="仿宋" w:cs="仿宋"/>
          <w:color w:val="000000" w:themeColor="text1"/>
          <w:sz w:val="20"/>
          <w:szCs w:val="20"/>
          <w14:textFill>
            <w14:solidFill>
              <w14:schemeClr w14:val="tx1"/>
            </w14:solidFill>
          </w14:textFill>
        </w:rPr>
        <w:t>.</w:t>
      </w:r>
      <w:r>
        <w:rPr>
          <w:rFonts w:hint="eastAsia" w:ascii="仿宋" w:hAnsi="仿宋" w:eastAsia="仿宋" w:cs="仿宋"/>
          <w:color w:val="000000" w:themeColor="text1"/>
          <w:sz w:val="20"/>
          <w:szCs w:val="20"/>
          <w14:textFill>
            <w14:solidFill>
              <w14:schemeClr w14:val="tx1"/>
            </w14:solidFill>
          </w14:textFill>
        </w:rPr>
        <w:t xml:space="preserve">如果出现政府采购监督管理部门在处理投诉事项期间，书面通知甲方暂停采购活动的情形，或者询问或质疑事项可能影响中标结果的，导致甲方中止履行合同的情形，均不视为甲方违约。 </w:t>
      </w:r>
    </w:p>
    <w:p w14:paraId="224D1737">
      <w:pPr>
        <w:adjustRightInd w:val="0"/>
        <w:snapToGrid w:val="0"/>
        <w:spacing w:line="360" w:lineRule="auto"/>
        <w:ind w:firstLine="400" w:firstLineChars="200"/>
        <w:jc w:val="left"/>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7</w:t>
      </w:r>
      <w:r>
        <w:rPr>
          <w:rFonts w:ascii="仿宋" w:hAnsi="仿宋" w:eastAsia="仿宋" w:cs="仿宋"/>
          <w:color w:val="000000" w:themeColor="text1"/>
          <w:sz w:val="20"/>
          <w:szCs w:val="20"/>
          <w14:textFill>
            <w14:solidFill>
              <w14:schemeClr w14:val="tx1"/>
            </w14:solidFill>
          </w14:textFill>
        </w:rPr>
        <w:t>.</w:t>
      </w:r>
      <w:r>
        <w:rPr>
          <w:rFonts w:hint="eastAsia" w:ascii="仿宋" w:hAnsi="仿宋" w:eastAsia="仿宋" w:cs="仿宋"/>
          <w:color w:val="000000" w:themeColor="text1"/>
          <w:sz w:val="20"/>
          <w:szCs w:val="20"/>
          <w14:textFill>
            <w14:solidFill>
              <w14:schemeClr w14:val="tx1"/>
            </w14:solidFill>
          </w14:textFill>
        </w:rPr>
        <w:t>因甲方未按合同约定支付价款、未按合同约定受领标的物、擅自解除合同导致乙方遭受的直接损失，乙方可向甲方申请赔偿，赔偿金额由双方协商一致；针对因政策变化等原因不能签订合同或解除合同时，造成乙方合法利益受损的情形，可以给予乙方合理补偿，补偿金额不得超过乙方的直接损失。</w:t>
      </w:r>
    </w:p>
    <w:p w14:paraId="410C7E5E">
      <w:pPr>
        <w:adjustRightInd w:val="0"/>
        <w:snapToGrid w:val="0"/>
        <w:spacing w:line="360" w:lineRule="auto"/>
        <w:ind w:firstLine="402" w:firstLineChars="200"/>
        <w:jc w:val="left"/>
        <w:rPr>
          <w:rFonts w:ascii="仿宋" w:hAnsi="仿宋" w:eastAsia="仿宋" w:cs="仿宋"/>
          <w:b/>
          <w:bCs/>
          <w:sz w:val="20"/>
          <w:szCs w:val="20"/>
        </w:rPr>
      </w:pPr>
      <w:r>
        <w:rPr>
          <w:rFonts w:hint="eastAsia" w:ascii="仿宋" w:hAnsi="仿宋" w:eastAsia="仿宋" w:cs="仿宋"/>
          <w:b/>
          <w:bCs/>
          <w:color w:val="000000"/>
          <w:sz w:val="20"/>
          <w:szCs w:val="20"/>
        </w:rPr>
        <w:t>十六、</w:t>
      </w:r>
      <w:r>
        <w:rPr>
          <w:rFonts w:hint="eastAsia" w:ascii="仿宋" w:hAnsi="仿宋" w:eastAsia="仿宋" w:cs="仿宋"/>
          <w:b/>
          <w:bCs/>
          <w:sz w:val="20"/>
          <w:szCs w:val="20"/>
        </w:rPr>
        <w:t>反商业贿赂</w:t>
      </w:r>
    </w:p>
    <w:p w14:paraId="0C9D1F88">
      <w:pPr>
        <w:pStyle w:val="5"/>
        <w:adjustRightInd w:val="0"/>
        <w:snapToGrid w:val="0"/>
        <w:spacing w:beforeAutospacing="0" w:afterAutospacing="0" w:line="360" w:lineRule="auto"/>
        <w:ind w:firstLine="400" w:firstLineChars="200"/>
        <w:rPr>
          <w:rFonts w:ascii="仿宋" w:hAnsi="仿宋" w:eastAsia="仿宋" w:cs="仿宋"/>
          <w:color w:val="000000"/>
          <w:sz w:val="20"/>
        </w:rPr>
      </w:pPr>
      <w:r>
        <w:rPr>
          <w:rFonts w:hint="eastAsia" w:ascii="仿宋" w:hAnsi="仿宋" w:eastAsia="仿宋" w:cs="仿宋"/>
          <w:color w:val="000000"/>
          <w:sz w:val="20"/>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17159E8E">
      <w:pPr>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bookmarkStart w:id="47" w:name="_Toc30221"/>
      <w:bookmarkStart w:id="48" w:name="_Toc18504"/>
      <w:bookmarkStart w:id="49" w:name="_Toc22900"/>
      <w:bookmarkStart w:id="50" w:name="_Toc17133"/>
      <w:r>
        <w:rPr>
          <w:rFonts w:hint="eastAsia" w:ascii="仿宋" w:hAnsi="仿宋" w:eastAsia="仿宋" w:cs="仿宋"/>
          <w:b/>
          <w:color w:val="000000" w:themeColor="text1"/>
          <w:sz w:val="20"/>
          <w:szCs w:val="20"/>
          <w14:textFill>
            <w14:solidFill>
              <w14:schemeClr w14:val="tx1"/>
            </w14:solidFill>
          </w14:textFill>
        </w:rPr>
        <w:t>十七、</w:t>
      </w:r>
      <w:bookmarkEnd w:id="47"/>
      <w:bookmarkEnd w:id="48"/>
      <w:bookmarkEnd w:id="49"/>
      <w:bookmarkEnd w:id="50"/>
      <w:r>
        <w:rPr>
          <w:rFonts w:hint="eastAsia" w:ascii="仿宋" w:hAnsi="仿宋" w:eastAsia="仿宋" w:cs="仿宋"/>
          <w:b/>
          <w:color w:val="000000" w:themeColor="text1"/>
          <w:sz w:val="20"/>
          <w:szCs w:val="20"/>
          <w14:textFill>
            <w14:solidFill>
              <w14:schemeClr w14:val="tx1"/>
            </w14:solidFill>
          </w14:textFill>
        </w:rPr>
        <w:t>其他</w:t>
      </w:r>
    </w:p>
    <w:p w14:paraId="60BDB9C9">
      <w:pPr>
        <w:tabs>
          <w:tab w:val="left" w:pos="980"/>
        </w:tabs>
        <w:kinsoku w:val="0"/>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1.本合同签订时同步签订保密协议,详见附件。附件是本合同的一部分，具有与本合同同等的法律效力。</w:t>
      </w:r>
    </w:p>
    <w:p w14:paraId="31274F94">
      <w:pPr>
        <w:tabs>
          <w:tab w:val="left" w:pos="980"/>
        </w:tabs>
        <w:kinsoku w:val="0"/>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2.本合同一式</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份，具有同等法律效力，双方各执</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份，监管部门备案壹份、采购代理机构存档壹份。各方签字盖章后生效。</w:t>
      </w:r>
    </w:p>
    <w:p w14:paraId="59EE33EF">
      <w:pPr>
        <w:adjustRightInd w:val="0"/>
        <w:snapToGrid w:val="0"/>
        <w:spacing w:line="360" w:lineRule="auto"/>
        <w:ind w:firstLine="400" w:firstLineChars="200"/>
        <w:jc w:val="left"/>
        <w:rPr>
          <w:rFonts w:ascii="仿宋" w:hAnsi="仿宋" w:eastAsia="仿宋" w:cs="仿宋"/>
          <w:sz w:val="20"/>
          <w:szCs w:val="20"/>
        </w:rPr>
      </w:pPr>
    </w:p>
    <w:p w14:paraId="624D6083">
      <w:pPr>
        <w:adjustRightInd w:val="0"/>
        <w:snapToGrid w:val="0"/>
        <w:spacing w:line="360" w:lineRule="auto"/>
        <w:ind w:firstLine="400" w:firstLineChars="200"/>
        <w:jc w:val="left"/>
        <w:rPr>
          <w:rFonts w:ascii="仿宋" w:hAnsi="仿宋" w:eastAsia="仿宋" w:cs="仿宋"/>
          <w:sz w:val="20"/>
          <w:szCs w:val="20"/>
        </w:rPr>
      </w:pPr>
    </w:p>
    <w:p w14:paraId="1F02E9D9">
      <w:pPr>
        <w:adjustRightInd w:val="0"/>
        <w:snapToGrid w:val="0"/>
        <w:spacing w:line="360" w:lineRule="auto"/>
        <w:ind w:firstLine="400" w:firstLineChars="200"/>
        <w:jc w:val="left"/>
        <w:rPr>
          <w:rFonts w:ascii="仿宋" w:hAnsi="仿宋" w:eastAsia="仿宋" w:cs="仿宋"/>
          <w:sz w:val="20"/>
          <w:szCs w:val="20"/>
          <w:u w:val="single"/>
        </w:rPr>
      </w:pPr>
      <w:r>
        <w:rPr>
          <w:rFonts w:hint="eastAsia" w:ascii="仿宋" w:hAnsi="仿宋" w:eastAsia="仿宋" w:cs="仿宋"/>
          <w:sz w:val="20"/>
          <w:szCs w:val="20"/>
        </w:rPr>
        <w:t>采购人（甲方）：</w:t>
      </w:r>
      <w:r>
        <w:rPr>
          <w:rFonts w:hint="eastAsia" w:ascii="仿宋" w:hAnsi="仿宋" w:eastAsia="仿宋" w:cs="仿宋"/>
          <w:sz w:val="20"/>
          <w:szCs w:val="20"/>
          <w:u w:val="single"/>
        </w:rPr>
        <w:t xml:space="preserve">   （盖章）       </w:t>
      </w:r>
      <w:r>
        <w:rPr>
          <w:rFonts w:hint="eastAsia" w:ascii="仿宋" w:hAnsi="仿宋" w:eastAsia="仿宋" w:cs="仿宋"/>
          <w:sz w:val="20"/>
          <w:szCs w:val="20"/>
        </w:rPr>
        <w:t xml:space="preserve">       投标人（乙方）：</w:t>
      </w:r>
      <w:r>
        <w:rPr>
          <w:rFonts w:hint="eastAsia" w:ascii="仿宋" w:hAnsi="仿宋" w:eastAsia="仿宋" w:cs="仿宋"/>
          <w:sz w:val="20"/>
          <w:szCs w:val="20"/>
          <w:u w:val="single"/>
        </w:rPr>
        <w:t xml:space="preserve">   （盖章）         </w:t>
      </w:r>
    </w:p>
    <w:p w14:paraId="153B468F">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 xml:space="preserve">地址： </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地址：</w:t>
      </w:r>
      <w:r>
        <w:rPr>
          <w:rFonts w:hint="eastAsia" w:ascii="仿宋" w:hAnsi="仿宋" w:eastAsia="仿宋" w:cs="仿宋"/>
          <w:sz w:val="20"/>
          <w:szCs w:val="20"/>
          <w:u w:val="single"/>
        </w:rPr>
        <w:t xml:space="preserve">                   </w:t>
      </w:r>
    </w:p>
    <w:p w14:paraId="61AA4258">
      <w:pPr>
        <w:adjustRightInd w:val="0"/>
        <w:snapToGrid w:val="0"/>
        <w:spacing w:line="360" w:lineRule="auto"/>
        <w:ind w:firstLine="400" w:firstLineChars="200"/>
        <w:jc w:val="left"/>
        <w:rPr>
          <w:rFonts w:ascii="仿宋" w:hAnsi="仿宋" w:eastAsia="仿宋" w:cs="仿宋"/>
          <w:b/>
          <w:bCs/>
          <w:sz w:val="20"/>
          <w:szCs w:val="20"/>
        </w:rPr>
      </w:pPr>
      <w:r>
        <w:rPr>
          <w:rFonts w:hint="eastAsia" w:ascii="仿宋" w:hAnsi="仿宋" w:eastAsia="仿宋" w:cs="仿宋"/>
          <w:sz w:val="20"/>
          <w:szCs w:val="20"/>
        </w:rPr>
        <w:t>法定代表人或                             法定代表人或</w:t>
      </w:r>
    </w:p>
    <w:p w14:paraId="04A1B44A">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其授权的代理人                           其授权的代理人</w:t>
      </w:r>
    </w:p>
    <w:p w14:paraId="05C31EFC">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 xml:space="preserve">（签字或盖章）： </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（签字或盖章）：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04BD480D">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 xml:space="preserve">订立时间： </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             订立时间：</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日 </w:t>
      </w:r>
    </w:p>
    <w:p w14:paraId="323B644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6335F"/>
    <w:multiLevelType w:val="singleLevel"/>
    <w:tmpl w:val="B606335F"/>
    <w:lvl w:ilvl="0" w:tentative="0">
      <w:start w:val="5"/>
      <w:numFmt w:val="chineseCounting"/>
      <w:suff w:val="nothing"/>
      <w:lvlText w:val="%1、"/>
      <w:lvlJc w:val="left"/>
      <w:rPr>
        <w:rFonts w:hint="eastAsia"/>
      </w:rPr>
    </w:lvl>
  </w:abstractNum>
  <w:abstractNum w:abstractNumId="1">
    <w:nsid w:val="61562F56"/>
    <w:multiLevelType w:val="singleLevel"/>
    <w:tmpl w:val="61562F56"/>
    <w:lvl w:ilvl="0" w:tentative="0">
      <w:start w:val="1"/>
      <w:numFmt w:val="decimal"/>
      <w:suff w:val="nothing"/>
      <w:lvlText w:val="%1．"/>
      <w:lvlJc w:val="left"/>
      <w:pPr>
        <w:ind w:left="705"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BC6DE8"/>
    <w:rsid w:val="09BC6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qFormat/>
    <w:uiPriority w:val="0"/>
    <w:rPr>
      <w:color w:val="993300"/>
      <w:sz w:val="24"/>
    </w:rPr>
  </w:style>
  <w:style w:type="paragraph" w:styleId="5">
    <w:name w:val="Normal (Web)"/>
    <w:basedOn w:val="1"/>
    <w:qFormat/>
    <w:uiPriority w:val="99"/>
    <w:pPr>
      <w:widowControl/>
      <w:spacing w:before="100" w:beforeAutospacing="1" w:after="100" w:afterAutospacing="1"/>
      <w:jc w:val="left"/>
    </w:pPr>
    <w:rPr>
      <w:rFonts w:eastAsiaTheme="minorEastAsia"/>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2026-07-28T04:58:00Z</dcterms:created>
  <dc:creator>德仁招标</dc:creator>
  <cp:lastModifiedBy>德仁招标</cp:lastModifiedBy>
  <dcterms:modified xsi:type="dcterms:W3CDTF">2026-07-28T04:58:32Z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A9C2A5F6B8D14B0BA5AF6C63D919DE13_11</vt:lpwstr>
  </property>
  <property fmtid="{D5CDD505-2E9C-101B-9397-08002B2CF9AE}" pid="4" name="KSOTemplateDocerSaveRecord">
    <vt:lpwstr>eyJoZGlkIjoiNzNmNDZlOGE4YzBiODhkNTY3NTdiYjNiMTljZmEwZTciLCJ1c2VySWQiOiIyNzQ5OTcwMTQifQ==</vt:lpwstr>
  </property>
</Properties>
</file>