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版本号：SZT2026-SN-SC-ZC-HW-038220260729001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中药饮片采购项目（第二批）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SZT2026-SN-SC-ZC-HW-0382</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中药饮片采购项目（第二批）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SZT2026-SN-SC-ZC-HW-0382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中药饮片采购项目（第二批）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白茅根、白头翁等中药饮片采购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1、授权委托书：供应商应授权合法的人员参加投标，其中法定代表人直接参加投标的，须出具法定代表人身份证，并与营业执照上信息一致。法定代表人授权代表参加投标的，须出具法定代表人授权书；</w:t>
      </w:r>
    </w:p>
    <w:p>
      <w:pPr>
        <w:pStyle w:val="null3"/>
      </w:pPr>
      <w:r>
        <w:rPr>
          <w:rFonts w:ascii="仿宋_GB2312" w:hAnsi="仿宋_GB2312" w:cs="仿宋_GB2312" w:eastAsia="仿宋_GB2312"/>
        </w:rPr>
        <w:t>2、企业资质：供应商为代理商的需提供有效的《药品经营许可证》（如为毒性饮片，经营范围须包含医疗用毒性药品）及药品生产厂家的《药品生产许可证》（如为毒性饮片，生产范围须包括中药饮片（含毒性饮片））；供应商为生产厂家的需提供有效的《药品生产许可证》（如为毒性饮片，生产范围须包括中药饮片（含毒性饮片））；如为实施批准文号管理的中药饮片须提供该品种的注册批件；如涉及野生保护药材（如酒乌梢蛇），须提供合法来源证明（如林业部门批文）；</w:t>
      </w:r>
    </w:p>
    <w:p>
      <w:pPr>
        <w:pStyle w:val="null3"/>
      </w:pPr>
      <w:r>
        <w:rPr>
          <w:rFonts w:ascii="仿宋_GB2312" w:hAnsi="仿宋_GB2312" w:cs="仿宋_GB2312" w:eastAsia="仿宋_GB2312"/>
        </w:rPr>
        <w:t>3、本项目不接受联合体投标：本项目不接受联合体投标，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陕西中医药大学第二附属医院经办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西安市⾼新四路1号⾼科⼴场A座10楼1001室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王馨、李⽂俊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采购包1：11,582,916.00元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代理服务费收费标准：按照国家计委颁布的《招标代理服务收费管理暂行办法》（计价格[2002]1980号）规定的招标代理服务收费标准，按照预算金额差额定率累进法下浮50%计算收取。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符合国家现行的相关标准及招标文件功能要求。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联系电话：029-87304306-856</w:t>
      </w:r>
    </w:p>
    <w:p>
      <w:pPr>
        <w:pStyle w:val="null3"/>
      </w:pPr>
      <w:r>
        <w:rPr>
          <w:rFonts w:ascii="仿宋_GB2312" w:hAnsi="仿宋_GB2312" w:cs="仿宋_GB2312" w:eastAsia="仿宋_GB2312"/>
        </w:rPr>
        <w:t>地址：西安市⾼新四路1号⾼科⼴场A座10楼1001室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对中药饮片采购项目（第二批）采购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11,582,916.00</w:t>
      </w:r>
    </w:p>
    <w:p>
      <w:pPr>
        <w:pStyle w:val="null3"/>
      </w:pPr>
      <w:r>
        <w:rPr>
          <w:rFonts w:ascii="仿宋_GB2312" w:hAnsi="仿宋_GB2312" w:cs="仿宋_GB2312" w:eastAsia="仿宋_GB2312"/>
        </w:rPr>
        <w:t>采购包最高限价（元）: 11,582,916.00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中药饮片采购项目（第二批）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11,582,916.00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标的名称：中药饮片采购项目（第二批）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70"/>
              <w:gridCol w:w="253"/>
              <w:gridCol w:w="451"/>
              <w:gridCol w:w="608"/>
              <w:gridCol w:w="551"/>
              <w:gridCol w:w="270"/>
              <w:gridCol w:w="270"/>
              <w:gridCol w:w="504"/>
            </w:tblGrid>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序号</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提供样品</w:t>
                  </w: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产品名称</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技术标准</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配置要求</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规格</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预估用量（kg）</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单价最高限价（元/kg）</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白茅根</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圆柱形的段，外表皮黄白色，可见淡棕色稍隆起的节，气微，味微甜。</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605</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白头翁</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片，直径&gt;5mm,外表皮黄棕色或棕褐色，皮 部环状裂隙、木部蛛网状纹理，近根头部有白 色绒毛，切面多有裂隙。</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118</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369</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板蓝根</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厚片，直径≥6mm，切面皮部黄白色，木部黄色，气微，味微甜后苦涩。</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448</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提供</w:t>
                  </w: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北柴胡</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厚片，直径3～8mm，外皮极薄，木部占多大部分，有多个环纹，气微香。</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5474</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235</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提供</w:t>
                  </w: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酒苁蓉</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厚片，直径≥20mm，表面黑棕色，质柔润，略有酒香气，味甜，微苦。</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1600</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187</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北沙参</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短段，直径&gt;8mm,表面淡黄白色，木部之外 有一层较宽的深色环。</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2188</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提供</w:t>
                  </w: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赤芍</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厚片，直径≥8mm，有裂隙，无空心。</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4106</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186</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穿破石</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省级地方炮制规范及中药饮片标准</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片状,断面淡黄色,气微味淡.</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90</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穿山龙</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厚片。外表皮黄白色或棕黄色，切面白色或黄白色，有淡棕色的点状维管束。气微。味苦涩。</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393</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醋北柴胡</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厚片，直径3～8mm，表面淡棕黄色，微有醋香气。</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2360</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225</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提供</w:t>
                  </w: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醋莪术</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广西，浙江；厚片，直径≥20mm，切面棕褐色，角质样，略有醋香气。</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2918</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醋香附</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不规则厚片，表皮棕褐色，可见环节，切面白色或黄棕色，质硬，有醋香气，直径≥6mm。</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4015</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地榆</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厚片，直径≥10mm，质硬，切面黄棕色，木部呈放射状排列。</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464</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地榆炭</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厚片，表面焦黑色、内部棕褐色，过孔径4mm筛。</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209</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独活</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薄片，直径&gt;18mm,切面皮部灰白色至灰褐色， 木部灰黄色至黄棕色，有特异香气.</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692</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提供</w:t>
                  </w: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防风</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厚片，直径≥8mm，外表皮淡黄色至棕褐色，有纵皱纹，切面皮部淡黄色至棕色，有裂隙，气特异。</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2463</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450</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防己</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厚片。直径＞2.5cm,外表皮淡灰黄色至灰褐色。切面灰白色至灰黄色，粉性，气微，味苦。</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223</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255</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提供</w:t>
                  </w: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麸炒白术</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浙江；厚片，直径≥20mm，切面黄棕色、有裂隙，偶见焦斑，略有焦香气。</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11857</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245</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麸炒苍术</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厚片，表面深黄色，断面朱砂点明显，有焦香气，直径＞10mm。</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2738</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263</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麸炒山药</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河南；选货，厚片，直径≥1.5cm</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7298</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干姜</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厚片，切面可见较多的纵向纤维，有的呈毛状 断面纤维性，气香特异，味辛辣，过孔径6mm 筛。</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1734</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高良姜</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薄片，直径&gt;10mm,切面灰棕色至红棕色，中 心圆形，约占1/3,气香，味辛辣</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337</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藁本片</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厚片，其浓香，过孔径15mm筛。</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90</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181</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胡黄连</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片，直径≥4mm,切面灰黑色或棕黑色，味极 苦。</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466</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提供</w:t>
                  </w: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黄芩</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薄片，直径≥10mm，切面黄棕色或黄绿色，无绿色片。</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5381</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87</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黄芩炭</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省级地方炮制规范及中药饮片标准</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薄片，表面焦黑色，内部焦黄色，气微。</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129</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78</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姜黄</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厚片，直径≥10mm，切面棕黄色或金黄色，角质样，气香特异。</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583</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金荞麦</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厚片，直径≥20mm，外表皮棕褐色，杂质≤2%。</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284</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九节菖蒲</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省级地方炮制规范及中药饮片标准</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段，外形饱满，表面棕黄色，质硬而脆，易折 断。</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328</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酒当归</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主根≥2cm，支根少，断面黄棕色，略有酒香气</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291</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136</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提供</w:t>
                  </w: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酒黄精</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厚片，表面棕褐色至黑色，有光泽，中心棕色至浅褐色，可见筋脉小点，质较柔软，味甜，微酒香气。</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2006</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193</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酒黄芩</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河北、山西；薄片，直径≥0.8cm</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220</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酒牛膝</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圆柱形的段，外皮深棕色，切面略呈角质样而油润，中心黄白色，微有酒香气</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1096</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提供</w:t>
                  </w: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苦参</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厚片，直径≥18mm，切面黄白色，纤维性，味极苦。</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5746</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28.5</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漏芦</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厚片。外表皮暗棕色至黑褐色，粗糙，有网状裂纹。切面黄白色至灰黄色，有放射状裂隙。气特异，味微苦。</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165</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芦根</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扁圆柱形段，</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521</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绵萆薢</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省级地方炮制规范及中药饮片标准</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丝条状,灰白色,气微味微苦.</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357</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绵马贯众</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厚片,外表皮黄棕色至黑褐色,气特异，味初淡而微涩，后渐苦、辛。</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提供</w:t>
                  </w: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木香</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云南；厚片，直径≥20mm，切面棕黄色至棕褐色，气香特异，油性足。</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1915</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千年健</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片，直径&gt;10mm,切面红褐色，具有众多黄色 纤维束，有的呈针刺状，气香。</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348</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前胡</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薄片，切面黄白色至淡黄色，气芳香，杂质&lt; 2%。</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327</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288</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秦艽</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厚片，直径&gt;10mm,有扭曲纵纹和网状孔纹， 气特异。</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327</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山柰</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圆形厚片,气特意,味辛辣.</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41.6</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射干</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薄片，宽≥12mm，切面淡黄色或鲜黄色，气微。</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537</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66</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升麻</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厚片，直径≥20mm，外表皮黑褐色，切面黄绿色或淡黄白色，体轻，质硬，纤维性。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813</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138.8</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不规则的块状，具指状分枝。切面浅黄色，内皮层环纹明显，维管束散在。气香特异，味辛辣。</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3283</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石菖蒲</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厚片，外表皮棕褐色或灰棕色，有的可见环节及根痕，切面类白色或微红色，气芳香，过孔径5mm筛。</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1820</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118.5</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烫狗脊</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厚片，表面略鼓起，棕褐色，气微，杂质≤2%。</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428</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烫骨碎补</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扁平长条状，表面黄棕色至深棕色，体膨大鼓起。</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409</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104</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土茯苓</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薄片，折断时粉尘飞扬，切面类白色或淡红棕色，过孔径10mm筛。</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3011</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续断</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厚片，直径≥6mm，切面皮部墨绿色或棕褐色，木部灰黄色或黄褐色</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2281</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提供</w:t>
                  </w: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盐巴戟天</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扁圆柱形短段，直径≥8mm，表面灰黄色或暗灰色，中空，味甘咸而微涩</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1383</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206</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提供</w:t>
                  </w: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盐知母</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厚片，直径&gt;8mm,味微甜略苦，嚼之带粘性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2462</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银柴胡</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厚片，表面浅棕黄色至浅棕色，切面黄白色</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229</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170</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玉竹</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《中国药典》2025版</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厚片，直径≥6mm，半透明，味甘，嚼之发黏。</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430</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95</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藤梨根</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省级地方炮制规范及中药饮片标准</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直径1.5-4cm，木部有小孔，质硬，气微。</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210</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苎麻根</w:t>
                  </w:r>
                </w:p>
              </w:tc>
              <w:tc>
                <w:tcPr>
                  <w:tcW w:type="dxa" w:w="6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省级地方炮制规范及中药饮片标准</w:t>
                  </w:r>
                </w:p>
              </w:tc>
              <w:tc>
                <w:tcPr>
                  <w:tcW w:type="dxa" w:w="5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厚片，嚼之略有粘性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选货</w:t>
                  </w:r>
                </w:p>
              </w:tc>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核心产品：麸炒白术，麸炒山药（核心产品均须达到3个品牌才形成有效竞争，否则为无效标）</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2"/>
              <w:jc w:val="both"/>
            </w:pPr>
            <w:r>
              <w:rPr>
                <w:rFonts w:ascii="仿宋_GB2312" w:hAnsi="仿宋_GB2312" w:cs="仿宋_GB2312" w:eastAsia="仿宋_GB2312"/>
                <w:sz w:val="24"/>
                <w:b/>
              </w:rPr>
              <w:t>一、采购内容：</w:t>
            </w:r>
          </w:p>
          <w:p>
            <w:pPr>
              <w:pStyle w:val="null3"/>
              <w:ind w:firstLine="480"/>
              <w:jc w:val="both"/>
            </w:pPr>
            <w:r>
              <w:rPr>
                <w:rFonts w:ascii="仿宋_GB2312" w:hAnsi="仿宋_GB2312" w:cs="仿宋_GB2312" w:eastAsia="仿宋_GB2312"/>
                <w:sz w:val="24"/>
              </w:rPr>
              <w:t>陕西中医药大学第二附属医院</w:t>
            </w:r>
            <w:r>
              <w:rPr>
                <w:rFonts w:ascii="仿宋_GB2312" w:hAnsi="仿宋_GB2312" w:cs="仿宋_GB2312" w:eastAsia="仿宋_GB2312"/>
                <w:sz w:val="24"/>
              </w:rPr>
              <w:t>中药饮片采购项目（第二批）</w:t>
            </w:r>
            <w:r>
              <w:rPr>
                <w:rFonts w:ascii="仿宋_GB2312" w:hAnsi="仿宋_GB2312" w:cs="仿宋_GB2312" w:eastAsia="仿宋_GB2312"/>
                <w:sz w:val="24"/>
              </w:rPr>
              <w:t>组织公开招标，</w:t>
            </w:r>
            <w:r>
              <w:rPr>
                <w:rFonts w:ascii="仿宋_GB2312" w:hAnsi="仿宋_GB2312" w:cs="仿宋_GB2312" w:eastAsia="仿宋_GB2312"/>
                <w:sz w:val="24"/>
              </w:rPr>
              <w:t>中标</w:t>
            </w:r>
            <w:r>
              <w:rPr>
                <w:rFonts w:ascii="仿宋_GB2312" w:hAnsi="仿宋_GB2312" w:cs="仿宋_GB2312" w:eastAsia="仿宋_GB2312"/>
                <w:sz w:val="24"/>
              </w:rPr>
              <w:t>供应商应按照国家相关标准以及采购人要求</w:t>
            </w:r>
            <w:r>
              <w:rPr>
                <w:rFonts w:ascii="仿宋_GB2312" w:hAnsi="仿宋_GB2312" w:cs="仿宋_GB2312" w:eastAsia="仿宋_GB2312"/>
                <w:sz w:val="24"/>
              </w:rPr>
              <w:t>，</w:t>
            </w:r>
            <w:r>
              <w:rPr>
                <w:rFonts w:ascii="仿宋_GB2312" w:hAnsi="仿宋_GB2312" w:cs="仿宋_GB2312" w:eastAsia="仿宋_GB2312"/>
                <w:sz w:val="24"/>
              </w:rPr>
              <w:t>按时将中药</w:t>
            </w:r>
            <w:r>
              <w:rPr>
                <w:rFonts w:ascii="仿宋_GB2312" w:hAnsi="仿宋_GB2312" w:cs="仿宋_GB2312" w:eastAsia="仿宋_GB2312"/>
                <w:sz w:val="24"/>
              </w:rPr>
              <w:t>饮片</w:t>
            </w:r>
            <w:r>
              <w:rPr>
                <w:rFonts w:ascii="仿宋_GB2312" w:hAnsi="仿宋_GB2312" w:cs="仿宋_GB2312" w:eastAsia="仿宋_GB2312"/>
                <w:sz w:val="24"/>
              </w:rPr>
              <w:t>送至采购人指定地点。</w:t>
            </w:r>
          </w:p>
          <w:p>
            <w:pPr>
              <w:pStyle w:val="null3"/>
              <w:ind w:firstLine="482"/>
              <w:jc w:val="left"/>
            </w:pPr>
            <w:r>
              <w:rPr>
                <w:rFonts w:ascii="仿宋_GB2312" w:hAnsi="仿宋_GB2312" w:cs="仿宋_GB2312" w:eastAsia="仿宋_GB2312"/>
                <w:sz w:val="24"/>
                <w:b/>
              </w:rPr>
              <w:t>样品清单</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b/>
              </w:rPr>
              <w:t>采购包</w:t>
            </w:r>
            <w:r>
              <w:rPr>
                <w:rFonts w:ascii="仿宋_GB2312" w:hAnsi="仿宋_GB2312" w:cs="仿宋_GB2312" w:eastAsia="仿宋_GB2312"/>
                <w:sz w:val="24"/>
                <w:b/>
              </w:rPr>
              <w:t>1：详见采购清单。</w:t>
            </w:r>
          </w:p>
          <w:p>
            <w:pPr>
              <w:pStyle w:val="null3"/>
              <w:ind w:firstLine="480"/>
              <w:jc w:val="both"/>
            </w:pPr>
            <w:r>
              <w:rPr>
                <w:rFonts w:ascii="仿宋_GB2312" w:hAnsi="仿宋_GB2312" w:cs="仿宋_GB2312" w:eastAsia="仿宋_GB2312"/>
                <w:sz w:val="24"/>
              </w:rPr>
              <w:t>样品要求：提供所投产品成品正常生产或销售的最小包装规格，并提供样品同批次的检测报告。</w:t>
            </w:r>
          </w:p>
          <w:p>
            <w:pPr>
              <w:pStyle w:val="null3"/>
              <w:ind w:firstLine="480"/>
              <w:jc w:val="both"/>
            </w:pPr>
            <w:r>
              <w:rPr>
                <w:rFonts w:ascii="仿宋_GB2312" w:hAnsi="仿宋_GB2312" w:cs="仿宋_GB2312" w:eastAsia="仿宋_GB2312"/>
                <w:sz w:val="24"/>
              </w:rPr>
              <w:t>样品提交：西安市高新四路</w:t>
            </w:r>
            <w:r>
              <w:rPr>
                <w:rFonts w:ascii="仿宋_GB2312" w:hAnsi="仿宋_GB2312" w:cs="仿宋_GB2312" w:eastAsia="仿宋_GB2312"/>
                <w:sz w:val="24"/>
              </w:rPr>
              <w:t>1号高科广场A座5楼0503室，逾期送达的投标样品将拒绝接收。（开标当天投标截止时间前指派专人递交，不接受提前递交或邮寄）</w:t>
            </w:r>
          </w:p>
          <w:p>
            <w:pPr>
              <w:pStyle w:val="null3"/>
              <w:ind w:firstLine="560"/>
              <w:jc w:val="both"/>
            </w:pPr>
            <w:r>
              <w:rPr>
                <w:rFonts w:ascii="仿宋_GB2312" w:hAnsi="仿宋_GB2312" w:cs="仿宋_GB2312" w:eastAsia="仿宋_GB2312"/>
                <w:sz w:val="24"/>
              </w:rPr>
              <w:t>样品退还：评标工作结束后，供应商提供的样品由代理机构统一封存。中标结果公示结束后，未中标供应商的样品如数退回；中标供应商的样品由采购人保存，作为验收的依据。</w:t>
            </w:r>
          </w:p>
          <w:p>
            <w:pPr>
              <w:pStyle w:val="null3"/>
              <w:ind w:firstLine="560"/>
              <w:jc w:val="both"/>
            </w:pPr>
            <w:r>
              <w:rPr>
                <w:rFonts w:ascii="仿宋_GB2312" w:hAnsi="仿宋_GB2312" w:cs="仿宋_GB2312" w:eastAsia="仿宋_GB2312"/>
                <w:sz w:val="24"/>
              </w:rPr>
              <w:t>饮片明细中所有产品后期中标后提供货物执行标准满足招标文件饮片明细要求，并随产品提供检测报告。投标文件中无需提供所有产品的检测报告，提供样品满足招标文件饮片明细要求中执行标准的检测报告即可。</w:t>
            </w:r>
          </w:p>
          <w:p>
            <w:pPr>
              <w:pStyle w:val="null3"/>
              <w:ind w:firstLine="482"/>
              <w:jc w:val="both"/>
            </w:pPr>
            <w:r>
              <w:rPr>
                <w:rFonts w:ascii="仿宋_GB2312" w:hAnsi="仿宋_GB2312" w:cs="仿宋_GB2312" w:eastAsia="仿宋_GB2312"/>
                <w:sz w:val="24"/>
                <w:b/>
              </w:rPr>
              <w:t>二、质量要求：</w:t>
            </w:r>
          </w:p>
          <w:p>
            <w:pPr>
              <w:pStyle w:val="null3"/>
              <w:ind w:firstLine="480"/>
              <w:jc w:val="both"/>
            </w:pPr>
            <w:r>
              <w:rPr>
                <w:rFonts w:ascii="仿宋_GB2312" w:hAnsi="仿宋_GB2312" w:cs="仿宋_GB2312" w:eastAsia="仿宋_GB2312"/>
                <w:sz w:val="24"/>
              </w:rPr>
              <w:t>1、中标供应商配送的</w:t>
            </w:r>
            <w:r>
              <w:rPr>
                <w:rFonts w:ascii="仿宋_GB2312" w:hAnsi="仿宋_GB2312" w:cs="仿宋_GB2312" w:eastAsia="仿宋_GB2312"/>
                <w:sz w:val="24"/>
              </w:rPr>
              <w:t>中药饮片</w:t>
            </w:r>
            <w:r>
              <w:rPr>
                <w:rFonts w:ascii="仿宋_GB2312" w:hAnsi="仿宋_GB2312" w:cs="仿宋_GB2312" w:eastAsia="仿宋_GB2312"/>
                <w:sz w:val="24"/>
              </w:rPr>
              <w:t>必须为选货。</w:t>
            </w:r>
          </w:p>
          <w:p>
            <w:pPr>
              <w:pStyle w:val="null3"/>
              <w:ind w:firstLine="480"/>
              <w:jc w:val="both"/>
            </w:pPr>
            <w:r>
              <w:rPr>
                <w:rFonts w:ascii="仿宋_GB2312" w:hAnsi="仿宋_GB2312" w:cs="仿宋_GB2312" w:eastAsia="仿宋_GB2312"/>
                <w:sz w:val="24"/>
              </w:rPr>
              <w:t>2、中标供应商提供的中药饮片应当符合《中华人民共和国药典》（2025版）和《省级中药材标准或地方炮制规范》等相关标准以及我国最新颁布的与之相关的技术规范与标准,</w:t>
            </w:r>
            <w:r>
              <w:rPr>
                <w:rFonts w:ascii="仿宋_GB2312" w:hAnsi="仿宋_GB2312" w:cs="仿宋_GB2312" w:eastAsia="仿宋_GB2312"/>
                <w:sz w:val="24"/>
              </w:rPr>
              <w:t>每批次供货必须</w:t>
            </w:r>
            <w:r>
              <w:rPr>
                <w:rFonts w:ascii="仿宋_GB2312" w:hAnsi="仿宋_GB2312" w:cs="仿宋_GB2312" w:eastAsia="仿宋_GB2312"/>
                <w:sz w:val="24"/>
              </w:rPr>
              <w:t>随货提供当批次检测报告。</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在中药饮片质保期内（以各中药饮片包装标注的质保期为准），</w:t>
            </w:r>
            <w:r>
              <w:rPr>
                <w:rFonts w:ascii="仿宋_GB2312" w:hAnsi="仿宋_GB2312" w:cs="仿宋_GB2312" w:eastAsia="仿宋_GB2312"/>
                <w:sz w:val="24"/>
              </w:rPr>
              <w:t>中标供应商</w:t>
            </w:r>
            <w:r>
              <w:rPr>
                <w:rFonts w:ascii="仿宋_GB2312" w:hAnsi="仿宋_GB2312" w:cs="仿宋_GB2312" w:eastAsia="仿宋_GB2312"/>
                <w:sz w:val="24"/>
              </w:rPr>
              <w:t>对任何缺陷</w:t>
            </w:r>
            <w:r>
              <w:rPr>
                <w:rFonts w:ascii="仿宋_GB2312" w:hAnsi="仿宋_GB2312" w:cs="仿宋_GB2312" w:eastAsia="仿宋_GB2312"/>
                <w:sz w:val="24"/>
              </w:rPr>
              <w:t>或劣质</w:t>
            </w:r>
            <w:r>
              <w:rPr>
                <w:rFonts w:ascii="仿宋_GB2312" w:hAnsi="仿宋_GB2312" w:cs="仿宋_GB2312" w:eastAsia="仿宋_GB2312"/>
                <w:sz w:val="24"/>
              </w:rPr>
              <w:t>中药饮片</w:t>
            </w:r>
            <w:r>
              <w:rPr>
                <w:rFonts w:ascii="仿宋_GB2312" w:hAnsi="仿宋_GB2312" w:cs="仿宋_GB2312" w:eastAsia="仿宋_GB2312"/>
                <w:sz w:val="24"/>
              </w:rPr>
              <w:t>无条件</w:t>
            </w:r>
            <w:r>
              <w:rPr>
                <w:rFonts w:ascii="仿宋_GB2312" w:hAnsi="仿宋_GB2312" w:cs="仿宋_GB2312" w:eastAsia="仿宋_GB2312"/>
                <w:sz w:val="24"/>
              </w:rPr>
              <w:t>退换，并承担退换</w:t>
            </w:r>
            <w:r>
              <w:rPr>
                <w:rFonts w:ascii="仿宋_GB2312" w:hAnsi="仿宋_GB2312" w:cs="仿宋_GB2312" w:eastAsia="仿宋_GB2312"/>
                <w:sz w:val="24"/>
              </w:rPr>
              <w:t>货</w:t>
            </w:r>
            <w:r>
              <w:rPr>
                <w:rFonts w:ascii="仿宋_GB2312" w:hAnsi="仿宋_GB2312" w:cs="仿宋_GB2312" w:eastAsia="仿宋_GB2312"/>
                <w:sz w:val="24"/>
              </w:rPr>
              <w:t>所需的费用，退换时间不得</w:t>
            </w:r>
            <w:r>
              <w:rPr>
                <w:rFonts w:ascii="仿宋_GB2312" w:hAnsi="仿宋_GB2312" w:cs="仿宋_GB2312" w:eastAsia="仿宋_GB2312"/>
                <w:sz w:val="24"/>
              </w:rPr>
              <w:t>超过</w:t>
            </w:r>
            <w:r>
              <w:rPr>
                <w:rFonts w:ascii="仿宋_GB2312" w:hAnsi="仿宋_GB2312" w:cs="仿宋_GB2312" w:eastAsia="仿宋_GB2312"/>
                <w:sz w:val="24"/>
              </w:rPr>
              <w:t>3天</w:t>
            </w:r>
            <w:r>
              <w:rPr>
                <w:rFonts w:ascii="仿宋_GB2312" w:hAnsi="仿宋_GB2312" w:cs="仿宋_GB2312" w:eastAsia="仿宋_GB2312"/>
                <w:sz w:val="24"/>
              </w:rPr>
              <w:t>。</w:t>
            </w:r>
          </w:p>
          <w:p>
            <w:pPr>
              <w:pStyle w:val="null3"/>
              <w:ind w:firstLine="512"/>
              <w:jc w:val="both"/>
            </w:pPr>
            <w:r>
              <w:rPr>
                <w:rFonts w:ascii="仿宋_GB2312" w:hAnsi="仿宋_GB2312" w:cs="仿宋_GB2312" w:eastAsia="仿宋_GB2312"/>
                <w:sz w:val="21"/>
              </w:rPr>
              <w:t>4、若在临床使用中发现存在质量问题（包括严重不良反应），采购人应及时以书面形式通知中标供应商，并在采购人所在地药检部门进行检验。如检验结果存在质量问题，采购人有权终止合同，并要求供应商承担检验费及给采购人造成的全部损失。</w:t>
            </w:r>
          </w:p>
          <w:p>
            <w:pPr>
              <w:pStyle w:val="null3"/>
            </w:pPr>
            <w:r>
              <w:rPr>
                <w:rFonts w:ascii="仿宋_GB2312" w:hAnsi="仿宋_GB2312" w:cs="仿宋_GB2312" w:eastAsia="仿宋_GB2312"/>
                <w:sz w:val="21"/>
              </w:rPr>
              <w:t>5、对存在质量问题的中药饮片，中标供应商须负责收回并更换合格中药饮片。因药检部门抽检不合格，中标供应商须承担给采购人造成全部经济损失的赔偿及行政责任。因中药饮片质量问题导致药政管理问题或医疗纠纷，中标供应商须承担采购人因此产生的全部损失，包括但不限于行政罚款、对第三方(患者)的赔偿、律师费及诉讼费等。</w:t>
            </w:r>
          </w:p>
          <w:p>
            <w:pPr>
              <w:pStyle w:val="null3"/>
              <w:ind w:firstLine="482"/>
              <w:jc w:val="both"/>
            </w:pPr>
            <w:r>
              <w:rPr>
                <w:rFonts w:ascii="仿宋_GB2312" w:hAnsi="仿宋_GB2312" w:cs="仿宋_GB2312" w:eastAsia="仿宋_GB2312"/>
                <w:sz w:val="24"/>
                <w:b/>
              </w:rPr>
              <w:t>三、验收要求：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根据《中华人民共和国药典》、省级炮制规范和中药饮片标准，按照</w:t>
            </w:r>
            <w:r>
              <w:rPr>
                <w:rFonts w:ascii="仿宋_GB2312" w:hAnsi="仿宋_GB2312" w:cs="仿宋_GB2312" w:eastAsia="仿宋_GB2312"/>
                <w:sz w:val="24"/>
              </w:rPr>
              <w:t>采购</w:t>
            </w:r>
            <w:r>
              <w:rPr>
                <w:rFonts w:ascii="仿宋_GB2312" w:hAnsi="仿宋_GB2312" w:cs="仿宋_GB2312" w:eastAsia="仿宋_GB2312"/>
                <w:sz w:val="24"/>
              </w:rPr>
              <w:t>目录相应的规格、等级、产地、包装量、执行标准及要求进行质量验收。货物验收地点为</w:t>
            </w:r>
            <w:r>
              <w:rPr>
                <w:rFonts w:ascii="仿宋_GB2312" w:hAnsi="仿宋_GB2312" w:cs="仿宋_GB2312" w:eastAsia="仿宋_GB2312"/>
                <w:sz w:val="24"/>
              </w:rPr>
              <w:t>采购人</w:t>
            </w:r>
            <w:r>
              <w:rPr>
                <w:rFonts w:ascii="仿宋_GB2312" w:hAnsi="仿宋_GB2312" w:cs="仿宋_GB2312" w:eastAsia="仿宋_GB2312"/>
                <w:sz w:val="24"/>
              </w:rPr>
              <w:t>指定地点。</w:t>
            </w:r>
          </w:p>
          <w:p>
            <w:pPr>
              <w:pStyle w:val="null3"/>
              <w:ind w:firstLine="504"/>
              <w:jc w:val="both"/>
            </w:pPr>
            <w:r>
              <w:rPr>
                <w:rFonts w:ascii="仿宋_GB2312" w:hAnsi="仿宋_GB2312" w:cs="仿宋_GB2312" w:eastAsia="仿宋_GB2312"/>
                <w:sz w:val="24"/>
              </w:rPr>
              <w:t>2、</w:t>
            </w:r>
            <w:r>
              <w:rPr>
                <w:rFonts w:ascii="仿宋_GB2312" w:hAnsi="仿宋_GB2312" w:cs="仿宋_GB2312" w:eastAsia="仿宋_GB2312"/>
                <w:sz w:val="24"/>
              </w:rPr>
              <w:t>在中药饮片验收环节，采购人以中标供应商所提供的样品作为供货质量的性状鉴别比对依据（含水量除外）。如发现供货质量与样品质量不符、运储包装不符合规定、</w:t>
            </w:r>
            <w:r>
              <w:rPr>
                <w:rFonts w:ascii="仿宋_GB2312" w:hAnsi="仿宋_GB2312" w:cs="仿宋_GB2312" w:eastAsia="仿宋_GB2312"/>
                <w:sz w:val="24"/>
              </w:rPr>
              <w:t>货物短缺、质次、损坏、霉变、虫蛀、结串、走油、产地和规格不符等</w:t>
            </w:r>
            <w:r>
              <w:rPr>
                <w:rFonts w:ascii="仿宋_GB2312" w:hAnsi="仿宋_GB2312" w:cs="仿宋_GB2312" w:eastAsia="仿宋_GB2312"/>
                <w:sz w:val="24"/>
              </w:rPr>
              <w:t>其他违反合同约定的情形</w:t>
            </w:r>
            <w:r>
              <w:rPr>
                <w:rFonts w:ascii="仿宋_GB2312" w:hAnsi="仿宋_GB2312" w:cs="仿宋_GB2312" w:eastAsia="仿宋_GB2312"/>
                <w:sz w:val="24"/>
              </w:rPr>
              <w:t>，</w:t>
            </w:r>
            <w:r>
              <w:rPr>
                <w:rFonts w:ascii="仿宋_GB2312" w:hAnsi="仿宋_GB2312" w:cs="仿宋_GB2312" w:eastAsia="仿宋_GB2312"/>
                <w:sz w:val="24"/>
              </w:rPr>
              <w:t>采购人应作详细记录，</w:t>
            </w:r>
            <w:r>
              <w:rPr>
                <w:rFonts w:ascii="仿宋_GB2312" w:hAnsi="仿宋_GB2312" w:cs="仿宋_GB2312" w:eastAsia="仿宋_GB2312"/>
                <w:sz w:val="24"/>
              </w:rPr>
              <w:t>采购人有权拒绝接收，</w:t>
            </w:r>
            <w:r>
              <w:rPr>
                <w:rFonts w:ascii="仿宋_GB2312" w:hAnsi="仿宋_GB2312" w:cs="仿宋_GB2312" w:eastAsia="仿宋_GB2312"/>
                <w:sz w:val="24"/>
              </w:rPr>
              <w:t>中标供应商</w:t>
            </w:r>
            <w:r>
              <w:rPr>
                <w:rFonts w:ascii="仿宋_GB2312" w:hAnsi="仿宋_GB2312" w:cs="仿宋_GB2312" w:eastAsia="仿宋_GB2312"/>
                <w:sz w:val="24"/>
              </w:rPr>
              <w:t>应在</w:t>
            </w:r>
            <w:r>
              <w:rPr>
                <w:rFonts w:ascii="仿宋_GB2312" w:hAnsi="仿宋_GB2312" w:cs="仿宋_GB2312" w:eastAsia="仿宋_GB2312"/>
                <w:sz w:val="24"/>
              </w:rPr>
              <w:t>3日内</w:t>
            </w:r>
            <w:r>
              <w:rPr>
                <w:rFonts w:ascii="仿宋_GB2312" w:hAnsi="仿宋_GB2312" w:cs="仿宋_GB2312" w:eastAsia="仿宋_GB2312"/>
                <w:sz w:val="24"/>
              </w:rPr>
              <w:t>无条件</w:t>
            </w:r>
            <w:r>
              <w:rPr>
                <w:rFonts w:ascii="仿宋_GB2312" w:hAnsi="仿宋_GB2312" w:cs="仿宋_GB2312" w:eastAsia="仿宋_GB2312"/>
                <w:sz w:val="24"/>
              </w:rPr>
              <w:t>更换</w:t>
            </w:r>
            <w:r>
              <w:rPr>
                <w:rFonts w:ascii="仿宋_GB2312" w:hAnsi="仿宋_GB2312" w:cs="仿宋_GB2312" w:eastAsia="仿宋_GB2312"/>
                <w:sz w:val="24"/>
              </w:rPr>
              <w:t>或补齐。</w:t>
            </w:r>
            <w:r>
              <w:rPr>
                <w:rFonts w:ascii="仿宋_GB2312" w:hAnsi="仿宋_GB2312" w:cs="仿宋_GB2312" w:eastAsia="仿宋_GB2312"/>
                <w:sz w:val="24"/>
              </w:rPr>
              <w:t>未按时更换给采购人临床用药造成影响的，同时其逾期交付的责任不予免除。累计</w:t>
            </w:r>
            <w:r>
              <w:rPr>
                <w:rFonts w:ascii="仿宋_GB2312" w:hAnsi="仿宋_GB2312" w:cs="仿宋_GB2312" w:eastAsia="仿宋_GB2312"/>
                <w:sz w:val="24"/>
              </w:rPr>
              <w:t>3次验收不合格情形，采购人有权终止合同，中标供应商须承担当月</w:t>
            </w:r>
            <w:r>
              <w:rPr>
                <w:rFonts w:ascii="仿宋_GB2312" w:hAnsi="仿宋_GB2312" w:cs="仿宋_GB2312" w:eastAsia="仿宋_GB2312"/>
                <w:sz w:val="24"/>
              </w:rPr>
              <w:t>全部货款</w:t>
            </w:r>
            <w:r>
              <w:rPr>
                <w:rFonts w:ascii="仿宋_GB2312" w:hAnsi="仿宋_GB2312" w:cs="仿宋_GB2312" w:eastAsia="仿宋_GB2312"/>
                <w:sz w:val="24"/>
              </w:rPr>
              <w:t>总额作为违约金，违约金不足以弥补采购人损失，中标供应商另行承担。</w:t>
            </w:r>
          </w:p>
          <w:p>
            <w:pPr>
              <w:pStyle w:val="null3"/>
              <w:ind w:firstLine="480"/>
              <w:jc w:val="both"/>
            </w:pPr>
            <w:r>
              <w:rPr>
                <w:rFonts w:ascii="仿宋_GB2312" w:hAnsi="仿宋_GB2312" w:cs="仿宋_GB2312" w:eastAsia="仿宋_GB2312"/>
                <w:sz w:val="24"/>
              </w:rPr>
              <w:t>3、采购人有权要求进行药品质量检验，中标供应商应予以配合。</w:t>
            </w:r>
            <w:r>
              <w:rPr>
                <w:rFonts w:ascii="仿宋_GB2312" w:hAnsi="仿宋_GB2312" w:cs="仿宋_GB2312" w:eastAsia="仿宋_GB2312"/>
                <w:sz w:val="24"/>
              </w:rPr>
              <w:t>采购人</w:t>
            </w:r>
            <w:r>
              <w:rPr>
                <w:rFonts w:ascii="仿宋_GB2312" w:hAnsi="仿宋_GB2312" w:cs="仿宋_GB2312" w:eastAsia="仿宋_GB2312"/>
                <w:sz w:val="24"/>
              </w:rPr>
              <w:t>以书面形式将质量检验的具体要求通知</w:t>
            </w:r>
            <w:r>
              <w:rPr>
                <w:rFonts w:ascii="仿宋_GB2312" w:hAnsi="仿宋_GB2312" w:cs="仿宋_GB2312" w:eastAsia="仿宋_GB2312"/>
                <w:sz w:val="24"/>
              </w:rPr>
              <w:t>中标供应商</w:t>
            </w:r>
            <w:r>
              <w:rPr>
                <w:rFonts w:ascii="仿宋_GB2312" w:hAnsi="仿宋_GB2312" w:cs="仿宋_GB2312" w:eastAsia="仿宋_GB2312"/>
                <w:sz w:val="24"/>
              </w:rPr>
              <w:t>。药品质量检验在采购人所在地药检部门进行。如发现成交供应商配送假药，采购人有权直接解除合同，并报送当地食品药品监督管理局。中标供应商须退还该品种已支付货款，且承担当月全部货款作为违约金，违约金不足以弥补采购人损失，成交供应商另行承担。</w:t>
            </w:r>
          </w:p>
          <w:p>
            <w:pPr>
              <w:pStyle w:val="null3"/>
              <w:ind w:firstLine="504"/>
              <w:jc w:val="both"/>
            </w:pPr>
            <w:r>
              <w:rPr>
                <w:rFonts w:ascii="仿宋_GB2312" w:hAnsi="仿宋_GB2312" w:cs="仿宋_GB2312" w:eastAsia="仿宋_GB2312"/>
                <w:sz w:val="24"/>
              </w:rPr>
              <w:t>4、因药品质量问题导致甲方的行政处罚、索赔及纠纷处理，中标供应商须全额承担赔偿责任。</w:t>
            </w:r>
          </w:p>
          <w:p>
            <w:pPr>
              <w:pStyle w:val="null3"/>
              <w:ind w:firstLine="482"/>
              <w:jc w:val="both"/>
            </w:pPr>
            <w:r>
              <w:rPr>
                <w:rFonts w:ascii="仿宋_GB2312" w:hAnsi="仿宋_GB2312" w:cs="仿宋_GB2312" w:eastAsia="仿宋_GB2312"/>
                <w:sz w:val="24"/>
                <w:b/>
              </w:rPr>
              <w:t>四、供货要求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交货时间：不分节假日，在采购人发出采购计划后，省内供货时间不超过</w:t>
            </w:r>
            <w:r>
              <w:rPr>
                <w:rFonts w:ascii="仿宋_GB2312" w:hAnsi="仿宋_GB2312" w:cs="仿宋_GB2312" w:eastAsia="仿宋_GB2312"/>
                <w:sz w:val="24"/>
              </w:rPr>
              <w:t>2天，省外供货不超过5天，急需药品不超过24小时。</w:t>
            </w:r>
          </w:p>
          <w:p>
            <w:pPr>
              <w:pStyle w:val="null3"/>
              <w:ind w:firstLine="480"/>
              <w:jc w:val="both"/>
            </w:pPr>
            <w:r>
              <w:rPr>
                <w:rFonts w:ascii="仿宋_GB2312" w:hAnsi="仿宋_GB2312" w:cs="仿宋_GB2312" w:eastAsia="仿宋_GB2312"/>
                <w:sz w:val="24"/>
              </w:rPr>
              <w:t>2.交货地点：陕西中医药大学第二附属医院指定地点。</w:t>
            </w:r>
          </w:p>
          <w:p>
            <w:pPr>
              <w:pStyle w:val="null3"/>
              <w:ind w:firstLine="480"/>
              <w:jc w:val="both"/>
            </w:pPr>
            <w:r>
              <w:rPr>
                <w:rFonts w:ascii="仿宋_GB2312" w:hAnsi="仿宋_GB2312" w:cs="仿宋_GB2312" w:eastAsia="仿宋_GB2312"/>
                <w:sz w:val="24"/>
              </w:rPr>
              <w:t>中标供应商应按照采购人要求负责送货至采购人指定地点并搬运入库，物品包装破损或质量有问题必须无条件退换。配送产品时需专车专送，不接受邮寄方式配送。</w:t>
            </w:r>
          </w:p>
          <w:p>
            <w:pPr>
              <w:pStyle w:val="null3"/>
              <w:ind w:firstLine="480"/>
              <w:jc w:val="both"/>
            </w:pPr>
            <w:r>
              <w:rPr>
                <w:rFonts w:ascii="仿宋_GB2312" w:hAnsi="仿宋_GB2312" w:cs="仿宋_GB2312" w:eastAsia="仿宋_GB2312"/>
                <w:sz w:val="24"/>
              </w:rPr>
              <w:t>中标供应商须无条件为采购人提供现场搬运和入库上斗并根据采购人要求摆放整齐，提供药品开箱和分装用具。</w:t>
            </w:r>
          </w:p>
          <w:p>
            <w:pPr>
              <w:pStyle w:val="null3"/>
              <w:ind w:firstLine="480"/>
              <w:jc w:val="both"/>
            </w:pPr>
            <w:r>
              <w:rPr>
                <w:rFonts w:ascii="仿宋_GB2312" w:hAnsi="仿宋_GB2312" w:cs="仿宋_GB2312" w:eastAsia="仿宋_GB2312"/>
                <w:sz w:val="24"/>
              </w:rPr>
              <w:t>3.供货能力：每个品种需满足医院月均用量的1.5倍储备量，遇突发公共卫生事件（如流感高峰期），须保证3倍用量的应急供应能力。</w:t>
            </w:r>
          </w:p>
          <w:p>
            <w:pPr>
              <w:pStyle w:val="null3"/>
              <w:ind w:firstLine="480"/>
              <w:jc w:val="both"/>
            </w:pPr>
            <w:r>
              <w:rPr>
                <w:rFonts w:ascii="仿宋_GB2312" w:hAnsi="仿宋_GB2312" w:cs="仿宋_GB2312" w:eastAsia="仿宋_GB2312"/>
                <w:sz w:val="24"/>
              </w:rPr>
              <w:t>4.若中标供应商在合同履行期内，单品种中药饮片累计3次经采购人书面告知仍延迟配送或无法供货的情形，采购人有权取消中标供应商该品种的供应资格，且中标供应商应承担当月全部订单总额的20%作为违约金；若中标供应商在合同履行期内超过3种中药饮片出现前述情形，采购人有权终止合同，中标供应商应承担当月全部货款作为违约金，违约金不足以赔偿采购人损失的，由中标供应商另行承担。</w:t>
            </w:r>
          </w:p>
          <w:p>
            <w:pPr>
              <w:pStyle w:val="null3"/>
              <w:ind w:firstLine="480"/>
              <w:jc w:val="both"/>
            </w:pPr>
            <w:r>
              <w:rPr>
                <w:rFonts w:ascii="仿宋_GB2312" w:hAnsi="仿宋_GB2312" w:cs="仿宋_GB2312" w:eastAsia="仿宋_GB2312"/>
                <w:sz w:val="24"/>
              </w:rPr>
              <w:t>5、包装要求：</w:t>
            </w:r>
            <w:r>
              <w:rPr>
                <w:rFonts w:ascii="仿宋_GB2312" w:hAnsi="仿宋_GB2312" w:cs="仿宋_GB2312" w:eastAsia="仿宋_GB2312"/>
                <w:sz w:val="24"/>
              </w:rPr>
              <w:t>应符合《商品包装政府采购需求标准（试行）》，包装袋可观察药材透明部分应该占包装袋平面</w:t>
            </w:r>
            <w:r>
              <w:rPr>
                <w:rFonts w:ascii="仿宋_GB2312" w:hAnsi="仿宋_GB2312" w:cs="仿宋_GB2312" w:eastAsia="仿宋_GB2312"/>
                <w:sz w:val="24"/>
              </w:rPr>
              <w:t>1/3以上，附有质量合格的标志，每件包装上，应标明品名、规格、产地、生产企业、产品批号、</w:t>
            </w:r>
            <w:r>
              <w:rPr>
                <w:rFonts w:ascii="仿宋_GB2312" w:hAnsi="仿宋_GB2312" w:cs="仿宋_GB2312" w:eastAsia="仿宋_GB2312"/>
                <w:sz w:val="24"/>
              </w:rPr>
              <w:t>生产日期、有效期</w:t>
            </w:r>
            <w:r>
              <w:rPr>
                <w:rFonts w:ascii="仿宋_GB2312" w:hAnsi="仿宋_GB2312" w:cs="仿宋_GB2312" w:eastAsia="仿宋_GB2312"/>
                <w:sz w:val="24"/>
              </w:rPr>
              <w:t>等。</w:t>
            </w:r>
          </w:p>
          <w:p>
            <w:pPr>
              <w:pStyle w:val="null3"/>
              <w:ind w:firstLine="480"/>
              <w:jc w:val="both"/>
            </w:pPr>
            <w:r>
              <w:rPr>
                <w:rFonts w:ascii="仿宋_GB2312" w:hAnsi="仿宋_GB2312" w:cs="仿宋_GB2312" w:eastAsia="仿宋_GB2312"/>
                <w:sz w:val="24"/>
              </w:rPr>
              <w:t>供应商具备供应多种包装规格</w:t>
            </w:r>
            <w:r>
              <w:rPr>
                <w:rFonts w:ascii="仿宋_GB2312" w:hAnsi="仿宋_GB2312" w:cs="仿宋_GB2312" w:eastAsia="仿宋_GB2312"/>
                <w:sz w:val="24"/>
              </w:rPr>
              <w:t>(如0.5kg、1kg、5kg等)中药饮片的能力，满足临床不同需求。</w:t>
            </w:r>
          </w:p>
          <w:p>
            <w:pPr>
              <w:pStyle w:val="null3"/>
              <w:ind w:firstLine="482"/>
              <w:jc w:val="both"/>
            </w:pPr>
            <w:r>
              <w:rPr>
                <w:rFonts w:ascii="仿宋_GB2312" w:hAnsi="仿宋_GB2312" w:cs="仿宋_GB2312" w:eastAsia="仿宋_GB2312"/>
                <w:sz w:val="24"/>
                <w:b/>
              </w:rPr>
              <w:t>五、服务要求</w:t>
            </w:r>
          </w:p>
          <w:p>
            <w:pPr>
              <w:pStyle w:val="null3"/>
              <w:ind w:firstLine="480"/>
              <w:jc w:val="left"/>
            </w:pPr>
            <w:r>
              <w:rPr>
                <w:rFonts w:ascii="仿宋_GB2312" w:hAnsi="仿宋_GB2312" w:cs="仿宋_GB2312" w:eastAsia="仿宋_GB2312"/>
                <w:sz w:val="24"/>
              </w:rPr>
              <w:t>1、产品溯源管理</w:t>
            </w:r>
          </w:p>
          <w:p>
            <w:pPr>
              <w:pStyle w:val="null3"/>
              <w:ind w:firstLine="480"/>
              <w:jc w:val="left"/>
            </w:pPr>
            <w:r>
              <w:rPr>
                <w:rFonts w:ascii="仿宋_GB2312" w:hAnsi="仿宋_GB2312" w:cs="仿宋_GB2312" w:eastAsia="仿宋_GB2312"/>
                <w:sz w:val="24"/>
              </w:rPr>
              <w:t>投标药品包装上应印制追溯二维码，与陕西省中药追溯平台对接等服务要求，提供产品溯源承诺书（格式自拟），</w:t>
            </w:r>
            <w:r>
              <w:rPr>
                <w:rFonts w:ascii="仿宋_GB2312" w:hAnsi="仿宋_GB2312" w:cs="仿宋_GB2312" w:eastAsia="仿宋_GB2312"/>
                <w:sz w:val="24"/>
                <w:u w:val="single"/>
              </w:rPr>
              <w:t>承诺书的内容为：在合同履行过程中，我方保证所提供的中药饮片能够全过程溯源，否则，我方自愿解除合同并向采购人支付违约金人民币伍万元。承诺书内容不得修改，承诺书须加盖供应商公章并由法定代表人签字，未按要求提供承诺书的，按不响应招标文件实质性要求处理。</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送货饮片的有效期限在其整个有效期三分之二以上。中标供应商对入库</w:t>
            </w:r>
            <w:r>
              <w:rPr>
                <w:rFonts w:ascii="仿宋_GB2312" w:hAnsi="仿宋_GB2312" w:cs="仿宋_GB2312" w:eastAsia="仿宋_GB2312"/>
                <w:sz w:val="24"/>
              </w:rPr>
              <w:t>3个月以上的滞销饮片无条件退货；对包装破损或近效期饮片无条件换货。</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中标供应商须无条件为采购人提供特殊片型饮片</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b/>
              </w:rPr>
              <w:t>六、其他要求</w:t>
            </w:r>
          </w:p>
          <w:p>
            <w:pPr>
              <w:pStyle w:val="null3"/>
              <w:ind w:firstLine="480"/>
              <w:jc w:val="left"/>
            </w:pPr>
            <w:r>
              <w:rPr>
                <w:rFonts w:ascii="仿宋_GB2312" w:hAnsi="仿宋_GB2312" w:cs="仿宋_GB2312" w:eastAsia="仿宋_GB2312"/>
                <w:sz w:val="24"/>
              </w:rPr>
              <w:t>1、在合同履行过程中，若遇国家政策性调整或政府统一采购以及上级主管部门要求等，采购人有权终止本项目合同，中标供应商应无条件执行。</w:t>
            </w:r>
          </w:p>
          <w:p>
            <w:pPr>
              <w:pStyle w:val="null3"/>
              <w:ind w:firstLine="480"/>
              <w:jc w:val="left"/>
            </w:pPr>
            <w:r>
              <w:rPr>
                <w:rFonts w:ascii="仿宋_GB2312" w:hAnsi="仿宋_GB2312" w:cs="仿宋_GB2312" w:eastAsia="仿宋_GB2312"/>
                <w:sz w:val="24"/>
              </w:rPr>
              <w:t xml:space="preserve">2、中标供应商须保障采购人在使用该产品或其任何一部分时不受到第三方关于侵犯专利权、商标权或工业设计权的指控。如果任何第三方提出侵权指控，中标供应商须与第三方交涉，并承担由此而产生的索赔、损失、损害、支出等一切费用（含律师费）。如采购人因此而遭致损失的，中标供应商应赔偿该损失。        </w:t>
            </w:r>
          </w:p>
          <w:p>
            <w:pPr>
              <w:pStyle w:val="null3"/>
              <w:ind w:firstLine="480"/>
              <w:jc w:val="left"/>
            </w:pPr>
            <w:r>
              <w:rPr>
                <w:rFonts w:ascii="仿宋_GB2312" w:hAnsi="仿宋_GB2312" w:cs="仿宋_GB2312" w:eastAsia="仿宋_GB2312"/>
                <w:sz w:val="24"/>
              </w:rPr>
              <w:t>3、中标供应商须积极配合采购人做好临床出现不良反应退换货及后续服务工作。</w:t>
            </w:r>
          </w:p>
          <w:p>
            <w:pPr>
              <w:pStyle w:val="null3"/>
              <w:ind w:firstLine="480"/>
              <w:jc w:val="left"/>
            </w:pPr>
            <w:r>
              <w:rPr>
                <w:rFonts w:ascii="仿宋_GB2312" w:hAnsi="仿宋_GB2312" w:cs="仿宋_GB2312" w:eastAsia="仿宋_GB2312"/>
                <w:sz w:val="24"/>
              </w:rPr>
              <w:t>4、中标供应商须提供至少2名中药学相关专业人员</w:t>
            </w:r>
            <w:r>
              <w:rPr>
                <w:rFonts w:ascii="仿宋_GB2312" w:hAnsi="仿宋_GB2312" w:cs="仿宋_GB2312" w:eastAsia="仿宋_GB2312"/>
                <w:sz w:val="24"/>
              </w:rPr>
              <w:t>驻场</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rPr>
              <w:t>5、</w:t>
            </w:r>
            <w:r>
              <w:rPr>
                <w:rFonts w:ascii="仿宋_GB2312" w:hAnsi="仿宋_GB2312" w:cs="仿宋_GB2312" w:eastAsia="仿宋_GB2312"/>
                <w:sz w:val="24"/>
              </w:rPr>
              <w:t>中标供应商具有完整管理系统。</w:t>
            </w:r>
          </w:p>
          <w:p>
            <w:pPr>
              <w:pStyle w:val="null3"/>
              <w:ind w:firstLine="482"/>
              <w:jc w:val="both"/>
            </w:pPr>
            <w:r>
              <w:rPr>
                <w:rFonts w:ascii="仿宋_GB2312" w:hAnsi="仿宋_GB2312" w:cs="仿宋_GB2312" w:eastAsia="仿宋_GB2312"/>
                <w:sz w:val="24"/>
                <w:b/>
              </w:rPr>
              <w:t>七</w:t>
            </w:r>
            <w:r>
              <w:rPr>
                <w:rFonts w:ascii="仿宋_GB2312" w:hAnsi="仿宋_GB2312" w:cs="仿宋_GB2312" w:eastAsia="仿宋_GB2312"/>
                <w:sz w:val="24"/>
                <w:b/>
              </w:rPr>
              <w:t>、</w:t>
            </w:r>
            <w:r>
              <w:rPr>
                <w:rFonts w:ascii="仿宋_GB2312" w:hAnsi="仿宋_GB2312" w:cs="仿宋_GB2312" w:eastAsia="仿宋_GB2312"/>
                <w:sz w:val="24"/>
                <w:b/>
              </w:rPr>
              <w:t>商务要求</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本次报价为单价及单价合计的一次性报价，且各项只允许有一个报价。采购包中单价不得超过该包需求中各子目最高限价</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报价包含材料费、加工费、包装费、运输费、装卸费、产品检验费、培训费、物耗费用、税费等完成本项目所需的所有费用。投标报价中漏报、少报的费用，视为此项费用已含在投标报价中，中标后不得再向采购人收取任何费用。</w:t>
            </w:r>
          </w:p>
          <w:p>
            <w:pPr>
              <w:pStyle w:val="null3"/>
              <w:ind w:firstLine="480"/>
              <w:jc w:val="both"/>
            </w:pPr>
            <w:r>
              <w:rPr>
                <w:rFonts w:ascii="仿宋_GB2312" w:hAnsi="仿宋_GB2312" w:cs="仿宋_GB2312" w:eastAsia="仿宋_GB2312"/>
                <w:sz w:val="24"/>
              </w:rPr>
              <w:t>3.合同期间如遇国家法律法规或上级政策变动，如中标中药饮片品种被纳入国家集中带量采购或其他采购形式等情况，需执行相应管理要求和价格标准，后期管理依据相关政策由采购人统筹安排。</w:t>
            </w:r>
          </w:p>
          <w:p>
            <w:pPr>
              <w:pStyle w:val="null3"/>
              <w:ind w:firstLine="480"/>
              <w:jc w:val="both"/>
            </w:pPr>
            <w:r>
              <w:rPr>
                <w:rFonts w:ascii="仿宋_GB2312" w:hAnsi="仿宋_GB2312" w:cs="仿宋_GB2312" w:eastAsia="仿宋_GB2312"/>
                <w:sz w:val="24"/>
              </w:rPr>
              <w:t>4.双方签订合同后，中标供应商应及时进行供应服务，不得随意更改中药饮片供应价格；不得以价格波动为由而对饮片进行“存而不供”，对于此类恶意断供行为，采购人有权终止合同。</w:t>
            </w:r>
          </w:p>
          <w:p>
            <w:pPr>
              <w:pStyle w:val="null3"/>
              <w:ind w:firstLine="480"/>
              <w:jc w:val="both"/>
            </w:pPr>
            <w:r>
              <w:rPr>
                <w:rFonts w:ascii="仿宋_GB2312" w:hAnsi="仿宋_GB2312" w:cs="仿宋_GB2312" w:eastAsia="仿宋_GB2312"/>
                <w:sz w:val="24"/>
              </w:rPr>
              <w:t>5.付款方式：</w:t>
            </w:r>
            <w:r>
              <w:rPr>
                <w:rFonts w:ascii="仿宋_GB2312" w:hAnsi="仿宋_GB2312" w:cs="仿宋_GB2312" w:eastAsia="仿宋_GB2312"/>
                <w:sz w:val="24"/>
              </w:rPr>
              <w:t>中标供应商自愿承诺付款帐期为九个月：是指按月据实结算，采购人收到药品之日起第十个月开始按月向中标供应商支付货款</w:t>
            </w:r>
            <w:r>
              <w:rPr>
                <w:rFonts w:ascii="仿宋_GB2312" w:hAnsi="仿宋_GB2312" w:cs="仿宋_GB2312" w:eastAsia="仿宋_GB2312"/>
                <w:sz w:val="24"/>
              </w:rPr>
              <w:t>(第十个月付第一个月货款，依次类推)。</w:t>
            </w:r>
          </w:p>
          <w:p>
            <w:pPr>
              <w:pStyle w:val="null3"/>
              <w:ind w:firstLine="480"/>
              <w:jc w:val="both"/>
            </w:pPr>
            <w:r>
              <w:rPr>
                <w:rFonts w:ascii="仿宋_GB2312" w:hAnsi="仿宋_GB2312" w:cs="仿宋_GB2312" w:eastAsia="仿宋_GB2312"/>
                <w:sz w:val="24"/>
              </w:rPr>
              <w:t>6.供货时限：</w:t>
            </w:r>
            <w:r>
              <w:rPr>
                <w:rFonts w:ascii="仿宋_GB2312" w:hAnsi="仿宋_GB2312" w:cs="仿宋_GB2312" w:eastAsia="仿宋_GB2312"/>
                <w:sz w:val="24"/>
              </w:rPr>
              <w:t>不分节假日，在</w:t>
            </w:r>
            <w:r>
              <w:rPr>
                <w:rFonts w:ascii="仿宋_GB2312" w:hAnsi="仿宋_GB2312" w:cs="仿宋_GB2312" w:eastAsia="仿宋_GB2312"/>
                <w:sz w:val="24"/>
              </w:rPr>
              <w:t>采购人</w:t>
            </w:r>
            <w:r>
              <w:rPr>
                <w:rFonts w:ascii="仿宋_GB2312" w:hAnsi="仿宋_GB2312" w:cs="仿宋_GB2312" w:eastAsia="仿宋_GB2312"/>
                <w:sz w:val="24"/>
              </w:rPr>
              <w:t>发出采购计划后，省内供货时间不超过</w:t>
            </w:r>
            <w:r>
              <w:rPr>
                <w:rFonts w:ascii="仿宋_GB2312" w:hAnsi="仿宋_GB2312" w:cs="仿宋_GB2312" w:eastAsia="仿宋_GB2312"/>
                <w:sz w:val="24"/>
              </w:rPr>
              <w:t>2</w:t>
            </w:r>
            <w:r>
              <w:rPr>
                <w:rFonts w:ascii="仿宋_GB2312" w:hAnsi="仿宋_GB2312" w:cs="仿宋_GB2312" w:eastAsia="仿宋_GB2312"/>
                <w:sz w:val="24"/>
              </w:rPr>
              <w:t>个自然日</w:t>
            </w:r>
            <w:r>
              <w:rPr>
                <w:rFonts w:ascii="仿宋_GB2312" w:hAnsi="仿宋_GB2312" w:cs="仿宋_GB2312" w:eastAsia="仿宋_GB2312"/>
                <w:sz w:val="24"/>
              </w:rPr>
              <w:t>，省外供货不超过</w:t>
            </w:r>
            <w:r>
              <w:rPr>
                <w:rFonts w:ascii="仿宋_GB2312" w:hAnsi="仿宋_GB2312" w:cs="仿宋_GB2312" w:eastAsia="仿宋_GB2312"/>
                <w:sz w:val="24"/>
              </w:rPr>
              <w:t>5</w:t>
            </w:r>
            <w:r>
              <w:rPr>
                <w:rFonts w:ascii="仿宋_GB2312" w:hAnsi="仿宋_GB2312" w:cs="仿宋_GB2312" w:eastAsia="仿宋_GB2312"/>
                <w:sz w:val="24"/>
              </w:rPr>
              <w:t>个自然日</w:t>
            </w:r>
            <w:r>
              <w:rPr>
                <w:rFonts w:ascii="仿宋_GB2312" w:hAnsi="仿宋_GB2312" w:cs="仿宋_GB2312" w:eastAsia="仿宋_GB2312"/>
                <w:sz w:val="24"/>
              </w:rPr>
              <w:t>，急需药品不超过</w:t>
            </w:r>
            <w:r>
              <w:rPr>
                <w:rFonts w:ascii="仿宋_GB2312" w:hAnsi="仿宋_GB2312" w:cs="仿宋_GB2312" w:eastAsia="仿宋_GB2312"/>
                <w:sz w:val="24"/>
              </w:rPr>
              <w:t>24小时。</w:t>
            </w:r>
          </w:p>
          <w:p>
            <w:pPr>
              <w:pStyle w:val="null3"/>
              <w:ind w:firstLine="480"/>
              <w:jc w:val="both"/>
            </w:pPr>
            <w:r>
              <w:rPr>
                <w:rFonts w:ascii="仿宋_GB2312" w:hAnsi="仿宋_GB2312" w:cs="仿宋_GB2312" w:eastAsia="仿宋_GB2312"/>
                <w:sz w:val="24"/>
              </w:rPr>
              <w:t>7.合同履行期限：自双方签订合同之日起一年，或总合同金额采购完毕之日止（以先到者为准）。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自双方签订合同之日起一年，或总合同金额采购完毕之日止（以先到者为准）。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陕西中医药大学第二附属医院指定地点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清”为系统固定推述内容，具体付款方式以下列内容为准：付款账期为九个月，即采购人收到供应商正式发票之日起第十个月开始按月向乙方支付货款（第十个月付第一个月货款，依此类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1、投标保证⾦注意事项：（1）投标保证⾦缴纳截⽌时间：同投标⽂件递交截⽌时间⼀致。 （2）投标保证⾦须从投标⼈⼾名⽀付，如从个⼈⼾名或⾮投标⼈⼾名⽀付，将被拒绝，视为⾃动放弃投标权利（该个⼈是投 标⼈的情形除外）；以保函形式交纳投标保证⾦的，投标⼈应在投标截⽌时间前将保函扫描成清晰的PDF⽂件，发送⾄邮箱 wangxin@sxzjtc.com（邮件命名：项⽬编号）。保函必须由具有开具投标保函资格的单位开具；若供应商违约，开具保函 单位承担连带责任；（3）供应商递交⽂件前，需在陕西省政府采购⽹电⼦化系统中完成保证⾦缴纳信息的填写及材料上传。 4.根据采购⼈档案管理要求，供应商需要在线提交所有通过电⼦化交易平台实施的政府采购项⽬的投标⽂件，同时，线下提交投标⽂件正本 壹 份、副本壹 份。若系统电⼦投标⽂件与纸质投标⽂件不⼀致的，以系统电⼦投标⽂件为准。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供应商应授权合法的人员参加投标，其中法定代表人直接参加投标的，须出具法定代表人身份证，并与营业执照上信息一致。法定代表人授权代表参加投标的，须出具法定代表人授权书；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代理商的需提供有效的《药品经营许可证》（如为毒性饮片，经营范围须包含医疗用毒性药品）及药品生产厂家的《药品生产许可证》（如为毒性饮片，生产范围须包括中药饮片（含毒性饮片））；供应商为生产厂家的需提供有效的《药品生产许可证》（如为毒性饮片，生产范围须包括中药饮片（含毒性饮片））；如为实施批准文号管理的中药饮片须提供该品种的注册批件；如涉及野生保护药材（如酒乌梢蛇），须提供合法来源证明（如林业部门批文）；</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30分钟）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报价是否超过招标文件中规定的限价的</w:t>
            </w:r>
          </w:p>
        </w:tc>
        <w:tc>
          <w:tcPr>
            <w:tcW w:type="dxa" w:w="3322"/>
          </w:tcPr>
          <w:p>
            <w:pPr>
              <w:pStyle w:val="null3"/>
            </w:pPr>
            <w:r>
              <w:rPr>
                <w:rFonts w:ascii="仿宋_GB2312" w:hAnsi="仿宋_GB2312" w:cs="仿宋_GB2312" w:eastAsia="仿宋_GB2312"/>
              </w:rPr>
              <w:t>报价未超过招标文件中规定的单价最高限价的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不分节假日，在采购人发出采购计划后，省内供货时间不超过2个自然日，省外供货不超过5个自然日，急需药品不超过24小时。</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验收合格通过之日起至药品有效期年限。</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付款账期为九个月，即采购人收到供应商正式发票之日起第十个月开始按月向乙方支付货款（第十个月付第一个月货款，依此类推）。</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自双方签订合同之日起一年，或总合同金额采购完毕之日止（以先到者为准）。</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按招标文件要求提供。</w:t>
            </w:r>
          </w:p>
        </w:tc>
        <w:tc>
          <w:tcPr>
            <w:tcW w:type="dxa" w:w="1661"/>
          </w:tcPr>
          <w:p>
            <w:pPr>
              <w:pStyle w:val="null3"/>
            </w:pPr>
            <w:r>
              <w:rPr>
                <w:rFonts w:ascii="仿宋_GB2312" w:hAnsi="仿宋_GB2312" w:cs="仿宋_GB2312" w:eastAsia="仿宋_GB2312"/>
              </w:rPr>
              <w:t>承诺函.docx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驻场人员</w:t>
            </w:r>
          </w:p>
        </w:tc>
        <w:tc>
          <w:tcPr>
            <w:tcW w:type="dxa" w:w="2492"/>
          </w:tcPr>
          <w:p>
            <w:pPr>
              <w:pStyle w:val="null3"/>
            </w:pPr>
            <w:r>
              <w:rPr>
                <w:rFonts w:ascii="仿宋_GB2312" w:hAnsi="仿宋_GB2312" w:cs="仿宋_GB2312" w:eastAsia="仿宋_GB2312"/>
              </w:rPr>
              <w:t>配备至少2名具有中药专业背景的驻场人员，在此基础上每提供1人得1分，最高得3分。均需提供相关专业的职称证书或毕业证书，未提供不得分。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其他人员组成</w:t>
            </w:r>
          </w:p>
        </w:tc>
        <w:tc>
          <w:tcPr>
            <w:tcW w:type="dxa" w:w="2492"/>
          </w:tcPr>
          <w:p>
            <w:pPr>
              <w:pStyle w:val="null3"/>
            </w:pPr>
            <w:r>
              <w:rPr>
                <w:rFonts w:ascii="仿宋_GB2312" w:hAnsi="仿宋_GB2312" w:cs="仿宋_GB2312" w:eastAsia="仿宋_GB2312"/>
              </w:rPr>
              <w:t>1、人员组成：至少包含项目负责人、质量管控人员、调度人员、配送人员、售后服务人员得3分；（提供按照岗位划分的人员配备名单） 2、专业能力：以上人员每有一人具有中药专业背景人员得1分，最高2分。（提供相关专业的职称证书或毕业证书） 备注：其他人员与驻场人员不重复计分。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提供针对本项目配置的专门用于配送中药饮片配送的车辆（普通封闭式配送车（常温车）、阴凉车、冷藏车等类）： 1、配送车辆需满足配送中药饮片标准3类及以上得3分； 2、配送车辆需满足配送中药饮片标准2类得2分； 3、配送车辆需满足配送中药饮片标准1类得1分； 4、未提供不得分。 备注：车辆为供应商自有车辆需提供行驶证复印件；车辆为租赁车辆需提供租赁协议及行驶证复印件。 以上材料未提供或提供不全或提供的车辆不满足配送中药饮片标准的不得分。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生产厂家仓储总面积</w:t>
            </w:r>
          </w:p>
        </w:tc>
        <w:tc>
          <w:tcPr>
            <w:tcW w:type="dxa" w:w="2492"/>
          </w:tcPr>
          <w:p>
            <w:pPr>
              <w:pStyle w:val="null3"/>
            </w:pPr>
            <w:r>
              <w:rPr>
                <w:rFonts w:ascii="仿宋_GB2312" w:hAnsi="仿宋_GB2312" w:cs="仿宋_GB2312" w:eastAsia="仿宋_GB2312"/>
              </w:rPr>
              <w:t>面积在1000m²基础上每增加1000m²加1分，最高3分。 注：提供房产证明或房屋租赁合同，体现面积。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生产厂家功能仓储分区完整性</w:t>
            </w:r>
          </w:p>
        </w:tc>
        <w:tc>
          <w:tcPr>
            <w:tcW w:type="dxa" w:w="2492"/>
          </w:tcPr>
          <w:p>
            <w:pPr>
              <w:pStyle w:val="null3"/>
            </w:pPr>
            <w:r>
              <w:rPr>
                <w:rFonts w:ascii="仿宋_GB2312" w:hAnsi="仿宋_GB2312" w:cs="仿宋_GB2312" w:eastAsia="仿宋_GB2312"/>
              </w:rPr>
              <w:t>标本室、留样室、常温库、阴凉库、冷藏区，每具有1个得1分， 注：提供仓库平面图（需标注功能区）和对应分区实景照片。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仓库管理规范性</w:t>
            </w:r>
          </w:p>
        </w:tc>
        <w:tc>
          <w:tcPr>
            <w:tcW w:type="dxa" w:w="2492"/>
          </w:tcPr>
          <w:p>
            <w:pPr>
              <w:pStyle w:val="null3"/>
            </w:pPr>
            <w:r>
              <w:rPr>
                <w:rFonts w:ascii="仿宋_GB2312" w:hAnsi="仿宋_GB2312" w:cs="仿宋_GB2312" w:eastAsia="仿宋_GB2312"/>
              </w:rPr>
              <w:t>提供既往仓库管理制度、温湿度自动监测记录、日常养护记录，每提供一项得1分，满分3分。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种植基地</w:t>
            </w:r>
          </w:p>
        </w:tc>
        <w:tc>
          <w:tcPr>
            <w:tcW w:type="dxa" w:w="2492"/>
          </w:tcPr>
          <w:p>
            <w:pPr>
              <w:pStyle w:val="null3"/>
            </w:pPr>
            <w:r>
              <w:rPr>
                <w:rFonts w:ascii="仿宋_GB2312" w:hAnsi="仿宋_GB2312" w:cs="仿宋_GB2312" w:eastAsia="仿宋_GB2312"/>
              </w:rPr>
              <w:t>投标产品每提供1个符合GAP要求的种植基地得0.5分，满分4分。 注：药监局公示截图或GAP证书。</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源头溯源</w:t>
            </w:r>
          </w:p>
        </w:tc>
        <w:tc>
          <w:tcPr>
            <w:tcW w:type="dxa" w:w="2492"/>
          </w:tcPr>
          <w:p>
            <w:pPr>
              <w:pStyle w:val="null3"/>
            </w:pPr>
            <w:r>
              <w:rPr>
                <w:rFonts w:ascii="仿宋_GB2312" w:hAnsi="仿宋_GB2312" w:cs="仿宋_GB2312" w:eastAsia="仿宋_GB2312"/>
              </w:rPr>
              <w:t>供应商或生产厂家具有中药材生产质量管理追溯系统的得7分，系统需涵盖（相同功能即可）：1、种源管理；2、基地管理；3、质量管理；4、药材储运；5、药材追溯；6、物资管理；7、覆盖中药材鉴定、检疫、来源；确保中药材基源准确性，以上内容缺失一项扣 1分，提供系统操作界面截图等相关证明材料，未提供或提供的材料不符合要求的不得分。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基础信息化与软件配套1</w:t>
            </w:r>
          </w:p>
        </w:tc>
        <w:tc>
          <w:tcPr>
            <w:tcW w:type="dxa" w:w="2492"/>
          </w:tcPr>
          <w:p>
            <w:pPr>
              <w:pStyle w:val="null3"/>
            </w:pPr>
            <w:r>
              <w:rPr>
                <w:rFonts w:ascii="仿宋_GB2312" w:hAnsi="仿宋_GB2312" w:cs="仿宋_GB2312" w:eastAsia="仿宋_GB2312"/>
              </w:rPr>
              <w:t>一、供应商具有完整管理系统：自主知识产权得4分、非自主产权得2分、无系统不得分。 注：提供软件著作权证书。</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基础信息化与软件配套2</w:t>
            </w:r>
          </w:p>
        </w:tc>
        <w:tc>
          <w:tcPr>
            <w:tcW w:type="dxa" w:w="2492"/>
          </w:tcPr>
          <w:p>
            <w:pPr>
              <w:pStyle w:val="null3"/>
            </w:pPr>
            <w:r>
              <w:rPr>
                <w:rFonts w:ascii="仿宋_GB2312" w:hAnsi="仿宋_GB2312" w:cs="仿宋_GB2312" w:eastAsia="仿宋_GB2312"/>
              </w:rPr>
              <w:t>二、支持电子订单接收、配送信息管理、电子签收得2分。 注：提供系统截图+操作说明。</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提供供应商2023年1月1日至投标截止时间（以合同签订时间为准）同类项目业绩，每提供一份合同得2分，满分10分。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评审内容：清单中已明确需提供样品的种类，根据所提供样品种类的完整性以及样品品质评审，未提供样品及同批次检测报告或提供不全不计分（开标当日密封提交，未密封样品不予接受，样品标注单位名称，提供的样品为正常生产最小包装）。 ⼆、评审标准：1、外观；2、色泽；3、气味；4、触觉；5、产品表面或切面纹理。 每个评审项完全满足得2分，提供样品中每有一处评审标准存在缺陷扣0.1分，扣完为止。 备注：缺陷是指片型缺陷、霉变、虫蛀、走油、杂质过多、染色、硫熏过度、颜色异常、褐变、光泽缺失、焦斑、色泽不均、过度鲜艳、异常洁白、气味不正、质地异常、湿软/返潮、干枯/无油润、过粉、轻重异常、粗糙、杂质感、纹理缺失/模糊、断面粗糙/不平整、纤维化过度、裂隙异常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方案至少包含：1、药材来源；2、生产、炮制工艺；3、根据药品特性及季节变化制定保管措施；4、检验检测能力。 方案各项内容全面详细、阐述条理清晰、配置合理，能有效保障本项目实施得满分，每有一项缺项扣1分，每有一处内容存在缺陷，扣0.1分。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 1、项目总体实施及验收方案； 2、项目信息管理方案（包括不限于，中药饮片出入库、退换信息管理、产品溯源管理、详细医院信息化建设方案等）； 3、产品库存保障及供应应急措施。 4、售后服务保障措施及售后人员安排； 5、对有质量问题的中药饮片退、换货措施； 6、因问题产品引发的医疗纠纷应急措施； ⼆、评审标准：每项内容完整可⾏且有针对性得1分，缺漏项不得分，满分6分；每项内容中每有⼀处有缺陷扣0.1分，扣完为⽌。 备注：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 （小微企业、监狱企业或残疾人福利性单位用投标报价扣除后的价格参加评审。专门面向中小企业采购的项目不进行价格扣除。） （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详见附件：实施方案、人员表及供应商认为有必要提供的其他内容.docx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详见附件：开标一览表及分项报价表.docx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