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F8BD1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一、项目概况</w:t>
      </w:r>
    </w:p>
    <w:p w14:paraId="705D663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lang w:val="en-US" w:eastAsia="zh-CN"/>
        </w:rPr>
        <w:t>本项目位于西咸新区，经</w:t>
      </w:r>
      <w:r>
        <w:rPr>
          <w:rFonts w:hint="eastAsia" w:ascii="宋体" w:hAnsi="宋体" w:eastAsia="宋体" w:cs="宋体"/>
          <w:color w:val="auto"/>
          <w:spacing w:val="-1"/>
          <w:sz w:val="24"/>
          <w:szCs w:val="24"/>
          <w:highlight w:val="none"/>
        </w:rPr>
        <w:t>前期地勘调查的结果显示，该范围内地表下存在大量宅基地及厂房地基未破除，平均埋深为2.5米，目前不具备考古勘探条件。初步测算涉及垃圾约</w:t>
      </w:r>
      <w:r>
        <w:rPr>
          <w:rFonts w:hint="eastAsia" w:cs="宋体"/>
          <w:color w:val="auto"/>
          <w:spacing w:val="-1"/>
          <w:sz w:val="24"/>
          <w:szCs w:val="24"/>
          <w:highlight w:val="none"/>
          <w:lang w:val="en-US" w:eastAsia="zh-CN"/>
        </w:rPr>
        <w:t>10.58</w:t>
      </w:r>
      <w:r>
        <w:rPr>
          <w:rFonts w:hint="eastAsia" w:ascii="宋体" w:hAnsi="宋体" w:eastAsia="宋体" w:cs="宋体"/>
          <w:color w:val="auto"/>
          <w:spacing w:val="-1"/>
          <w:sz w:val="24"/>
          <w:szCs w:val="24"/>
          <w:highlight w:val="none"/>
        </w:rPr>
        <w:t>万立方，</w:t>
      </w:r>
      <w:r>
        <w:rPr>
          <w:rFonts w:hint="eastAsia" w:ascii="宋体" w:hAnsi="宋体" w:eastAsia="宋体" w:cs="宋体"/>
          <w:color w:val="auto"/>
          <w:spacing w:val="-1"/>
          <w:sz w:val="24"/>
          <w:szCs w:val="24"/>
          <w:highlight w:val="none"/>
          <w:lang w:val="en-US" w:eastAsia="zh-CN"/>
        </w:rPr>
        <w:t>最终以</w:t>
      </w:r>
      <w:r>
        <w:rPr>
          <w:rFonts w:hint="eastAsia" w:ascii="宋体" w:hAnsi="宋体" w:eastAsia="宋体" w:cs="宋体"/>
          <w:color w:val="auto"/>
          <w:spacing w:val="-1"/>
          <w:sz w:val="24"/>
          <w:szCs w:val="24"/>
          <w:highlight w:val="none"/>
        </w:rPr>
        <w:t>第三方测量报告为准</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现需完成</w:t>
      </w:r>
      <w:r>
        <w:rPr>
          <w:rFonts w:hint="eastAsia" w:ascii="宋体" w:hAnsi="宋体" w:eastAsia="宋体" w:cs="宋体"/>
          <w:color w:val="auto"/>
          <w:spacing w:val="-1"/>
          <w:sz w:val="24"/>
          <w:szCs w:val="24"/>
          <w:highlight w:val="none"/>
        </w:rPr>
        <w:t>宅基地及厂房地基破除</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清表及垃圾外运等工作，达到文物勘探进场作业条件。</w:t>
      </w:r>
    </w:p>
    <w:p w14:paraId="5E5E436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4"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2"/>
          <w:sz w:val="24"/>
          <w:szCs w:val="24"/>
          <w:highlight w:val="none"/>
        </w:rPr>
        <w:t>二、工期</w:t>
      </w: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lang w:val="en-US" w:eastAsia="zh-CN"/>
        </w:rPr>
        <w:t>质量标准</w:t>
      </w:r>
    </w:p>
    <w:p w14:paraId="45590A0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（一）工期：</w:t>
      </w:r>
      <w:r>
        <w:rPr>
          <w:rFonts w:hint="eastAsia" w:ascii="宋体" w:hAnsi="宋体" w:eastAsia="宋体" w:cs="宋体"/>
          <w:i w:val="0"/>
          <w:iCs w:val="0"/>
          <w:caps w:val="0"/>
          <w:color w:val="auto"/>
          <w:spacing w:val="0"/>
          <w:sz w:val="24"/>
          <w:szCs w:val="24"/>
          <w:highlight w:val="none"/>
          <w:shd w:val="clear" w:color="auto" w:fill="FFFFFF"/>
          <w:lang w:eastAsia="zh-CN"/>
        </w:rPr>
        <w:t>合同签订后一个月内完成。</w:t>
      </w:r>
    </w:p>
    <w:p w14:paraId="6B1F434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color w:val="auto"/>
          <w:spacing w:val="-3"/>
          <w:sz w:val="24"/>
          <w:szCs w:val="24"/>
          <w:highlight w:val="none"/>
        </w:rPr>
        <w:t>遇阴雨天及不可抗力因素以及其他施工因素影响、工期相应顺延（顺延工期应由采购人、中标人共同签字确认）</w:t>
      </w:r>
    </w:p>
    <w:p w14:paraId="03613176">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（二）质量标准</w:t>
      </w:r>
    </w:p>
    <w:p w14:paraId="50DBBB0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1、项目范围内的</w:t>
      </w:r>
      <w:r>
        <w:rPr>
          <w:rFonts w:hint="eastAsia" w:ascii="宋体" w:hAnsi="宋体" w:eastAsia="宋体" w:cs="宋体"/>
          <w:color w:val="auto"/>
          <w:spacing w:val="-2"/>
          <w:sz w:val="24"/>
          <w:szCs w:val="24"/>
          <w:highlight w:val="none"/>
          <w:lang w:val="en-US" w:eastAsia="zh-CN"/>
        </w:rPr>
        <w:t>地基及宅基地等</w:t>
      </w:r>
      <w:r>
        <w:rPr>
          <w:rFonts w:hint="eastAsia" w:ascii="宋体" w:hAnsi="宋体" w:eastAsia="宋体" w:cs="宋体"/>
          <w:color w:val="auto"/>
          <w:spacing w:val="-2"/>
          <w:sz w:val="24"/>
          <w:szCs w:val="24"/>
          <w:highlight w:val="none"/>
        </w:rPr>
        <w:t>全部采用湿法作</w:t>
      </w:r>
      <w:r>
        <w:rPr>
          <w:rFonts w:hint="eastAsia" w:ascii="宋体" w:hAnsi="宋体" w:eastAsia="宋体" w:cs="宋体"/>
          <w:color w:val="auto"/>
          <w:spacing w:val="-3"/>
          <w:sz w:val="24"/>
          <w:szCs w:val="24"/>
          <w:highlight w:val="none"/>
        </w:rPr>
        <w:t>业、机械拆除、现场无扬尘，</w:t>
      </w:r>
      <w:r>
        <w:rPr>
          <w:rFonts w:hint="eastAsia" w:ascii="宋体" w:hAnsi="宋体" w:eastAsia="宋体" w:cs="宋体"/>
          <w:color w:val="auto"/>
          <w:sz w:val="24"/>
          <w:szCs w:val="24"/>
          <w:highlight w:val="none"/>
        </w:rPr>
        <w:t>严禁人工拆除。垃圾清运全部采用机械清运的</w:t>
      </w:r>
      <w:r>
        <w:rPr>
          <w:rFonts w:hint="eastAsia" w:ascii="宋体" w:hAnsi="宋体" w:eastAsia="宋体" w:cs="宋体"/>
          <w:color w:val="auto"/>
          <w:spacing w:val="-1"/>
          <w:sz w:val="24"/>
          <w:szCs w:val="24"/>
          <w:highlight w:val="none"/>
        </w:rPr>
        <w:t>施工方法，严禁人工清运。</w:t>
      </w:r>
    </w:p>
    <w:p w14:paraId="5657DC1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r>
        <w:rPr>
          <w:rFonts w:hint="eastAsia" w:ascii="宋体" w:hAnsi="宋体" w:eastAsia="宋体" w:cs="宋体"/>
          <w:color w:val="auto"/>
          <w:spacing w:val="-2"/>
          <w:sz w:val="24"/>
          <w:szCs w:val="24"/>
          <w:highlight w:val="none"/>
          <w:lang w:val="en-US" w:eastAsia="zh-CN"/>
        </w:rPr>
        <w:t>地基及宅基地</w:t>
      </w:r>
      <w:r>
        <w:rPr>
          <w:rFonts w:hint="eastAsia" w:ascii="宋体" w:hAnsi="宋体" w:eastAsia="宋体" w:cs="宋体"/>
          <w:color w:val="auto"/>
          <w:spacing w:val="-1"/>
          <w:sz w:val="24"/>
          <w:szCs w:val="24"/>
          <w:highlight w:val="none"/>
          <w:lang w:val="en-US" w:eastAsia="zh-CN"/>
        </w:rPr>
        <w:t>破除及垃圾清运</w:t>
      </w:r>
      <w:r>
        <w:rPr>
          <w:rFonts w:hint="eastAsia" w:ascii="宋体" w:hAnsi="宋体" w:eastAsia="宋体" w:cs="宋体"/>
          <w:color w:val="auto"/>
          <w:spacing w:val="-1"/>
          <w:sz w:val="24"/>
          <w:szCs w:val="24"/>
          <w:highlight w:val="none"/>
        </w:rPr>
        <w:t>完成</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并进行</w:t>
      </w:r>
      <w:r>
        <w:rPr>
          <w:rFonts w:hint="eastAsia" w:ascii="宋体" w:hAnsi="宋体" w:eastAsia="宋体" w:cs="宋体"/>
          <w:color w:val="auto"/>
          <w:spacing w:val="-1"/>
          <w:sz w:val="24"/>
          <w:szCs w:val="24"/>
          <w:highlight w:val="none"/>
        </w:rPr>
        <w:t>场地平整</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达到文物勘探进场作业条件，</w:t>
      </w:r>
      <w:r>
        <w:rPr>
          <w:rFonts w:hint="eastAsia" w:ascii="宋体" w:hAnsi="宋体" w:eastAsia="宋体" w:cs="宋体"/>
          <w:color w:val="auto"/>
          <w:spacing w:val="-1"/>
          <w:sz w:val="24"/>
          <w:szCs w:val="24"/>
          <w:highlight w:val="none"/>
        </w:rPr>
        <w:t>。</w:t>
      </w:r>
    </w:p>
    <w:p w14:paraId="3CFD1F2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破除等</w:t>
      </w:r>
      <w:r>
        <w:rPr>
          <w:rFonts w:hint="eastAsia" w:ascii="宋体" w:hAnsi="宋体" w:eastAsia="宋体" w:cs="宋体"/>
          <w:color w:val="auto"/>
          <w:spacing w:val="-1"/>
          <w:sz w:val="24"/>
          <w:szCs w:val="24"/>
          <w:highlight w:val="none"/>
        </w:rPr>
        <w:t>产生的全部</w:t>
      </w:r>
      <w:r>
        <w:rPr>
          <w:rFonts w:hint="eastAsia" w:ascii="宋体" w:hAnsi="宋体" w:eastAsia="宋体" w:cs="宋体"/>
          <w:color w:val="auto"/>
          <w:spacing w:val="-3"/>
          <w:sz w:val="24"/>
          <w:szCs w:val="24"/>
          <w:highlight w:val="none"/>
        </w:rPr>
        <w:t>建筑垃圾，严格按照城市管理部门指定的运输路线和倾倒场地清运，不得冒</w:t>
      </w:r>
      <w:r>
        <w:rPr>
          <w:rFonts w:hint="eastAsia" w:ascii="宋体" w:hAnsi="宋体" w:eastAsia="宋体" w:cs="宋体"/>
          <w:color w:val="auto"/>
          <w:spacing w:val="-4"/>
          <w:sz w:val="24"/>
          <w:szCs w:val="24"/>
          <w:highlight w:val="none"/>
        </w:rPr>
        <w:t>尖装栽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、不得沿路抛洒。</w:t>
      </w:r>
    </w:p>
    <w:p w14:paraId="46CC0756">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、全部垃</w:t>
      </w:r>
      <w:r>
        <w:rPr>
          <w:rFonts w:hint="eastAsia" w:ascii="宋体" w:hAnsi="宋体" w:eastAsia="宋体" w:cs="宋体"/>
          <w:color w:val="auto"/>
          <w:spacing w:val="-1"/>
          <w:sz w:val="24"/>
          <w:szCs w:val="24"/>
          <w:highlight w:val="none"/>
        </w:rPr>
        <w:t>圾清运完毕，现场无任何遗留物（最后</w:t>
      </w:r>
      <w:r>
        <w:rPr>
          <w:rFonts w:hint="eastAsia" w:ascii="宋体" w:hAnsi="宋体" w:eastAsia="宋体" w:cs="宋体"/>
          <w:color w:val="auto"/>
          <w:spacing w:val="-3"/>
          <w:sz w:val="24"/>
          <w:szCs w:val="24"/>
          <w:highlight w:val="none"/>
        </w:rPr>
        <w:t>以采购人、中标人共同验收合格，签字确认为准）。且施工方</w:t>
      </w:r>
      <w:r>
        <w:rPr>
          <w:rFonts w:hint="eastAsia" w:ascii="宋体" w:hAnsi="宋体" w:eastAsia="宋体" w:cs="宋体"/>
          <w:color w:val="auto"/>
          <w:spacing w:val="-3"/>
          <w:sz w:val="24"/>
          <w:szCs w:val="24"/>
          <w:highlight w:val="none"/>
          <w:lang w:val="en-US" w:eastAsia="zh-CN"/>
        </w:rPr>
        <w:t>自行消纳处置</w:t>
      </w:r>
      <w:r>
        <w:rPr>
          <w:rFonts w:hint="eastAsia" w:ascii="宋体" w:hAnsi="宋体" w:eastAsia="宋体" w:cs="宋体"/>
          <w:color w:val="auto"/>
          <w:spacing w:val="-2"/>
          <w:sz w:val="24"/>
          <w:szCs w:val="24"/>
          <w:highlight w:val="none"/>
        </w:rPr>
        <w:t>。</w:t>
      </w:r>
    </w:p>
    <w:p w14:paraId="5CC138D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lang w:val="en-US" w:eastAsia="zh-CN"/>
        </w:rPr>
        <w:t>5、</w:t>
      </w:r>
      <w:r>
        <w:rPr>
          <w:rFonts w:hint="eastAsia" w:ascii="宋体" w:hAnsi="宋体" w:eastAsia="宋体" w:cs="宋体"/>
          <w:color w:val="auto"/>
          <w:spacing w:val="-2"/>
          <w:sz w:val="24"/>
          <w:szCs w:val="24"/>
          <w:highlight w:val="none"/>
        </w:rPr>
        <w:t>质量要求：合格。</w:t>
      </w:r>
    </w:p>
    <w:p w14:paraId="3880206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三</w:t>
      </w:r>
      <w:r>
        <w:rPr>
          <w:rFonts w:hint="eastAsia" w:ascii="宋体" w:hAnsi="宋体" w:eastAsia="宋体" w:cs="宋体"/>
          <w:b/>
          <w:bCs/>
          <w:color w:val="auto"/>
          <w:spacing w:val="6"/>
          <w:sz w:val="24"/>
          <w:szCs w:val="24"/>
          <w:highlight w:val="none"/>
        </w:rPr>
        <w:t>、安全要求</w:t>
      </w:r>
    </w:p>
    <w:p w14:paraId="06365E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1、</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应制定可靠的施工方案和安全事故应急方案，采取有效安全防护措施，确保无安全事故发生。</w:t>
      </w:r>
    </w:p>
    <w:p w14:paraId="7642D8A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2、按规定配备专职安全员。现场项目经理和专职安全员必须持有安全生产</w:t>
      </w:r>
      <w:r>
        <w:rPr>
          <w:rFonts w:hint="eastAsia" w:ascii="宋体" w:hAnsi="宋体" w:cs="宋体"/>
          <w:color w:val="auto"/>
          <w:spacing w:val="-1"/>
          <w:kern w:val="2"/>
          <w:sz w:val="24"/>
          <w:szCs w:val="24"/>
          <w:highlight w:val="none"/>
          <w:lang w:val="en-US" w:eastAsia="zh-CN" w:bidi="ar-SA"/>
        </w:rPr>
        <w:t>相关</w:t>
      </w:r>
      <w:r>
        <w:rPr>
          <w:rFonts w:hint="eastAsia" w:ascii="宋体" w:hAnsi="宋体" w:eastAsia="宋体" w:cs="宋体"/>
          <w:color w:val="auto"/>
          <w:spacing w:val="-1"/>
          <w:kern w:val="2"/>
          <w:sz w:val="24"/>
          <w:szCs w:val="24"/>
          <w:highlight w:val="none"/>
          <w:lang w:val="en-US" w:eastAsia="zh-CN" w:bidi="ar-SA"/>
        </w:rPr>
        <w:t>证</w:t>
      </w:r>
      <w:r>
        <w:rPr>
          <w:rFonts w:hint="eastAsia" w:ascii="宋体" w:hAnsi="宋体" w:cs="宋体"/>
          <w:color w:val="auto"/>
          <w:spacing w:val="-1"/>
          <w:kern w:val="2"/>
          <w:sz w:val="24"/>
          <w:szCs w:val="24"/>
          <w:highlight w:val="none"/>
          <w:lang w:val="en-US" w:eastAsia="zh-CN" w:bidi="ar-SA"/>
        </w:rPr>
        <w:t>书</w:t>
      </w:r>
      <w:r>
        <w:rPr>
          <w:rFonts w:hint="eastAsia" w:ascii="宋体" w:hAnsi="宋体" w:eastAsia="宋体" w:cs="宋体"/>
          <w:color w:val="auto"/>
          <w:spacing w:val="-1"/>
          <w:kern w:val="2"/>
          <w:sz w:val="24"/>
          <w:szCs w:val="24"/>
          <w:highlight w:val="none"/>
          <w:lang w:val="en-US" w:eastAsia="zh-CN" w:bidi="ar-SA"/>
        </w:rPr>
        <w:t>。各作业班组长和施工作业人员必须经安全技术培训方可上岗。</w:t>
      </w:r>
    </w:p>
    <w:p w14:paraId="15DBA2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76" w:firstLineChars="200"/>
        <w:jc w:val="both"/>
        <w:textAlignment w:val="auto"/>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3、机械施工、运输严格遵守《建筑机械使用安全技术规程》，机械操作、驾驶人员必须持证上岗。</w:t>
      </w:r>
    </w:p>
    <w:p w14:paraId="208B58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76" w:firstLineChars="200"/>
        <w:jc w:val="both"/>
        <w:textAlignment w:val="auto"/>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4、运输车辆驾驶人员应严格遵守《道路交通安全法》及相关法规，确保安全运输。</w:t>
      </w:r>
    </w:p>
    <w:p w14:paraId="245325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四</w:t>
      </w:r>
      <w:r>
        <w:rPr>
          <w:rFonts w:hint="eastAsia" w:ascii="宋体" w:hAnsi="宋体" w:eastAsia="宋体" w:cs="宋体"/>
          <w:b/>
          <w:bCs/>
          <w:color w:val="auto"/>
          <w:spacing w:val="6"/>
          <w:sz w:val="24"/>
          <w:szCs w:val="24"/>
          <w:highlight w:val="none"/>
        </w:rPr>
        <w:t>、工程施工基本要求：</w:t>
      </w:r>
    </w:p>
    <w:p w14:paraId="0C7049B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1、</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必须配备足够的人员和充足的机械设备进入实施。</w:t>
      </w:r>
    </w:p>
    <w:p w14:paraId="793B65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2、必须严密组织，文明施工，作好四周维护及安全环保措施，所需费用由</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承担，施工过程必须严格遵守政府相关规定。</w:t>
      </w:r>
    </w:p>
    <w:p w14:paraId="3833E9E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3、严格遵守陕西省及西安市关于控制扬尘污染、治污减霾、绿网覆盖的相关规定，并承担一切安全事故或违规处罚所带来的经济及法律责任。</w:t>
      </w:r>
    </w:p>
    <w:p w14:paraId="739ADCC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4、在施工作业前，</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应制定施工方案，提出具体的防尘抑尘降尘降噪等环保措施，配备足够的防尘抑尘降尘软硬件设施，明确环保要求和环保责任人、并按有关标准及专项实施方案实施湿法作业，有效降尘作业，造成扬尘污染的，必须服从相关监督或管理部门发出的责令整改并接受其按有关规定进行的处理。</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在外运渣土、垃圾中应严格遵守西咸新区关于治污减霾相关规定，服从西咸新区相关部门管理，严格做好治污减霾工作。</w:t>
      </w:r>
    </w:p>
    <w:p w14:paraId="1DEA988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5、</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必须严格按照治污减霾工作要求，完成施工工作，并承担相关费用，同时，需根据政府相关部门要求，完成清运外运相关手续办理后方可进场施工。施工过程中，应无条件响应各级管理部门，采购人各项管理规定，要求停工时必须立即停工。如因投标人私自作业，不按要求施工等情况由投标人承担全部责任，由此产生的全部费用由</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承担。</w:t>
      </w:r>
    </w:p>
    <w:p w14:paraId="4015760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6、投标人负责现场安全管理工作，应确保安全、文明作业，并承担全部责任及由此产生的全部费用，现场人员由</w:t>
      </w:r>
      <w:r>
        <w:rPr>
          <w:rFonts w:hint="eastAsia" w:ascii="宋体" w:hAnsi="宋体" w:cs="宋体"/>
          <w:color w:val="auto"/>
          <w:spacing w:val="-1"/>
          <w:kern w:val="2"/>
          <w:sz w:val="24"/>
          <w:szCs w:val="24"/>
          <w:highlight w:val="none"/>
          <w:lang w:val="en-US" w:eastAsia="zh-CN" w:bidi="ar-SA"/>
        </w:rPr>
        <w:t>投标人</w:t>
      </w:r>
      <w:r>
        <w:rPr>
          <w:rFonts w:hint="eastAsia" w:ascii="宋体" w:hAnsi="宋体" w:eastAsia="宋体" w:cs="宋体"/>
          <w:color w:val="auto"/>
          <w:spacing w:val="-1"/>
          <w:kern w:val="2"/>
          <w:sz w:val="24"/>
          <w:szCs w:val="24"/>
          <w:highlight w:val="none"/>
          <w:lang w:val="en-US" w:eastAsia="zh-CN" w:bidi="ar-SA"/>
        </w:rPr>
        <w:t>按照相关规定办理相关保险事宜。</w:t>
      </w:r>
    </w:p>
    <w:p w14:paraId="797AAAC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7.倾倒点应为正规消纳场、回填点或项目工地等。</w:t>
      </w:r>
    </w:p>
    <w:p w14:paraId="0E9D8D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五</w:t>
      </w:r>
      <w:r>
        <w:rPr>
          <w:rFonts w:hint="eastAsia" w:ascii="宋体" w:hAnsi="宋体" w:eastAsia="宋体" w:cs="宋体"/>
          <w:b/>
          <w:bCs/>
          <w:color w:val="auto"/>
          <w:spacing w:val="6"/>
          <w:sz w:val="24"/>
          <w:szCs w:val="24"/>
          <w:highlight w:val="none"/>
        </w:rPr>
        <w:t>、技术规范及要求：</w:t>
      </w:r>
    </w:p>
    <w:p w14:paraId="11283E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执行国家、省、市现行的相关规定及标准文件。具体技术要求包括但不限于以下规定、标准、规范：</w:t>
      </w:r>
    </w:p>
    <w:p w14:paraId="3473A58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《建设工程安全生产管理条例》；</w:t>
      </w:r>
    </w:p>
    <w:p w14:paraId="635E246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《西安市建筑垃圾管理条例》；</w:t>
      </w:r>
    </w:p>
    <w:p w14:paraId="5F6D2C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《西安市扬尘污染防治条例》；</w:t>
      </w:r>
    </w:p>
    <w:p w14:paraId="5E80C5A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《施工现场临时用电安全技术规范》JGJ46－2005；</w:t>
      </w:r>
    </w:p>
    <w:p w14:paraId="383990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《建筑机械使用安全技术规程》 (JGJ33-2012)；</w:t>
      </w:r>
    </w:p>
    <w:p w14:paraId="7B5AAA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以上规范、标准如遇调整或最新规范时， 以调整后或最新规范内容为准。</w:t>
      </w:r>
    </w:p>
    <w:p w14:paraId="467B7DF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六</w:t>
      </w:r>
      <w:r>
        <w:rPr>
          <w:rFonts w:hint="eastAsia" w:ascii="宋体" w:hAnsi="宋体" w:eastAsia="宋体" w:cs="宋体"/>
          <w:b/>
          <w:bCs/>
          <w:color w:val="auto"/>
          <w:spacing w:val="-4"/>
          <w:sz w:val="24"/>
          <w:szCs w:val="24"/>
          <w:highlight w:val="none"/>
        </w:rPr>
        <w:t>、工程量清单</w:t>
      </w:r>
    </w:p>
    <w:tbl>
      <w:tblPr>
        <w:tblStyle w:val="5"/>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62"/>
        <w:gridCol w:w="2344"/>
        <w:gridCol w:w="1066"/>
        <w:gridCol w:w="1918"/>
        <w:gridCol w:w="1919"/>
      </w:tblGrid>
      <w:tr w14:paraId="7AA84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7" w:hRule="atLeast"/>
        </w:trPr>
        <w:tc>
          <w:tcPr>
            <w:tcW w:w="639" w:type="pct"/>
            <w:noWrap w:val="0"/>
            <w:vAlign w:val="center"/>
          </w:tcPr>
          <w:p w14:paraId="159539A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序号</w:t>
            </w:r>
          </w:p>
        </w:tc>
        <w:tc>
          <w:tcPr>
            <w:tcW w:w="1410" w:type="pct"/>
            <w:noWrap w:val="0"/>
            <w:vAlign w:val="center"/>
          </w:tcPr>
          <w:p w14:paraId="5F83727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清单项目</w:t>
            </w:r>
          </w:p>
        </w:tc>
        <w:tc>
          <w:tcPr>
            <w:tcW w:w="641" w:type="pct"/>
            <w:noWrap w:val="0"/>
            <w:vAlign w:val="center"/>
          </w:tcPr>
          <w:p w14:paraId="7C9444B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单位</w:t>
            </w:r>
          </w:p>
        </w:tc>
        <w:tc>
          <w:tcPr>
            <w:tcW w:w="1154" w:type="pct"/>
            <w:noWrap w:val="0"/>
            <w:vAlign w:val="center"/>
          </w:tcPr>
          <w:p w14:paraId="68AC10F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cs="宋体"/>
                <w:color w:val="auto"/>
                <w:spacing w:val="-5"/>
                <w:sz w:val="24"/>
                <w:szCs w:val="24"/>
                <w:highlight w:val="none"/>
                <w:lang w:val="en-US" w:eastAsia="zh-CN"/>
              </w:rPr>
              <w:t>暂定</w:t>
            </w:r>
            <w:r>
              <w:rPr>
                <w:rFonts w:hint="eastAsia" w:ascii="宋体" w:hAnsi="宋体" w:eastAsia="宋体" w:cs="宋体"/>
                <w:color w:val="auto"/>
                <w:spacing w:val="-5"/>
                <w:sz w:val="24"/>
                <w:szCs w:val="24"/>
                <w:highlight w:val="none"/>
              </w:rPr>
              <w:t>工程量</w:t>
            </w:r>
          </w:p>
        </w:tc>
        <w:tc>
          <w:tcPr>
            <w:tcW w:w="1154" w:type="pct"/>
            <w:noWrap w:val="0"/>
            <w:vAlign w:val="center"/>
          </w:tcPr>
          <w:p w14:paraId="28D1E14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default" w:cs="宋体"/>
                <w:color w:val="auto"/>
                <w:spacing w:val="-5"/>
                <w:sz w:val="24"/>
                <w:szCs w:val="24"/>
                <w:highlight w:val="none"/>
                <w:lang w:val="en-US" w:eastAsia="zh-CN"/>
              </w:rPr>
            </w:pPr>
            <w:r>
              <w:rPr>
                <w:rFonts w:hint="eastAsia" w:cs="宋体"/>
                <w:color w:val="auto"/>
                <w:spacing w:val="-5"/>
                <w:sz w:val="24"/>
                <w:szCs w:val="24"/>
                <w:highlight w:val="none"/>
                <w:lang w:val="en-US" w:eastAsia="zh-CN"/>
              </w:rPr>
              <w:t>单价限价</w:t>
            </w:r>
          </w:p>
        </w:tc>
      </w:tr>
      <w:tr w14:paraId="4AB68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8" w:hRule="atLeast"/>
        </w:trPr>
        <w:tc>
          <w:tcPr>
            <w:tcW w:w="639" w:type="pct"/>
            <w:noWrap w:val="0"/>
            <w:vAlign w:val="center"/>
          </w:tcPr>
          <w:p w14:paraId="7B57679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410" w:type="pct"/>
            <w:noWrap w:val="0"/>
            <w:vAlign w:val="center"/>
          </w:tcPr>
          <w:p w14:paraId="2BFF93B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破除及</w:t>
            </w:r>
            <w:r>
              <w:rPr>
                <w:rFonts w:hint="eastAsia" w:ascii="宋体" w:hAnsi="宋体" w:eastAsia="宋体" w:cs="宋体"/>
                <w:color w:val="auto"/>
                <w:spacing w:val="-3"/>
                <w:sz w:val="24"/>
                <w:szCs w:val="24"/>
                <w:highlight w:val="none"/>
              </w:rPr>
              <w:t>垃圾外运</w:t>
            </w:r>
          </w:p>
        </w:tc>
        <w:tc>
          <w:tcPr>
            <w:tcW w:w="641" w:type="pct"/>
            <w:noWrap w:val="0"/>
            <w:vAlign w:val="center"/>
          </w:tcPr>
          <w:p w14:paraId="062AFCE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m³</w:t>
            </w:r>
          </w:p>
        </w:tc>
        <w:tc>
          <w:tcPr>
            <w:tcW w:w="1154" w:type="pct"/>
            <w:noWrap w:val="0"/>
            <w:vAlign w:val="center"/>
          </w:tcPr>
          <w:p w14:paraId="57C071E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105800</w:t>
            </w:r>
          </w:p>
        </w:tc>
        <w:tc>
          <w:tcPr>
            <w:tcW w:w="1154" w:type="pct"/>
            <w:noWrap w:val="0"/>
            <w:vAlign w:val="center"/>
          </w:tcPr>
          <w:p w14:paraId="4E2CDF0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default" w:cs="宋体"/>
                <w:color w:val="auto"/>
                <w:sz w:val="24"/>
                <w:szCs w:val="24"/>
                <w:highlight w:val="none"/>
                <w:lang w:val="en-US" w:eastAsia="zh-CN"/>
              </w:rPr>
            </w:pPr>
            <w:r>
              <w:rPr>
                <w:rFonts w:hint="eastAsia" w:cs="宋体"/>
                <w:color w:val="auto"/>
                <w:sz w:val="24"/>
                <w:szCs w:val="24"/>
                <w:highlight w:val="none"/>
                <w:lang w:val="en-US" w:eastAsia="zh-CN"/>
              </w:rPr>
              <w:t>105元/m³</w:t>
            </w:r>
          </w:p>
        </w:tc>
      </w:tr>
    </w:tbl>
    <w:p w14:paraId="3E49AF2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rPr>
        <w:t>注：投标报价应是投标人为完成本项目要求的全部工程内容最终的价格体现；投标人所报的价格应考虑到可能发生的所有与完成本项目相关服务及履行合同义务有关的一切费用；投标人的</w:t>
      </w:r>
      <w:r>
        <w:rPr>
          <w:rFonts w:hint="eastAsia" w:ascii="宋体" w:hAnsi="宋体" w:cs="宋体"/>
          <w:color w:val="auto"/>
          <w:spacing w:val="-3"/>
          <w:sz w:val="24"/>
          <w:szCs w:val="24"/>
          <w:highlight w:val="none"/>
          <w:lang w:val="en-US" w:eastAsia="zh-CN"/>
        </w:rPr>
        <w:t>报价</w:t>
      </w:r>
      <w:r>
        <w:rPr>
          <w:rFonts w:hint="eastAsia" w:ascii="宋体" w:hAnsi="宋体" w:eastAsia="宋体" w:cs="宋体"/>
          <w:color w:val="auto"/>
          <w:spacing w:val="-3"/>
          <w:sz w:val="24"/>
          <w:szCs w:val="24"/>
          <w:highlight w:val="none"/>
        </w:rPr>
        <w:t>大于最高限价</w:t>
      </w:r>
      <w:r>
        <w:rPr>
          <w:rFonts w:hint="eastAsia" w:ascii="宋体" w:hAnsi="宋体" w:cs="宋体"/>
          <w:color w:val="auto"/>
          <w:spacing w:val="-3"/>
          <w:sz w:val="24"/>
          <w:szCs w:val="24"/>
          <w:highlight w:val="none"/>
          <w:lang w:val="en-US" w:eastAsia="zh-CN"/>
        </w:rPr>
        <w:t>总价或</w:t>
      </w:r>
      <w:bookmarkStart w:id="0" w:name="_GoBack"/>
      <w:bookmarkEnd w:id="0"/>
      <w:r>
        <w:rPr>
          <w:rFonts w:hint="eastAsia" w:ascii="宋体" w:hAnsi="宋体" w:cs="宋体"/>
          <w:color w:val="auto"/>
          <w:spacing w:val="-3"/>
          <w:sz w:val="24"/>
          <w:szCs w:val="24"/>
          <w:highlight w:val="none"/>
          <w:lang w:val="en-US" w:eastAsia="zh-CN"/>
        </w:rPr>
        <w:t>单价限价</w:t>
      </w:r>
      <w:r>
        <w:rPr>
          <w:rFonts w:hint="eastAsia" w:ascii="宋体" w:hAnsi="宋体" w:eastAsia="宋体" w:cs="宋体"/>
          <w:color w:val="auto"/>
          <w:spacing w:val="-3"/>
          <w:sz w:val="24"/>
          <w:szCs w:val="24"/>
          <w:highlight w:val="none"/>
        </w:rPr>
        <w:t>时，将视为无效报价，按无效投标处</w:t>
      </w:r>
      <w:r>
        <w:rPr>
          <w:rFonts w:hint="eastAsia" w:ascii="宋体" w:hAnsi="宋体" w:eastAsia="宋体" w:cs="宋体"/>
          <w:color w:val="auto"/>
          <w:spacing w:val="-3"/>
          <w:sz w:val="24"/>
          <w:szCs w:val="24"/>
          <w:highlight w:val="none"/>
          <w:lang w:val="en-US" w:eastAsia="zh-CN"/>
        </w:rPr>
        <w:t>理。</w:t>
      </w:r>
    </w:p>
    <w:p w14:paraId="5D61AB5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最终结算以实际工程量及单价进行结算。</w:t>
      </w:r>
    </w:p>
    <w:p w14:paraId="10AA7221">
      <w:pPr>
        <w:rPr>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74D00"/>
    <w:rsid w:val="029C7664"/>
    <w:rsid w:val="34C659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43" w:firstLineChars="200"/>
      <w:jc w:val="both"/>
    </w:pPr>
    <w:rPr>
      <w:rFonts w:ascii="Times New Roman" w:hAnsi="Times New Roman" w:eastAsia="宋体" w:cs="Times New Roman"/>
      <w:kern w:val="2"/>
      <w:sz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Table Text"/>
    <w:basedOn w:val="1"/>
    <w:semiHidden/>
    <w:qFormat/>
    <w:uiPriority w:val="0"/>
    <w:rPr>
      <w:rFonts w:ascii="宋体" w:hAnsi="宋体" w:eastAsia="宋体" w:cs="宋体"/>
      <w:sz w:val="20"/>
      <w:szCs w:val="20"/>
      <w:lang w:val="en-US" w:eastAsia="en-US" w:bidi="ar-SA"/>
    </w:rPr>
  </w:style>
  <w:style w:type="table" w:customStyle="1" w:styleId="5">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1580</Words>
  <Characters>1615</Characters>
  <Lines>0</Lines>
  <Paragraphs>0</Paragraphs>
  <TotalTime>0</TotalTime>
  <ScaleCrop>false</ScaleCrop>
  <LinksUpToDate>false</LinksUpToDate>
  <CharactersWithSpaces>1618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2026-08-04T04:07:00Z</dcterms:created>
  <dc:creator>陕西海佳</dc:creator>
  <cp:lastModifiedBy>MM</cp:lastModifiedBy>
  <dcterms:modified xsi:type="dcterms:W3CDTF">2026-08-04T04:36:49Z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eyJoZGlkIjoiY2M1NWZjOTI0MzZlNzdjZTNiMGIwOWFhODBmMDVjOTciLCJ1c2VySWQiOiIxMjgwNjI5MzYxIn0=</vt:lpwstr>
  </property>
  <property fmtid="{D5CDD505-2E9C-101B-9397-08002B2CF9AE}" pid="4" name="ICV">
    <vt:lpwstr>3735A2C4CD9F4DB0AF9114856BA075F7_12</vt:lpwstr>
  </property>
</Properties>
</file>