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D28EF4">
      <w:pPr>
        <w:rPr>
          <w:rFonts w:hAnsi="宋体" w:cs="宋体"/>
          <w:b/>
          <w:color w:val="auto"/>
          <w:sz w:val="36"/>
          <w:highlight w:val="none"/>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SXZCZB2026-ZCCS-0917.1B2</w:t>
      </w:r>
    </w:p>
    <w:p w14:paraId="4FBFF887">
      <w:pPr>
        <w:rPr>
          <w:rFonts w:hAnsi="宋体" w:cs="宋体"/>
          <w:b/>
          <w:color w:val="auto"/>
          <w:sz w:val="36"/>
          <w:highlight w:val="none"/>
        </w:rPr>
      </w:pPr>
    </w:p>
    <w:p w14:paraId="2EE75C7A">
      <w:pPr>
        <w:rPr>
          <w:rFonts w:hAnsi="宋体" w:cs="宋体"/>
          <w:b/>
          <w:color w:val="auto"/>
          <w:sz w:val="56"/>
          <w:szCs w:val="56"/>
          <w:highlight w:val="none"/>
        </w:rPr>
      </w:pPr>
    </w:p>
    <w:p w14:paraId="4E5724FE">
      <w:pPr>
        <w:pStyle w:val="20"/>
      </w:pPr>
    </w:p>
    <w:p w14:paraId="2D9CFAFA">
      <w:pPr>
        <w:bidi w:val="0"/>
        <w:jc w:val="center"/>
        <w:rPr>
          <w:rFonts w:hint="eastAsia"/>
          <w:b/>
          <w:bCs/>
          <w:sz w:val="56"/>
          <w:szCs w:val="44"/>
          <w:lang w:val="en-US" w:eastAsia="zh-CN"/>
        </w:rPr>
      </w:pPr>
      <w:r>
        <w:rPr>
          <w:rFonts w:hint="eastAsia"/>
          <w:b/>
          <w:bCs/>
          <w:sz w:val="56"/>
          <w:szCs w:val="44"/>
          <w:lang w:val="en-US" w:eastAsia="zh-CN"/>
        </w:rPr>
        <w:t>吉祥物衍生品制作项目(三次)</w:t>
      </w:r>
    </w:p>
    <w:p w14:paraId="33A10B53">
      <w:pPr>
        <w:spacing w:line="780" w:lineRule="auto"/>
        <w:jc w:val="center"/>
        <w:rPr>
          <w:rFonts w:hint="eastAsia" w:hAnsi="宋体" w:cs="宋体"/>
          <w:b/>
          <w:color w:val="auto"/>
          <w:sz w:val="72"/>
          <w:szCs w:val="72"/>
          <w:highlight w:val="none"/>
        </w:rPr>
      </w:pPr>
    </w:p>
    <w:p w14:paraId="1ACE69C5">
      <w:pPr>
        <w:spacing w:line="780" w:lineRule="auto"/>
        <w:jc w:val="center"/>
        <w:rPr>
          <w:rFonts w:hAnsi="宋体" w:cs="宋体"/>
          <w:b/>
          <w:color w:val="auto"/>
          <w:sz w:val="72"/>
          <w:szCs w:val="72"/>
          <w:highlight w:val="none"/>
        </w:rPr>
      </w:pPr>
      <w:r>
        <w:rPr>
          <w:rFonts w:hint="eastAsia" w:hAnsi="宋体" w:cs="宋体"/>
          <w:b/>
          <w:color w:val="auto"/>
          <w:sz w:val="72"/>
          <w:szCs w:val="72"/>
          <w:highlight w:val="none"/>
        </w:rPr>
        <w:t>竞争性磋商文件</w:t>
      </w:r>
    </w:p>
    <w:p w14:paraId="7919D16D">
      <w:pPr>
        <w:rPr>
          <w:rFonts w:hAnsi="宋体" w:cs="宋体"/>
          <w:color w:val="auto"/>
          <w:highlight w:val="none"/>
        </w:rPr>
      </w:pPr>
      <w:bookmarkStart w:id="0" w:name="_Toc363463325"/>
    </w:p>
    <w:p w14:paraId="16A70289">
      <w:pPr>
        <w:rPr>
          <w:rFonts w:hAnsi="宋体" w:cs="宋体"/>
          <w:color w:val="auto"/>
          <w:highlight w:val="none"/>
        </w:rPr>
      </w:pPr>
    </w:p>
    <w:p w14:paraId="5C49C9D0">
      <w:pPr>
        <w:rPr>
          <w:rFonts w:hAnsi="宋体" w:cs="宋体"/>
          <w:color w:val="auto"/>
          <w:highlight w:val="none"/>
        </w:rPr>
      </w:pPr>
    </w:p>
    <w:bookmarkEnd w:id="0"/>
    <w:p w14:paraId="5408581C">
      <w:pPr>
        <w:rPr>
          <w:rFonts w:hAnsi="宋体" w:cs="宋体"/>
          <w:color w:val="auto"/>
          <w:sz w:val="18"/>
          <w:szCs w:val="18"/>
          <w:highlight w:val="none"/>
        </w:rPr>
      </w:pPr>
    </w:p>
    <w:p w14:paraId="08E41121">
      <w:pPr>
        <w:jc w:val="center"/>
        <w:rPr>
          <w:rFonts w:hAnsi="宋体" w:cs="宋体"/>
          <w:b/>
          <w:bCs/>
          <w:color w:val="auto"/>
          <w:sz w:val="32"/>
          <w:szCs w:val="32"/>
          <w:highlight w:val="none"/>
        </w:rPr>
      </w:pPr>
    </w:p>
    <w:p w14:paraId="12598404">
      <w:pPr>
        <w:pStyle w:val="8"/>
        <w:jc w:val="both"/>
        <w:rPr>
          <w:color w:val="auto"/>
          <w:highlight w:val="none"/>
        </w:rPr>
      </w:pPr>
    </w:p>
    <w:p w14:paraId="4F8AE926">
      <w:pPr>
        <w:jc w:val="center"/>
        <w:rPr>
          <w:rFonts w:hint="eastAsia" w:hAnsi="宋体" w:cs="宋体"/>
          <w:b/>
          <w:bCs/>
          <w:color w:val="auto"/>
          <w:sz w:val="32"/>
          <w:szCs w:val="32"/>
          <w:highlight w:val="none"/>
        </w:rPr>
      </w:pPr>
    </w:p>
    <w:p w14:paraId="45CCBD12">
      <w:pPr>
        <w:pStyle w:val="20"/>
        <w:rPr>
          <w:rFonts w:hint="eastAsia"/>
        </w:rPr>
      </w:pPr>
    </w:p>
    <w:p w14:paraId="5DB89E41">
      <w:pPr>
        <w:jc w:val="center"/>
        <w:rPr>
          <w:rFonts w:hint="eastAsia" w:hAnsi="宋体" w:cs="宋体"/>
          <w:b/>
          <w:bCs/>
          <w:color w:val="auto"/>
          <w:sz w:val="32"/>
          <w:szCs w:val="32"/>
          <w:highlight w:val="none"/>
        </w:rPr>
      </w:pPr>
    </w:p>
    <w:p w14:paraId="3D3E308A">
      <w:pPr>
        <w:jc w:val="center"/>
        <w:rPr>
          <w:rFonts w:hAnsi="宋体" w:cs="宋体"/>
          <w:b/>
          <w:bCs/>
          <w:color w:val="auto"/>
          <w:sz w:val="32"/>
          <w:szCs w:val="32"/>
          <w:highlight w:val="none"/>
        </w:rPr>
      </w:pPr>
      <w:r>
        <w:rPr>
          <w:rFonts w:hint="eastAsia" w:hAnsi="宋体" w:cs="宋体"/>
          <w:b/>
          <w:bCs/>
          <w:color w:val="auto"/>
          <w:sz w:val="32"/>
          <w:szCs w:val="32"/>
          <w:highlight w:val="none"/>
        </w:rPr>
        <w:t>陕西至诚项目管理集团有限公司</w:t>
      </w:r>
    </w:p>
    <w:p w14:paraId="2FC31B0E">
      <w:pPr>
        <w:pStyle w:val="9"/>
        <w:ind w:left="0" w:leftChars="0" w:firstLine="0" w:firstLineChars="0"/>
        <w:jc w:val="center"/>
        <w:rPr>
          <w:b/>
          <w:bCs/>
          <w:color w:val="auto"/>
          <w:sz w:val="36"/>
          <w:szCs w:val="36"/>
          <w:highlight w:val="none"/>
        </w:rPr>
        <w:sectPr>
          <w:headerReference r:id="rId5" w:type="first"/>
          <w:headerReference r:id="rId3" w:type="default"/>
          <w:footerReference r:id="rId6" w:type="default"/>
          <w:headerReference r:id="rId4" w:type="even"/>
          <w:footerReference r:id="rId7" w:type="even"/>
          <w:pgSz w:w="11906" w:h="16838"/>
          <w:pgMar w:top="1361" w:right="1304" w:bottom="1361" w:left="1304" w:header="851" w:footer="992" w:gutter="0"/>
          <w:cols w:space="720" w:num="1"/>
          <w:titlePg/>
          <w:docGrid w:type="lines" w:linePitch="312" w:charSpace="0"/>
        </w:sectPr>
      </w:pPr>
      <w:r>
        <w:rPr>
          <w:rFonts w:hint="eastAsia"/>
          <w:b/>
          <w:bCs/>
          <w:color w:val="auto"/>
          <w:sz w:val="32"/>
          <w:szCs w:val="32"/>
          <w:highlight w:val="none"/>
        </w:rPr>
        <w:t>二〇二</w:t>
      </w:r>
      <w:r>
        <w:rPr>
          <w:rFonts w:hint="eastAsia"/>
          <w:b/>
          <w:bCs/>
          <w:color w:val="auto"/>
          <w:sz w:val="32"/>
          <w:szCs w:val="32"/>
          <w:highlight w:val="none"/>
          <w:lang w:val="en-US" w:eastAsia="zh-CN"/>
        </w:rPr>
        <w:t>六</w:t>
      </w:r>
      <w:r>
        <w:rPr>
          <w:rFonts w:hint="eastAsia"/>
          <w:b/>
          <w:bCs/>
          <w:color w:val="auto"/>
          <w:sz w:val="32"/>
          <w:szCs w:val="32"/>
          <w:highlight w:val="none"/>
        </w:rPr>
        <w:t>年</w:t>
      </w:r>
      <w:r>
        <w:rPr>
          <w:rFonts w:hint="eastAsia"/>
          <w:b/>
          <w:bCs/>
          <w:color w:val="auto"/>
          <w:sz w:val="32"/>
          <w:szCs w:val="32"/>
          <w:highlight w:val="none"/>
          <w:lang w:val="en-US" w:eastAsia="zh-CN"/>
        </w:rPr>
        <w:t>十</w:t>
      </w:r>
      <w:bookmarkStart w:id="247" w:name="_GoBack"/>
      <w:bookmarkEnd w:id="247"/>
      <w:r>
        <w:rPr>
          <w:rFonts w:hint="eastAsia"/>
          <w:b/>
          <w:bCs/>
          <w:color w:val="auto"/>
          <w:sz w:val="32"/>
          <w:szCs w:val="32"/>
          <w:highlight w:val="none"/>
        </w:rPr>
        <w:t>月</w:t>
      </w:r>
    </w:p>
    <w:p w14:paraId="2CD5B259">
      <w:pPr>
        <w:rPr>
          <w:rFonts w:hAnsi="宋体" w:cs="宋体"/>
          <w:color w:val="auto"/>
          <w:highlight w:val="none"/>
        </w:rPr>
      </w:pPr>
    </w:p>
    <w:p w14:paraId="71F604AF">
      <w:pPr>
        <w:jc w:val="center"/>
        <w:rPr>
          <w:rFonts w:hAnsi="宋体" w:cs="宋体"/>
          <w:b/>
          <w:color w:val="auto"/>
          <w:sz w:val="44"/>
          <w:szCs w:val="44"/>
          <w:highlight w:val="none"/>
        </w:rPr>
      </w:pPr>
      <w:r>
        <w:rPr>
          <w:rFonts w:hint="eastAsia" w:hAnsi="宋体" w:cs="宋体"/>
          <w:b/>
          <w:color w:val="auto"/>
          <w:sz w:val="44"/>
          <w:szCs w:val="44"/>
          <w:highlight w:val="none"/>
        </w:rPr>
        <w:t>目 录</w:t>
      </w:r>
    </w:p>
    <w:p w14:paraId="4699D3A8">
      <w:pPr>
        <w:jc w:val="center"/>
        <w:rPr>
          <w:color w:val="auto"/>
          <w:highlight w:val="none"/>
        </w:rPr>
      </w:pPr>
      <w:bookmarkStart w:id="1" w:name="_Toc5293"/>
      <w:bookmarkStart w:id="2" w:name="_Toc21518"/>
      <w:bookmarkStart w:id="3" w:name="_Toc389582033"/>
      <w:bookmarkStart w:id="4" w:name="_Toc20652"/>
      <w:bookmarkStart w:id="5" w:name="_Toc20858"/>
      <w:bookmarkStart w:id="6" w:name="_Toc16218"/>
      <w:bookmarkStart w:id="7" w:name="_Toc19886"/>
      <w:bookmarkStart w:id="8" w:name="_Toc27420"/>
      <w:bookmarkStart w:id="9" w:name="_Toc363473971"/>
      <w:bookmarkStart w:id="10" w:name="_Toc403077638"/>
      <w:bookmarkStart w:id="11" w:name="_Toc363474016"/>
    </w:p>
    <w:p w14:paraId="34D94AF2">
      <w:pPr>
        <w:pStyle w:val="16"/>
        <w:tabs>
          <w:tab w:val="right" w:leader="dot" w:pos="8787"/>
        </w:tabs>
        <w:spacing w:line="480" w:lineRule="auto"/>
        <w:rPr>
          <w:sz w:val="32"/>
          <w:szCs w:val="22"/>
        </w:rPr>
      </w:pPr>
      <w:r>
        <w:rPr>
          <w:rFonts w:hint="eastAsia" w:hAnsi="宋体" w:cs="宋体"/>
          <w:bCs/>
          <w:color w:val="auto"/>
          <w:sz w:val="40"/>
          <w:szCs w:val="40"/>
          <w:highlight w:val="none"/>
        </w:rPr>
        <w:fldChar w:fldCharType="begin"/>
      </w:r>
      <w:r>
        <w:rPr>
          <w:rFonts w:hint="eastAsia" w:hAnsi="宋体" w:cs="宋体"/>
          <w:bCs/>
          <w:color w:val="auto"/>
          <w:sz w:val="40"/>
          <w:szCs w:val="40"/>
          <w:highlight w:val="none"/>
        </w:rPr>
        <w:instrText xml:space="preserve">TOC \o "1-3" \h \u </w:instrText>
      </w:r>
      <w:r>
        <w:rPr>
          <w:rFonts w:hint="eastAsia" w:hAnsi="宋体" w:cs="宋体"/>
          <w:bCs/>
          <w:color w:val="auto"/>
          <w:sz w:val="40"/>
          <w:szCs w:val="40"/>
          <w:highlight w:val="none"/>
        </w:rPr>
        <w:fldChar w:fldCharType="separate"/>
      </w:r>
      <w:r>
        <w:rPr>
          <w:rFonts w:hint="eastAsia" w:hAnsi="宋体" w:cs="宋体"/>
          <w:bCs/>
          <w:color w:val="auto"/>
          <w:sz w:val="32"/>
          <w:szCs w:val="40"/>
          <w:highlight w:val="none"/>
        </w:rPr>
        <w:fldChar w:fldCharType="begin"/>
      </w:r>
      <w:r>
        <w:rPr>
          <w:rFonts w:hint="eastAsia" w:hAnsi="宋体" w:cs="宋体"/>
          <w:bCs/>
          <w:sz w:val="32"/>
          <w:szCs w:val="40"/>
          <w:highlight w:val="none"/>
        </w:rPr>
        <w:instrText xml:space="preserve"> HYPERLINK \l _Toc29321 </w:instrText>
      </w:r>
      <w:r>
        <w:rPr>
          <w:rFonts w:hint="eastAsia" w:hAnsi="宋体" w:cs="宋体"/>
          <w:bCs/>
          <w:sz w:val="32"/>
          <w:szCs w:val="40"/>
          <w:highlight w:val="none"/>
        </w:rPr>
        <w:fldChar w:fldCharType="separate"/>
      </w:r>
      <w:r>
        <w:rPr>
          <w:rFonts w:hint="eastAsia" w:ascii="宋体" w:eastAsia="宋体" w:cs="宋体"/>
          <w:bCs/>
          <w:sz w:val="32"/>
          <w:szCs w:val="44"/>
          <w:highlight w:val="none"/>
        </w:rPr>
        <w:t>第一章  竞争性磋商公告</w:t>
      </w:r>
      <w:r>
        <w:rPr>
          <w:sz w:val="32"/>
          <w:szCs w:val="22"/>
        </w:rPr>
        <w:tab/>
      </w:r>
      <w:r>
        <w:rPr>
          <w:sz w:val="32"/>
          <w:szCs w:val="22"/>
        </w:rPr>
        <w:fldChar w:fldCharType="begin"/>
      </w:r>
      <w:r>
        <w:rPr>
          <w:sz w:val="32"/>
          <w:szCs w:val="22"/>
        </w:rPr>
        <w:instrText xml:space="preserve"> PAGEREF _Toc29321 \h </w:instrText>
      </w:r>
      <w:r>
        <w:rPr>
          <w:sz w:val="32"/>
          <w:szCs w:val="22"/>
        </w:rPr>
        <w:fldChar w:fldCharType="separate"/>
      </w:r>
      <w:r>
        <w:rPr>
          <w:sz w:val="32"/>
          <w:szCs w:val="22"/>
        </w:rPr>
        <w:t>1</w:t>
      </w:r>
      <w:r>
        <w:rPr>
          <w:sz w:val="32"/>
          <w:szCs w:val="22"/>
        </w:rPr>
        <w:fldChar w:fldCharType="end"/>
      </w:r>
      <w:r>
        <w:rPr>
          <w:rFonts w:hint="eastAsia" w:hAnsi="宋体" w:cs="宋体"/>
          <w:bCs/>
          <w:color w:val="auto"/>
          <w:sz w:val="32"/>
          <w:szCs w:val="40"/>
          <w:highlight w:val="none"/>
        </w:rPr>
        <w:fldChar w:fldCharType="end"/>
      </w:r>
    </w:p>
    <w:p w14:paraId="626ED571">
      <w:pPr>
        <w:pStyle w:val="16"/>
        <w:tabs>
          <w:tab w:val="right" w:leader="dot" w:pos="8787"/>
        </w:tabs>
        <w:spacing w:line="480" w:lineRule="auto"/>
        <w:rPr>
          <w:sz w:val="32"/>
          <w:szCs w:val="22"/>
        </w:rPr>
      </w:pPr>
      <w:r>
        <w:rPr>
          <w:rFonts w:hint="eastAsia" w:hAnsi="宋体" w:cs="宋体"/>
          <w:bCs/>
          <w:color w:val="auto"/>
          <w:sz w:val="32"/>
          <w:szCs w:val="40"/>
          <w:highlight w:val="none"/>
        </w:rPr>
        <w:fldChar w:fldCharType="begin"/>
      </w:r>
      <w:r>
        <w:rPr>
          <w:rFonts w:hint="eastAsia" w:hAnsi="宋体" w:cs="宋体"/>
          <w:bCs/>
          <w:sz w:val="32"/>
          <w:szCs w:val="40"/>
          <w:highlight w:val="none"/>
        </w:rPr>
        <w:instrText xml:space="preserve"> HYPERLINK \l _Toc23870 </w:instrText>
      </w:r>
      <w:r>
        <w:rPr>
          <w:rFonts w:hint="eastAsia" w:hAnsi="宋体" w:cs="宋体"/>
          <w:bCs/>
          <w:sz w:val="32"/>
          <w:szCs w:val="40"/>
          <w:highlight w:val="none"/>
        </w:rPr>
        <w:fldChar w:fldCharType="separate"/>
      </w:r>
      <w:r>
        <w:rPr>
          <w:rFonts w:hint="eastAsia" w:hAnsi="宋体" w:cs="宋体"/>
          <w:bCs/>
          <w:kern w:val="2"/>
          <w:sz w:val="32"/>
          <w:szCs w:val="44"/>
          <w:highlight w:val="none"/>
        </w:rPr>
        <w:t>第二章  供应商须知</w:t>
      </w:r>
      <w:r>
        <w:rPr>
          <w:sz w:val="32"/>
          <w:szCs w:val="22"/>
        </w:rPr>
        <w:tab/>
      </w:r>
      <w:r>
        <w:rPr>
          <w:sz w:val="32"/>
          <w:szCs w:val="22"/>
        </w:rPr>
        <w:fldChar w:fldCharType="begin"/>
      </w:r>
      <w:r>
        <w:rPr>
          <w:sz w:val="32"/>
          <w:szCs w:val="22"/>
        </w:rPr>
        <w:instrText xml:space="preserve"> PAGEREF _Toc23870 \h </w:instrText>
      </w:r>
      <w:r>
        <w:rPr>
          <w:sz w:val="32"/>
          <w:szCs w:val="22"/>
        </w:rPr>
        <w:fldChar w:fldCharType="separate"/>
      </w:r>
      <w:r>
        <w:rPr>
          <w:sz w:val="32"/>
          <w:szCs w:val="22"/>
        </w:rPr>
        <w:t>5</w:t>
      </w:r>
      <w:r>
        <w:rPr>
          <w:sz w:val="32"/>
          <w:szCs w:val="22"/>
        </w:rPr>
        <w:fldChar w:fldCharType="end"/>
      </w:r>
      <w:r>
        <w:rPr>
          <w:rFonts w:hint="eastAsia" w:hAnsi="宋体" w:cs="宋体"/>
          <w:bCs/>
          <w:color w:val="auto"/>
          <w:sz w:val="32"/>
          <w:szCs w:val="40"/>
          <w:highlight w:val="none"/>
        </w:rPr>
        <w:fldChar w:fldCharType="end"/>
      </w:r>
    </w:p>
    <w:p w14:paraId="1F6892D1">
      <w:pPr>
        <w:pStyle w:val="16"/>
        <w:tabs>
          <w:tab w:val="right" w:leader="dot" w:pos="8787"/>
        </w:tabs>
        <w:spacing w:line="480" w:lineRule="auto"/>
        <w:rPr>
          <w:sz w:val="32"/>
          <w:szCs w:val="22"/>
        </w:rPr>
      </w:pPr>
      <w:r>
        <w:rPr>
          <w:rFonts w:hint="eastAsia" w:hAnsi="宋体" w:cs="宋体"/>
          <w:bCs/>
          <w:color w:val="auto"/>
          <w:sz w:val="32"/>
          <w:szCs w:val="40"/>
          <w:highlight w:val="none"/>
        </w:rPr>
        <w:fldChar w:fldCharType="begin"/>
      </w:r>
      <w:r>
        <w:rPr>
          <w:rFonts w:hint="eastAsia" w:hAnsi="宋体" w:cs="宋体"/>
          <w:bCs/>
          <w:sz w:val="32"/>
          <w:szCs w:val="40"/>
          <w:highlight w:val="none"/>
        </w:rPr>
        <w:instrText xml:space="preserve"> HYPERLINK \l _Toc18077 </w:instrText>
      </w:r>
      <w:r>
        <w:rPr>
          <w:rFonts w:hint="eastAsia" w:hAnsi="宋体" w:cs="宋体"/>
          <w:bCs/>
          <w:sz w:val="32"/>
          <w:szCs w:val="40"/>
          <w:highlight w:val="none"/>
        </w:rPr>
        <w:fldChar w:fldCharType="separate"/>
      </w:r>
      <w:r>
        <w:rPr>
          <w:rFonts w:hint="eastAsia" w:ascii="宋体" w:eastAsia="宋体" w:cs="宋体"/>
          <w:bCs/>
          <w:sz w:val="32"/>
          <w:szCs w:val="44"/>
          <w:highlight w:val="none"/>
          <w:lang w:val="en-US" w:eastAsia="zh-CN"/>
        </w:rPr>
        <w:t>第三章</w:t>
      </w:r>
      <w:r>
        <w:rPr>
          <w:rFonts w:hint="eastAsia" w:ascii="宋体" w:eastAsia="宋体" w:cs="宋体"/>
          <w:bCs/>
          <w:sz w:val="32"/>
          <w:szCs w:val="44"/>
          <w:highlight w:val="none"/>
        </w:rPr>
        <w:t xml:space="preserve">  评审方法</w:t>
      </w:r>
      <w:r>
        <w:rPr>
          <w:sz w:val="32"/>
          <w:szCs w:val="22"/>
        </w:rPr>
        <w:tab/>
      </w:r>
      <w:r>
        <w:rPr>
          <w:sz w:val="32"/>
          <w:szCs w:val="22"/>
        </w:rPr>
        <w:fldChar w:fldCharType="begin"/>
      </w:r>
      <w:r>
        <w:rPr>
          <w:sz w:val="32"/>
          <w:szCs w:val="22"/>
        </w:rPr>
        <w:instrText xml:space="preserve"> PAGEREF _Toc18077 \h </w:instrText>
      </w:r>
      <w:r>
        <w:rPr>
          <w:sz w:val="32"/>
          <w:szCs w:val="22"/>
        </w:rPr>
        <w:fldChar w:fldCharType="separate"/>
      </w:r>
      <w:r>
        <w:rPr>
          <w:sz w:val="32"/>
          <w:szCs w:val="22"/>
        </w:rPr>
        <w:t>24</w:t>
      </w:r>
      <w:r>
        <w:rPr>
          <w:sz w:val="32"/>
          <w:szCs w:val="22"/>
        </w:rPr>
        <w:fldChar w:fldCharType="end"/>
      </w:r>
      <w:r>
        <w:rPr>
          <w:rFonts w:hint="eastAsia" w:hAnsi="宋体" w:cs="宋体"/>
          <w:bCs/>
          <w:color w:val="auto"/>
          <w:sz w:val="32"/>
          <w:szCs w:val="40"/>
          <w:highlight w:val="none"/>
        </w:rPr>
        <w:fldChar w:fldCharType="end"/>
      </w:r>
    </w:p>
    <w:p w14:paraId="4981CA55">
      <w:pPr>
        <w:pStyle w:val="16"/>
        <w:tabs>
          <w:tab w:val="right" w:leader="dot" w:pos="8787"/>
        </w:tabs>
        <w:spacing w:line="480" w:lineRule="auto"/>
        <w:rPr>
          <w:sz w:val="32"/>
          <w:szCs w:val="22"/>
        </w:rPr>
      </w:pPr>
      <w:r>
        <w:rPr>
          <w:rFonts w:hint="eastAsia" w:hAnsi="宋体" w:cs="宋体"/>
          <w:bCs/>
          <w:color w:val="auto"/>
          <w:sz w:val="32"/>
          <w:szCs w:val="40"/>
          <w:highlight w:val="none"/>
        </w:rPr>
        <w:fldChar w:fldCharType="begin"/>
      </w:r>
      <w:r>
        <w:rPr>
          <w:rFonts w:hint="eastAsia" w:hAnsi="宋体" w:cs="宋体"/>
          <w:bCs/>
          <w:sz w:val="32"/>
          <w:szCs w:val="40"/>
          <w:highlight w:val="none"/>
        </w:rPr>
        <w:instrText xml:space="preserve"> HYPERLINK \l _Toc28741 </w:instrText>
      </w:r>
      <w:r>
        <w:rPr>
          <w:rFonts w:hint="eastAsia" w:hAnsi="宋体" w:cs="宋体"/>
          <w:bCs/>
          <w:sz w:val="32"/>
          <w:szCs w:val="40"/>
          <w:highlight w:val="none"/>
        </w:rPr>
        <w:fldChar w:fldCharType="separate"/>
      </w:r>
      <w:r>
        <w:rPr>
          <w:rFonts w:hint="eastAsia" w:ascii="宋体" w:eastAsia="宋体" w:cs="宋体"/>
          <w:bCs/>
          <w:sz w:val="32"/>
          <w:szCs w:val="44"/>
          <w:highlight w:val="none"/>
        </w:rPr>
        <w:t>第四章  合同条款及格式</w:t>
      </w:r>
      <w:r>
        <w:rPr>
          <w:sz w:val="32"/>
          <w:szCs w:val="22"/>
        </w:rPr>
        <w:tab/>
      </w:r>
      <w:r>
        <w:rPr>
          <w:sz w:val="32"/>
          <w:szCs w:val="22"/>
        </w:rPr>
        <w:fldChar w:fldCharType="begin"/>
      </w:r>
      <w:r>
        <w:rPr>
          <w:sz w:val="32"/>
          <w:szCs w:val="22"/>
        </w:rPr>
        <w:instrText xml:space="preserve"> PAGEREF _Toc28741 \h </w:instrText>
      </w:r>
      <w:r>
        <w:rPr>
          <w:sz w:val="32"/>
          <w:szCs w:val="22"/>
        </w:rPr>
        <w:fldChar w:fldCharType="separate"/>
      </w:r>
      <w:r>
        <w:rPr>
          <w:sz w:val="32"/>
          <w:szCs w:val="22"/>
        </w:rPr>
        <w:t>35</w:t>
      </w:r>
      <w:r>
        <w:rPr>
          <w:sz w:val="32"/>
          <w:szCs w:val="22"/>
        </w:rPr>
        <w:fldChar w:fldCharType="end"/>
      </w:r>
      <w:r>
        <w:rPr>
          <w:rFonts w:hint="eastAsia" w:hAnsi="宋体" w:cs="宋体"/>
          <w:bCs/>
          <w:color w:val="auto"/>
          <w:sz w:val="32"/>
          <w:szCs w:val="40"/>
          <w:highlight w:val="none"/>
        </w:rPr>
        <w:fldChar w:fldCharType="end"/>
      </w:r>
    </w:p>
    <w:p w14:paraId="58CE834F">
      <w:pPr>
        <w:pStyle w:val="16"/>
        <w:tabs>
          <w:tab w:val="right" w:leader="dot" w:pos="8787"/>
        </w:tabs>
        <w:spacing w:line="480" w:lineRule="auto"/>
        <w:rPr>
          <w:sz w:val="32"/>
          <w:szCs w:val="22"/>
        </w:rPr>
      </w:pPr>
      <w:r>
        <w:rPr>
          <w:rFonts w:hint="eastAsia" w:hAnsi="宋体" w:cs="宋体"/>
          <w:bCs/>
          <w:color w:val="auto"/>
          <w:sz w:val="32"/>
          <w:szCs w:val="40"/>
          <w:highlight w:val="none"/>
        </w:rPr>
        <w:fldChar w:fldCharType="begin"/>
      </w:r>
      <w:r>
        <w:rPr>
          <w:rFonts w:hint="eastAsia" w:hAnsi="宋体" w:cs="宋体"/>
          <w:bCs/>
          <w:sz w:val="32"/>
          <w:szCs w:val="40"/>
          <w:highlight w:val="none"/>
        </w:rPr>
        <w:instrText xml:space="preserve"> HYPERLINK \l _Toc26286 </w:instrText>
      </w:r>
      <w:r>
        <w:rPr>
          <w:rFonts w:hint="eastAsia" w:hAnsi="宋体" w:cs="宋体"/>
          <w:bCs/>
          <w:sz w:val="32"/>
          <w:szCs w:val="40"/>
          <w:highlight w:val="none"/>
        </w:rPr>
        <w:fldChar w:fldCharType="separate"/>
      </w:r>
      <w:r>
        <w:rPr>
          <w:rFonts w:hint="eastAsia" w:ascii="宋体" w:eastAsia="宋体" w:cs="宋体"/>
          <w:bCs/>
          <w:sz w:val="32"/>
          <w:szCs w:val="44"/>
          <w:highlight w:val="none"/>
        </w:rPr>
        <w:t>第五章  磋商内容及技术要求</w:t>
      </w:r>
      <w:r>
        <w:rPr>
          <w:sz w:val="32"/>
          <w:szCs w:val="22"/>
        </w:rPr>
        <w:tab/>
      </w:r>
      <w:r>
        <w:rPr>
          <w:sz w:val="32"/>
          <w:szCs w:val="22"/>
        </w:rPr>
        <w:fldChar w:fldCharType="begin"/>
      </w:r>
      <w:r>
        <w:rPr>
          <w:sz w:val="32"/>
          <w:szCs w:val="22"/>
        </w:rPr>
        <w:instrText xml:space="preserve"> PAGEREF _Toc26286 \h </w:instrText>
      </w:r>
      <w:r>
        <w:rPr>
          <w:sz w:val="32"/>
          <w:szCs w:val="22"/>
        </w:rPr>
        <w:fldChar w:fldCharType="separate"/>
      </w:r>
      <w:r>
        <w:rPr>
          <w:sz w:val="32"/>
          <w:szCs w:val="22"/>
        </w:rPr>
        <w:t>46</w:t>
      </w:r>
      <w:r>
        <w:rPr>
          <w:sz w:val="32"/>
          <w:szCs w:val="22"/>
        </w:rPr>
        <w:fldChar w:fldCharType="end"/>
      </w:r>
      <w:r>
        <w:rPr>
          <w:rFonts w:hint="eastAsia" w:hAnsi="宋体" w:cs="宋体"/>
          <w:bCs/>
          <w:color w:val="auto"/>
          <w:sz w:val="32"/>
          <w:szCs w:val="40"/>
          <w:highlight w:val="none"/>
        </w:rPr>
        <w:fldChar w:fldCharType="end"/>
      </w:r>
    </w:p>
    <w:p w14:paraId="62604CF2">
      <w:pPr>
        <w:pStyle w:val="16"/>
        <w:tabs>
          <w:tab w:val="right" w:leader="dot" w:pos="8787"/>
        </w:tabs>
        <w:spacing w:line="480" w:lineRule="auto"/>
        <w:rPr>
          <w:sz w:val="32"/>
          <w:szCs w:val="22"/>
        </w:rPr>
      </w:pPr>
      <w:r>
        <w:rPr>
          <w:rFonts w:hint="eastAsia" w:hAnsi="宋体" w:cs="宋体"/>
          <w:bCs/>
          <w:color w:val="auto"/>
          <w:sz w:val="32"/>
          <w:szCs w:val="40"/>
          <w:highlight w:val="none"/>
        </w:rPr>
        <w:fldChar w:fldCharType="begin"/>
      </w:r>
      <w:r>
        <w:rPr>
          <w:rFonts w:hint="eastAsia" w:hAnsi="宋体" w:cs="宋体"/>
          <w:bCs/>
          <w:sz w:val="32"/>
          <w:szCs w:val="40"/>
          <w:highlight w:val="none"/>
        </w:rPr>
        <w:instrText xml:space="preserve"> HYPERLINK \l _Toc30501 </w:instrText>
      </w:r>
      <w:r>
        <w:rPr>
          <w:rFonts w:hint="eastAsia" w:hAnsi="宋体" w:cs="宋体"/>
          <w:bCs/>
          <w:sz w:val="32"/>
          <w:szCs w:val="40"/>
          <w:highlight w:val="none"/>
        </w:rPr>
        <w:fldChar w:fldCharType="separate"/>
      </w:r>
      <w:r>
        <w:rPr>
          <w:rFonts w:hint="eastAsia" w:ascii="宋体" w:eastAsia="宋体" w:cs="宋体"/>
          <w:sz w:val="32"/>
          <w:szCs w:val="24"/>
          <w:highlight w:val="none"/>
        </w:rPr>
        <w:t>第六章  竞争性磋商响应文件格式</w:t>
      </w:r>
      <w:r>
        <w:rPr>
          <w:sz w:val="32"/>
          <w:szCs w:val="22"/>
        </w:rPr>
        <w:tab/>
      </w:r>
      <w:r>
        <w:rPr>
          <w:sz w:val="32"/>
          <w:szCs w:val="22"/>
        </w:rPr>
        <w:fldChar w:fldCharType="begin"/>
      </w:r>
      <w:r>
        <w:rPr>
          <w:sz w:val="32"/>
          <w:szCs w:val="22"/>
        </w:rPr>
        <w:instrText xml:space="preserve"> PAGEREF _Toc30501 \h </w:instrText>
      </w:r>
      <w:r>
        <w:rPr>
          <w:sz w:val="32"/>
          <w:szCs w:val="22"/>
        </w:rPr>
        <w:fldChar w:fldCharType="separate"/>
      </w:r>
      <w:r>
        <w:rPr>
          <w:sz w:val="32"/>
          <w:szCs w:val="22"/>
        </w:rPr>
        <w:t>50</w:t>
      </w:r>
      <w:r>
        <w:rPr>
          <w:sz w:val="32"/>
          <w:szCs w:val="22"/>
        </w:rPr>
        <w:fldChar w:fldCharType="end"/>
      </w:r>
      <w:r>
        <w:rPr>
          <w:rFonts w:hint="eastAsia" w:hAnsi="宋体" w:cs="宋体"/>
          <w:bCs/>
          <w:color w:val="auto"/>
          <w:sz w:val="32"/>
          <w:szCs w:val="40"/>
          <w:highlight w:val="none"/>
        </w:rPr>
        <w:fldChar w:fldCharType="end"/>
      </w:r>
    </w:p>
    <w:p w14:paraId="1C3A9A11">
      <w:pPr>
        <w:pStyle w:val="16"/>
        <w:tabs>
          <w:tab w:val="right" w:leader="dot" w:pos="8302"/>
        </w:tabs>
        <w:spacing w:line="480" w:lineRule="auto"/>
        <w:rPr>
          <w:rFonts w:hAnsi="宋体" w:cs="宋体"/>
          <w:bCs/>
          <w:color w:val="auto"/>
          <w:sz w:val="36"/>
          <w:szCs w:val="36"/>
          <w:highlight w:val="none"/>
        </w:rPr>
      </w:pPr>
      <w:r>
        <w:rPr>
          <w:rFonts w:hint="eastAsia" w:hAnsi="宋体" w:cs="宋体"/>
          <w:bCs/>
          <w:color w:val="auto"/>
          <w:sz w:val="32"/>
          <w:szCs w:val="40"/>
          <w:highlight w:val="none"/>
        </w:rPr>
        <w:fldChar w:fldCharType="end"/>
      </w:r>
    </w:p>
    <w:p w14:paraId="20178623">
      <w:pPr>
        <w:pStyle w:val="2"/>
        <w:spacing w:beforeLines="100"/>
        <w:jc w:val="center"/>
        <w:rPr>
          <w:rFonts w:ascii="宋体" w:eastAsia="宋体" w:cs="宋体"/>
          <w:bCs/>
          <w:color w:val="auto"/>
          <w:sz w:val="36"/>
          <w:szCs w:val="36"/>
          <w:highlight w:val="none"/>
        </w:rPr>
        <w:sectPr>
          <w:footerReference r:id="rId9" w:type="first"/>
          <w:footerReference r:id="rId8" w:type="default"/>
          <w:pgSz w:w="11906" w:h="16838"/>
          <w:pgMar w:top="1418" w:right="1418" w:bottom="1418" w:left="1701" w:header="851" w:footer="992" w:gutter="0"/>
          <w:pgNumType w:start="1"/>
          <w:cols w:space="720" w:num="1"/>
          <w:titlePg/>
          <w:docGrid w:type="lines" w:linePitch="312" w:charSpace="0"/>
        </w:sectPr>
      </w:pPr>
    </w:p>
    <w:p w14:paraId="0815BC85">
      <w:pPr>
        <w:pStyle w:val="2"/>
        <w:keepNext w:val="0"/>
        <w:keepLines/>
        <w:pageBreakBefore/>
        <w:spacing w:beforeLines="50" w:afterLines="50" w:line="360" w:lineRule="auto"/>
        <w:jc w:val="center"/>
        <w:rPr>
          <w:rFonts w:ascii="宋体" w:eastAsia="宋体" w:cs="宋体"/>
          <w:bCs/>
          <w:color w:val="auto"/>
          <w:sz w:val="36"/>
          <w:szCs w:val="36"/>
          <w:highlight w:val="none"/>
        </w:rPr>
      </w:pPr>
      <w:bookmarkStart w:id="12" w:name="_Toc2705"/>
      <w:bookmarkStart w:id="13" w:name="_Toc423973071"/>
      <w:bookmarkStart w:id="14" w:name="_Toc29321"/>
      <w:bookmarkStart w:id="15" w:name="_Toc25782"/>
      <w:r>
        <w:rPr>
          <w:rFonts w:hint="eastAsia" w:ascii="宋体" w:eastAsia="宋体" w:cs="宋体"/>
          <w:bCs/>
          <w:color w:val="auto"/>
          <w:sz w:val="36"/>
          <w:szCs w:val="36"/>
          <w:highlight w:val="none"/>
        </w:rPr>
        <w:t xml:space="preserve">第一章  </w:t>
      </w:r>
      <w:bookmarkEnd w:id="1"/>
      <w:bookmarkEnd w:id="2"/>
      <w:bookmarkEnd w:id="3"/>
      <w:bookmarkEnd w:id="4"/>
      <w:bookmarkEnd w:id="5"/>
      <w:bookmarkEnd w:id="6"/>
      <w:bookmarkEnd w:id="7"/>
      <w:r>
        <w:rPr>
          <w:rFonts w:hint="eastAsia" w:ascii="宋体" w:eastAsia="宋体" w:cs="宋体"/>
          <w:bCs/>
          <w:color w:val="auto"/>
          <w:sz w:val="36"/>
          <w:szCs w:val="36"/>
          <w:highlight w:val="none"/>
        </w:rPr>
        <w:t>竞争性磋商公告</w:t>
      </w:r>
      <w:bookmarkEnd w:id="8"/>
      <w:bookmarkEnd w:id="12"/>
      <w:bookmarkEnd w:id="13"/>
      <w:bookmarkEnd w:id="14"/>
      <w:bookmarkEnd w:id="15"/>
    </w:p>
    <w:p w14:paraId="49BA13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Fonts w:hint="eastAsia" w:ascii="宋体" w:hAnsi="宋体" w:eastAsia="宋体" w:cs="宋体"/>
          <w:b w:val="0"/>
          <w:bCs w:val="0"/>
          <w:sz w:val="24"/>
          <w:szCs w:val="24"/>
        </w:rPr>
      </w:pPr>
      <w:bookmarkStart w:id="16" w:name="_Toc389582035"/>
      <w:bookmarkStart w:id="17" w:name="_Toc2929"/>
      <w:bookmarkStart w:id="18" w:name="_Toc29249"/>
      <w:bookmarkStart w:id="19" w:name="_Toc423973072"/>
      <w:r>
        <w:rPr>
          <w:rStyle w:val="25"/>
          <w:rFonts w:hint="eastAsia" w:ascii="宋体" w:hAnsi="宋体" w:eastAsia="宋体" w:cs="宋体"/>
          <w:b/>
          <w:bCs/>
          <w:i w:val="0"/>
          <w:iCs w:val="0"/>
          <w:caps w:val="0"/>
          <w:color w:val="333333"/>
          <w:spacing w:val="0"/>
          <w:sz w:val="24"/>
          <w:szCs w:val="24"/>
          <w:shd w:val="clear" w:fill="FFFFFF"/>
          <w:vertAlign w:val="baseline"/>
        </w:rPr>
        <w:t>项目概况</w:t>
      </w:r>
    </w:p>
    <w:p w14:paraId="7641353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sz w:val="24"/>
          <w:szCs w:val="24"/>
        </w:rPr>
      </w:pPr>
      <w:r>
        <w:rPr>
          <w:rFonts w:hint="eastAsia" w:cs="宋体"/>
          <w:i w:val="0"/>
          <w:iCs w:val="0"/>
          <w:caps w:val="0"/>
          <w:color w:val="333333"/>
          <w:spacing w:val="0"/>
          <w:sz w:val="24"/>
          <w:szCs w:val="24"/>
          <w:highlight w:val="none"/>
          <w:shd w:val="clear" w:fill="FFFFFF"/>
          <w:vertAlign w:val="baseline"/>
          <w:lang w:eastAsia="zh-CN"/>
        </w:rPr>
        <w:t>吉祥物衍生品制作项目(三次)</w:t>
      </w:r>
      <w:r>
        <w:rPr>
          <w:rFonts w:hint="eastAsia" w:ascii="宋体" w:hAnsi="宋体" w:eastAsia="宋体" w:cs="宋体"/>
          <w:i w:val="0"/>
          <w:iCs w:val="0"/>
          <w:caps w:val="0"/>
          <w:color w:val="333333"/>
          <w:spacing w:val="0"/>
          <w:sz w:val="24"/>
          <w:szCs w:val="24"/>
          <w:highlight w:val="none"/>
          <w:shd w:val="clear" w:fill="FFFFFF"/>
          <w:vertAlign w:val="baseline"/>
        </w:rPr>
        <w:t>采购项目的潜在供应商应在陕西省西安市经济技术开发区未央路171-1号银池道拉斯财富中心21楼03室获取采购文件，并于 2026年10月26日 09时30分（北</w:t>
      </w:r>
      <w:r>
        <w:rPr>
          <w:rFonts w:hint="eastAsia" w:ascii="宋体" w:hAnsi="宋体" w:eastAsia="宋体" w:cs="宋体"/>
          <w:i w:val="0"/>
          <w:iCs w:val="0"/>
          <w:caps w:val="0"/>
          <w:color w:val="333333"/>
          <w:spacing w:val="0"/>
          <w:sz w:val="24"/>
          <w:szCs w:val="24"/>
          <w:shd w:val="clear" w:fill="FFFFFF"/>
          <w:vertAlign w:val="baseline"/>
        </w:rPr>
        <w:t>京时间）前提交响应文件。</w:t>
      </w:r>
    </w:p>
    <w:p w14:paraId="33D1B41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333333"/>
          <w:spacing w:val="0"/>
          <w:sz w:val="24"/>
          <w:szCs w:val="24"/>
          <w:shd w:val="clear" w:fill="FFFFFF"/>
          <w:vertAlign w:val="baseline"/>
        </w:rPr>
      </w:pPr>
      <w:r>
        <w:rPr>
          <w:rStyle w:val="25"/>
          <w:rFonts w:hint="eastAsia" w:ascii="宋体" w:hAnsi="宋体" w:eastAsia="宋体" w:cs="宋体"/>
          <w:b/>
          <w:bCs/>
          <w:i w:val="0"/>
          <w:iCs w:val="0"/>
          <w:caps w:val="0"/>
          <w:color w:val="333333"/>
          <w:spacing w:val="0"/>
          <w:sz w:val="24"/>
          <w:szCs w:val="24"/>
          <w:shd w:val="clear" w:fill="FFFFFF"/>
          <w:vertAlign w:val="baseline"/>
        </w:rPr>
        <w:t>一、项目基本情况</w:t>
      </w:r>
    </w:p>
    <w:p w14:paraId="52D2EFD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lang w:eastAsia="zh-CN"/>
        </w:rPr>
      </w:pPr>
      <w:r>
        <w:rPr>
          <w:rFonts w:hint="eastAsia" w:ascii="宋体" w:hAnsi="宋体" w:eastAsia="宋体" w:cs="宋体"/>
          <w:i w:val="0"/>
          <w:iCs w:val="0"/>
          <w:caps w:val="0"/>
          <w:color w:val="333333"/>
          <w:spacing w:val="0"/>
          <w:sz w:val="24"/>
          <w:szCs w:val="24"/>
          <w:shd w:val="clear" w:fill="FFFFFF"/>
          <w:vertAlign w:val="baseline"/>
        </w:rPr>
        <w:t>项目编号：</w:t>
      </w:r>
      <w:r>
        <w:rPr>
          <w:rFonts w:hint="eastAsia" w:cs="宋体"/>
          <w:i w:val="0"/>
          <w:iCs w:val="0"/>
          <w:caps w:val="0"/>
          <w:color w:val="333333"/>
          <w:spacing w:val="0"/>
          <w:sz w:val="24"/>
          <w:szCs w:val="24"/>
          <w:shd w:val="clear" w:fill="FFFFFF"/>
          <w:vertAlign w:val="baseline"/>
          <w:lang w:eastAsia="zh-CN"/>
        </w:rPr>
        <w:t>SXZCZB2026-ZCCS-0917.1B2</w:t>
      </w:r>
    </w:p>
    <w:p w14:paraId="5237BBD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lang w:eastAsia="zh-CN"/>
        </w:rPr>
      </w:pPr>
      <w:r>
        <w:rPr>
          <w:rFonts w:hint="eastAsia" w:ascii="宋体" w:hAnsi="宋体" w:eastAsia="宋体" w:cs="宋体"/>
          <w:i w:val="0"/>
          <w:iCs w:val="0"/>
          <w:caps w:val="0"/>
          <w:color w:val="333333"/>
          <w:spacing w:val="0"/>
          <w:sz w:val="24"/>
          <w:szCs w:val="24"/>
          <w:shd w:val="clear" w:fill="FFFFFF"/>
          <w:vertAlign w:val="baseline"/>
        </w:rPr>
        <w:t>项目名称：</w:t>
      </w:r>
      <w:r>
        <w:rPr>
          <w:rFonts w:hint="eastAsia" w:cs="宋体"/>
          <w:i w:val="0"/>
          <w:iCs w:val="0"/>
          <w:caps w:val="0"/>
          <w:color w:val="333333"/>
          <w:spacing w:val="0"/>
          <w:sz w:val="24"/>
          <w:szCs w:val="24"/>
          <w:shd w:val="clear" w:fill="FFFFFF"/>
          <w:vertAlign w:val="baseline"/>
          <w:lang w:eastAsia="zh-CN"/>
        </w:rPr>
        <w:t>吉祥物衍生品制作项目(三次)</w:t>
      </w:r>
    </w:p>
    <w:p w14:paraId="0A65670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采购方式：竞争性磋商</w:t>
      </w:r>
    </w:p>
    <w:p w14:paraId="4115C0F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预算金额：</w:t>
      </w:r>
      <w:r>
        <w:rPr>
          <w:rFonts w:hint="eastAsia" w:cs="宋体"/>
          <w:i w:val="0"/>
          <w:iCs w:val="0"/>
          <w:caps w:val="0"/>
          <w:color w:val="333333"/>
          <w:spacing w:val="0"/>
          <w:sz w:val="24"/>
          <w:szCs w:val="24"/>
          <w:shd w:val="clear" w:fill="FFFFFF"/>
          <w:vertAlign w:val="baseline"/>
          <w:lang w:eastAsia="zh-CN"/>
        </w:rPr>
        <w:t>200,000.00</w:t>
      </w:r>
      <w:r>
        <w:rPr>
          <w:rFonts w:hint="eastAsia" w:ascii="宋体" w:hAnsi="宋体" w:eastAsia="宋体" w:cs="宋体"/>
          <w:i w:val="0"/>
          <w:iCs w:val="0"/>
          <w:caps w:val="0"/>
          <w:color w:val="333333"/>
          <w:spacing w:val="0"/>
          <w:sz w:val="24"/>
          <w:szCs w:val="24"/>
          <w:shd w:val="clear" w:fill="FFFFFF"/>
          <w:vertAlign w:val="baseline"/>
        </w:rPr>
        <w:t>元</w:t>
      </w:r>
    </w:p>
    <w:p w14:paraId="3946E1A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采购需求：</w:t>
      </w:r>
    </w:p>
    <w:p w14:paraId="7124111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合同包1(</w:t>
      </w:r>
      <w:r>
        <w:rPr>
          <w:rFonts w:hint="eastAsia" w:cs="宋体"/>
          <w:i w:val="0"/>
          <w:iCs w:val="0"/>
          <w:caps w:val="0"/>
          <w:color w:val="333333"/>
          <w:spacing w:val="0"/>
          <w:sz w:val="24"/>
          <w:szCs w:val="24"/>
          <w:shd w:val="clear" w:fill="FFFFFF"/>
          <w:vertAlign w:val="baseline"/>
          <w:lang w:eastAsia="zh-CN"/>
        </w:rPr>
        <w:t>吉祥物衍生品制作项目(三次)</w:t>
      </w:r>
      <w:r>
        <w:rPr>
          <w:rFonts w:hint="eastAsia" w:ascii="宋体" w:hAnsi="宋体" w:eastAsia="宋体" w:cs="宋体"/>
          <w:i w:val="0"/>
          <w:iCs w:val="0"/>
          <w:caps w:val="0"/>
          <w:color w:val="333333"/>
          <w:spacing w:val="0"/>
          <w:sz w:val="24"/>
          <w:szCs w:val="24"/>
          <w:shd w:val="clear" w:fill="FFFFFF"/>
          <w:vertAlign w:val="baseline"/>
        </w:rPr>
        <w:t>):</w:t>
      </w:r>
    </w:p>
    <w:p w14:paraId="5CF01FC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合同包预算金额：</w:t>
      </w:r>
      <w:r>
        <w:rPr>
          <w:rFonts w:hint="eastAsia" w:cs="宋体"/>
          <w:i w:val="0"/>
          <w:iCs w:val="0"/>
          <w:caps w:val="0"/>
          <w:color w:val="333333"/>
          <w:spacing w:val="0"/>
          <w:sz w:val="24"/>
          <w:szCs w:val="24"/>
          <w:shd w:val="clear" w:fill="FFFFFF"/>
          <w:vertAlign w:val="baseline"/>
          <w:lang w:eastAsia="zh-CN"/>
        </w:rPr>
        <w:t>200,000.00</w:t>
      </w:r>
      <w:r>
        <w:rPr>
          <w:rFonts w:hint="eastAsia" w:ascii="宋体" w:hAnsi="宋体" w:eastAsia="宋体" w:cs="宋体"/>
          <w:i w:val="0"/>
          <w:iCs w:val="0"/>
          <w:caps w:val="0"/>
          <w:color w:val="333333"/>
          <w:spacing w:val="0"/>
          <w:sz w:val="24"/>
          <w:szCs w:val="24"/>
          <w:shd w:val="clear" w:fill="FFFFFF"/>
          <w:vertAlign w:val="baseline"/>
        </w:rPr>
        <w:t>元</w:t>
      </w:r>
    </w:p>
    <w:p w14:paraId="1D93A4A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合同包最高限价：</w:t>
      </w:r>
      <w:r>
        <w:rPr>
          <w:rFonts w:hint="eastAsia" w:cs="宋体"/>
          <w:i w:val="0"/>
          <w:iCs w:val="0"/>
          <w:caps w:val="0"/>
          <w:color w:val="333333"/>
          <w:spacing w:val="0"/>
          <w:sz w:val="24"/>
          <w:szCs w:val="24"/>
          <w:shd w:val="clear" w:fill="FFFFFF"/>
          <w:vertAlign w:val="baseline"/>
          <w:lang w:eastAsia="zh-CN"/>
        </w:rPr>
        <w:t>200,000.00</w:t>
      </w:r>
      <w:r>
        <w:rPr>
          <w:rFonts w:hint="eastAsia" w:ascii="宋体" w:hAnsi="宋体" w:eastAsia="宋体" w:cs="宋体"/>
          <w:i w:val="0"/>
          <w:iCs w:val="0"/>
          <w:caps w:val="0"/>
          <w:color w:val="333333"/>
          <w:spacing w:val="0"/>
          <w:sz w:val="24"/>
          <w:szCs w:val="24"/>
          <w:shd w:val="clear" w:fill="FFFFFF"/>
          <w:vertAlign w:val="baseline"/>
        </w:rPr>
        <w:t>元</w:t>
      </w:r>
    </w:p>
    <w:tbl>
      <w:tblPr>
        <w:tblStyle w:val="2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42"/>
        <w:gridCol w:w="2359"/>
        <w:gridCol w:w="2638"/>
        <w:gridCol w:w="838"/>
        <w:gridCol w:w="1617"/>
        <w:gridCol w:w="1440"/>
      </w:tblGrid>
      <w:tr w14:paraId="026D8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trPr>
        <w:tc>
          <w:tcPr>
            <w:tcW w:w="36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9DD428">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26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BB718D">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14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4B06C3">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46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B269B7">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8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B9688A">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6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144459">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2F113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36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7957E2">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126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54D760">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sz w:val="24"/>
                <w:szCs w:val="24"/>
              </w:rPr>
            </w:pPr>
            <w:r>
              <w:rPr>
                <w:rFonts w:hint="eastAsia" w:ascii="宋体" w:hAnsi="宋体" w:eastAsia="宋体" w:cs="宋体"/>
                <w:sz w:val="24"/>
                <w:szCs w:val="24"/>
              </w:rPr>
              <w:t>其他服务</w:t>
            </w:r>
          </w:p>
        </w:tc>
        <w:tc>
          <w:tcPr>
            <w:tcW w:w="14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73E9A1">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sz w:val="24"/>
                <w:szCs w:val="24"/>
              </w:rPr>
            </w:pPr>
            <w:r>
              <w:rPr>
                <w:rFonts w:hint="eastAsia" w:ascii="宋体" w:hAnsi="宋体" w:eastAsia="宋体" w:cs="宋体"/>
                <w:sz w:val="24"/>
                <w:szCs w:val="24"/>
              </w:rPr>
              <w:t>吉祥物衍生品制作</w:t>
            </w:r>
          </w:p>
        </w:tc>
        <w:tc>
          <w:tcPr>
            <w:tcW w:w="46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E2023A">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8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8384FA">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6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0818E1">
            <w:pPr>
              <w:keepNext w:val="0"/>
              <w:keepLines w:val="0"/>
              <w:widowControl/>
              <w:suppressLineNumbers w:val="0"/>
              <w:wordWrap/>
              <w:spacing w:before="0" w:beforeAutospacing="0" w:after="0" w:afterAutospacing="0" w:line="360" w:lineRule="atLeast"/>
              <w:ind w:left="0" w:right="0"/>
              <w:jc w:val="right"/>
              <w:textAlignment w:val="center"/>
              <w:outlineLvl w:val="9"/>
              <w:rPr>
                <w:rFonts w:hint="eastAsia" w:ascii="宋体" w:hAnsi="宋体" w:eastAsia="宋体" w:cs="宋体"/>
                <w:sz w:val="24"/>
                <w:szCs w:val="24"/>
                <w:lang w:eastAsia="zh-CN"/>
              </w:rPr>
            </w:pPr>
            <w:r>
              <w:rPr>
                <w:rFonts w:hint="eastAsia" w:hAnsi="宋体" w:cs="宋体"/>
                <w:i w:val="0"/>
                <w:iCs w:val="0"/>
                <w:caps w:val="0"/>
                <w:color w:val="333333"/>
                <w:spacing w:val="0"/>
                <w:sz w:val="24"/>
                <w:szCs w:val="24"/>
                <w:shd w:val="clear" w:fill="FFFFFF"/>
                <w:vertAlign w:val="baseline"/>
                <w:lang w:eastAsia="zh-CN"/>
              </w:rPr>
              <w:t>200,000.00</w:t>
            </w:r>
          </w:p>
        </w:tc>
      </w:tr>
    </w:tbl>
    <w:p w14:paraId="754ECBE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本合同包不接受联合体投标</w:t>
      </w:r>
    </w:p>
    <w:p w14:paraId="4C0804F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合同履行期限：详见采购文件</w:t>
      </w:r>
    </w:p>
    <w:p w14:paraId="6326492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333333"/>
          <w:spacing w:val="0"/>
          <w:sz w:val="24"/>
          <w:szCs w:val="24"/>
          <w:shd w:val="clear" w:fill="FFFFFF"/>
          <w:vertAlign w:val="baseline"/>
        </w:rPr>
      </w:pPr>
      <w:r>
        <w:rPr>
          <w:rStyle w:val="25"/>
          <w:rFonts w:hint="eastAsia" w:ascii="宋体" w:hAnsi="宋体" w:eastAsia="宋体" w:cs="宋体"/>
          <w:b/>
          <w:bCs/>
          <w:i w:val="0"/>
          <w:iCs w:val="0"/>
          <w:caps w:val="0"/>
          <w:color w:val="333333"/>
          <w:spacing w:val="0"/>
          <w:sz w:val="24"/>
          <w:szCs w:val="24"/>
          <w:shd w:val="clear" w:fill="FFFFFF"/>
          <w:vertAlign w:val="baseline"/>
        </w:rPr>
        <w:t>二、申请人的资格要求：</w:t>
      </w:r>
    </w:p>
    <w:p w14:paraId="69581CB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1.满足《中华人民共和国政府采购法》第二十二条规定;</w:t>
      </w:r>
    </w:p>
    <w:p w14:paraId="3B4A96A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2.落实政府采购政策需满足的资格要求：</w:t>
      </w:r>
    </w:p>
    <w:p w14:paraId="42E63B3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合同包1(</w:t>
      </w:r>
      <w:r>
        <w:rPr>
          <w:rFonts w:hint="eastAsia" w:cs="宋体"/>
          <w:i w:val="0"/>
          <w:iCs w:val="0"/>
          <w:caps w:val="0"/>
          <w:color w:val="333333"/>
          <w:spacing w:val="0"/>
          <w:sz w:val="24"/>
          <w:szCs w:val="24"/>
          <w:shd w:val="clear" w:fill="FFFFFF"/>
          <w:vertAlign w:val="baseline"/>
          <w:lang w:eastAsia="zh-CN"/>
        </w:rPr>
        <w:t>吉祥物衍生品制作项目(三次)</w:t>
      </w:r>
      <w:r>
        <w:rPr>
          <w:rFonts w:hint="eastAsia" w:ascii="宋体" w:hAnsi="宋体" w:eastAsia="宋体" w:cs="宋体"/>
          <w:i w:val="0"/>
          <w:iCs w:val="0"/>
          <w:caps w:val="0"/>
          <w:color w:val="333333"/>
          <w:spacing w:val="0"/>
          <w:sz w:val="24"/>
          <w:szCs w:val="24"/>
          <w:shd w:val="clear" w:fill="FFFFFF"/>
          <w:vertAlign w:val="baseline"/>
        </w:rPr>
        <w:t>)落实政府采购政策需满足的资格要求如下:</w:t>
      </w:r>
    </w:p>
    <w:p w14:paraId="4C41089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（1）《政府采购促进中小企业发展管理办法》（财库〔2020〕46号）；</w:t>
      </w:r>
    </w:p>
    <w:p w14:paraId="3141EEC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（2）《财政部司法部关于政府采购支持监狱企业发展有关问题的通知》（财库〔2014〕68号）；</w:t>
      </w:r>
    </w:p>
    <w:p w14:paraId="0E91494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（3）《关于促进残疾人就业政府采购政策的通知》（财库〔2017〕141号）；</w:t>
      </w:r>
    </w:p>
    <w:p w14:paraId="297220D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（4）《节能产品政府采购实施意见》（财库〔2004〕185号）；</w:t>
      </w:r>
    </w:p>
    <w:p w14:paraId="36011B0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（5）《环境标志产品政府采购实施的意见》（财库〔2006〕90号）；</w:t>
      </w:r>
    </w:p>
    <w:p w14:paraId="5945F66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（6）《国务院办公厅关于建立政府强制采购节能产品制度的通知》（国办发〔2007〕51号）；</w:t>
      </w:r>
    </w:p>
    <w:p w14:paraId="1544691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（7）财政部发展改革委生态环境部市场监管总局关于调整优化节能产品、环境标志产品政府采购执行机制的通知（财库〔2019〕9号）；</w:t>
      </w:r>
    </w:p>
    <w:p w14:paraId="4068F21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（8）《关于印发环境标志产品政府采购品目清单的通知》（财库〔2019〕18号）；</w:t>
      </w:r>
    </w:p>
    <w:p w14:paraId="2D64CBE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（9）《关于印发节能产品政府采购品目清单的通知》（财库〔2019〕19号）；</w:t>
      </w:r>
    </w:p>
    <w:p w14:paraId="7A508E9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（10）《关于发布参与实施政府采购节能产品、环境标志产品认证机构名录的公告》2019年第16号；</w:t>
      </w:r>
    </w:p>
    <w:p w14:paraId="67571CC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（11）《关于运用政府采购政策支持乡村产业振兴的通知》（财库〔2021〕19号）；</w:t>
      </w:r>
    </w:p>
    <w:p w14:paraId="3E79C31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（12）陕西省财政厅关于印发《陕西省中小企业政府采购信用融资办法》（陕财办采〔2018〕23号），相关政策、业务流程、办理平台（详见http://www.ccgp-shaanxi.gov.cn/zcdservice/zcd/shanxi/）；</w:t>
      </w:r>
    </w:p>
    <w:p w14:paraId="790CBEA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（13）《陕西省财政厅关于加快推进我省中小企业政府采购信用融资工作的通知》（陕财办采〔2020〕15号）；</w:t>
      </w:r>
    </w:p>
    <w:p w14:paraId="0C52F10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（14）《关于进一步加强政府绿色采购有关问题的通知》（陕财办采〔2021〕29号）；</w:t>
      </w:r>
    </w:p>
    <w:p w14:paraId="1894BFF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（15）《陕西省财政厅陕西省工业和信息化厅关于运用政府采购政策支持首台（套）及创新产品有关事项的通知》（陕财办采〔2021〕17号）；</w:t>
      </w:r>
    </w:p>
    <w:p w14:paraId="3DBB8A1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（16）《关于进一步加大政府采购支持中小企业力度的通知》（财库〔2022〕19号）、《关于落实政府采购支持中小企业政策有关事项的通知》（陕财办采函〔2022〕10号）；</w:t>
      </w:r>
    </w:p>
    <w:p w14:paraId="7F228FA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（17）其他需要落实的政府采购政策。</w:t>
      </w:r>
    </w:p>
    <w:p w14:paraId="0E8CA17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3.本项目的特定资格要求：</w:t>
      </w:r>
    </w:p>
    <w:p w14:paraId="34B82FE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合同包1(</w:t>
      </w:r>
      <w:r>
        <w:rPr>
          <w:rFonts w:hint="eastAsia" w:cs="宋体"/>
          <w:i w:val="0"/>
          <w:iCs w:val="0"/>
          <w:caps w:val="0"/>
          <w:color w:val="333333"/>
          <w:spacing w:val="0"/>
          <w:sz w:val="24"/>
          <w:szCs w:val="24"/>
          <w:shd w:val="clear" w:fill="FFFFFF"/>
          <w:vertAlign w:val="baseline"/>
          <w:lang w:eastAsia="zh-CN"/>
        </w:rPr>
        <w:t>吉祥物衍生品制作项目(三次)</w:t>
      </w:r>
      <w:r>
        <w:rPr>
          <w:rFonts w:hint="eastAsia" w:ascii="宋体" w:hAnsi="宋体" w:eastAsia="宋体" w:cs="宋体"/>
          <w:i w:val="0"/>
          <w:iCs w:val="0"/>
          <w:caps w:val="0"/>
          <w:color w:val="333333"/>
          <w:spacing w:val="0"/>
          <w:sz w:val="24"/>
          <w:szCs w:val="24"/>
          <w:shd w:val="clear" w:fill="FFFFFF"/>
          <w:vertAlign w:val="baseline"/>
        </w:rPr>
        <w:t>)特定资格要求如下:</w:t>
      </w:r>
    </w:p>
    <w:p w14:paraId="59EDE17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(1)提供合格有效的法人或者其他组织的营业执照等证明文件，自然人的身份证明；</w:t>
      </w:r>
    </w:p>
    <w:p w14:paraId="654EA2E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(2)供应商应授权合法的⼈员参加磋商全过程，其中法定代表⼈直接参加磋商的，须出具法⼈⾝份证，并与营业执照上信息⼀致。法定代表⼈授权代表参加磋商的，须出具法定代表⼈授权书及授权代表⾝份证、授权代表本单位证明（养⽼保险缴纳证明）；</w:t>
      </w:r>
    </w:p>
    <w:p w14:paraId="7C66926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(3)提供2025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6ECAC95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(4)提供磋商响应文件截止日前近六个月内任意一个月的纳税证明或完税证明（任意税种），依法免税的单位应提供相关证明材料；</w:t>
      </w:r>
    </w:p>
    <w:p w14:paraId="0DC4453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(5)提供磋商响应文件截止日前近六个月内任意一个月的社会保障资金缴存单据或社保机构开具的社会保险参保缴费情况证明，依法不需要缴纳社会保障资金的单位应提供相关证明材料；</w:t>
      </w:r>
    </w:p>
    <w:p w14:paraId="70A4634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205E2BA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(7)参加政府采购活动前3年内，在经营活动中没有重大违法记录的书面声明；</w:t>
      </w:r>
    </w:p>
    <w:p w14:paraId="3BEB921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(8)提供具有履行合同所必需的设备和专业技术能力的承诺函；</w:t>
      </w:r>
    </w:p>
    <w:p w14:paraId="0BA9C7E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(9)提供直接控股和管理关系清单。若与其他供应商存在单位负责人为同一人或者存在直接控股、管理关系的，则投标无效；</w:t>
      </w:r>
    </w:p>
    <w:p w14:paraId="2630137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333333"/>
          <w:spacing w:val="0"/>
          <w:sz w:val="24"/>
          <w:szCs w:val="24"/>
          <w:shd w:val="clear" w:fill="FFFFFF"/>
          <w:vertAlign w:val="baseline"/>
          <w:lang w:val="en-US" w:eastAsia="zh-CN"/>
        </w:rPr>
      </w:pPr>
      <w:r>
        <w:rPr>
          <w:rFonts w:hint="eastAsia" w:ascii="宋体" w:hAnsi="宋体" w:eastAsia="宋体" w:cs="宋体"/>
          <w:i w:val="0"/>
          <w:iCs w:val="0"/>
          <w:caps w:val="0"/>
          <w:color w:val="333333"/>
          <w:spacing w:val="0"/>
          <w:sz w:val="24"/>
          <w:szCs w:val="24"/>
          <w:shd w:val="clear" w:fill="FFFFFF"/>
          <w:vertAlign w:val="baseline"/>
        </w:rPr>
        <w:t>(10)本项目不接受联合体磋商（需提供承诺书）。</w:t>
      </w:r>
    </w:p>
    <w:p w14:paraId="44B64A9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333333"/>
          <w:spacing w:val="0"/>
          <w:sz w:val="24"/>
          <w:szCs w:val="24"/>
          <w:shd w:val="clear" w:fill="FFFFFF"/>
          <w:vertAlign w:val="baseline"/>
        </w:rPr>
      </w:pPr>
      <w:r>
        <w:rPr>
          <w:rStyle w:val="25"/>
          <w:rFonts w:hint="eastAsia" w:ascii="宋体" w:hAnsi="宋体" w:eastAsia="宋体" w:cs="宋体"/>
          <w:b/>
          <w:bCs/>
          <w:i w:val="0"/>
          <w:iCs w:val="0"/>
          <w:caps w:val="0"/>
          <w:color w:val="333333"/>
          <w:spacing w:val="0"/>
          <w:sz w:val="24"/>
          <w:szCs w:val="24"/>
          <w:shd w:val="clear" w:fill="FFFFFF"/>
          <w:vertAlign w:val="baseline"/>
        </w:rPr>
        <w:t>三、获取采购文件</w:t>
      </w:r>
    </w:p>
    <w:p w14:paraId="5C7D5E2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highlight w:val="none"/>
          <w:shd w:val="clear" w:fill="FFFFFF"/>
          <w:vertAlign w:val="baseline"/>
        </w:rPr>
      </w:pPr>
      <w:r>
        <w:rPr>
          <w:rFonts w:hint="eastAsia" w:ascii="宋体" w:hAnsi="宋体" w:eastAsia="宋体" w:cs="宋体"/>
          <w:i w:val="0"/>
          <w:iCs w:val="0"/>
          <w:caps w:val="0"/>
          <w:color w:val="333333"/>
          <w:spacing w:val="0"/>
          <w:sz w:val="24"/>
          <w:szCs w:val="24"/>
          <w:highlight w:val="none"/>
          <w:shd w:val="clear" w:fill="FFFFFF"/>
          <w:vertAlign w:val="baseline"/>
        </w:rPr>
        <w:t>时间：2026年10月16日 至 2026年10月22日，每天上午09:00:00至12:00:00，下午14:00:00至17:00:00（北京时间）</w:t>
      </w:r>
    </w:p>
    <w:p w14:paraId="6386406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highlight w:val="none"/>
          <w:shd w:val="clear" w:fill="FFFFFF"/>
          <w:vertAlign w:val="baseline"/>
        </w:rPr>
      </w:pPr>
      <w:r>
        <w:rPr>
          <w:rFonts w:hint="eastAsia" w:ascii="宋体" w:hAnsi="宋体" w:eastAsia="宋体" w:cs="宋体"/>
          <w:i w:val="0"/>
          <w:iCs w:val="0"/>
          <w:caps w:val="0"/>
          <w:color w:val="333333"/>
          <w:spacing w:val="0"/>
          <w:sz w:val="24"/>
          <w:szCs w:val="24"/>
          <w:highlight w:val="none"/>
          <w:shd w:val="clear" w:fill="FFFFFF"/>
          <w:vertAlign w:val="baseline"/>
        </w:rPr>
        <w:t>途径：陕西省西安市经济技术开发区未央路171-1号银池道拉斯财富中心21楼03室</w:t>
      </w:r>
    </w:p>
    <w:p w14:paraId="53E4AAE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highlight w:val="none"/>
          <w:shd w:val="clear" w:fill="FFFFFF"/>
          <w:vertAlign w:val="baseline"/>
        </w:rPr>
      </w:pPr>
      <w:r>
        <w:rPr>
          <w:rFonts w:hint="eastAsia" w:ascii="宋体" w:hAnsi="宋体" w:eastAsia="宋体" w:cs="宋体"/>
          <w:i w:val="0"/>
          <w:iCs w:val="0"/>
          <w:caps w:val="0"/>
          <w:color w:val="333333"/>
          <w:spacing w:val="0"/>
          <w:sz w:val="24"/>
          <w:szCs w:val="24"/>
          <w:highlight w:val="none"/>
          <w:shd w:val="clear" w:fill="FFFFFF"/>
          <w:vertAlign w:val="baseline"/>
        </w:rPr>
        <w:t>方式：现场获取</w:t>
      </w:r>
    </w:p>
    <w:p w14:paraId="62B013C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highlight w:val="none"/>
          <w:shd w:val="clear" w:fill="FFFFFF"/>
          <w:vertAlign w:val="baseline"/>
        </w:rPr>
      </w:pPr>
      <w:r>
        <w:rPr>
          <w:rFonts w:hint="eastAsia" w:ascii="宋体" w:hAnsi="宋体" w:eastAsia="宋体" w:cs="宋体"/>
          <w:i w:val="0"/>
          <w:iCs w:val="0"/>
          <w:caps w:val="0"/>
          <w:color w:val="333333"/>
          <w:spacing w:val="0"/>
          <w:sz w:val="24"/>
          <w:szCs w:val="24"/>
          <w:highlight w:val="none"/>
          <w:shd w:val="clear" w:fill="FFFFFF"/>
          <w:vertAlign w:val="baseline"/>
        </w:rPr>
        <w:t>售价：0元</w:t>
      </w:r>
    </w:p>
    <w:p w14:paraId="34D32C8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333333"/>
          <w:spacing w:val="0"/>
          <w:sz w:val="24"/>
          <w:szCs w:val="24"/>
          <w:highlight w:val="none"/>
          <w:shd w:val="clear" w:fill="FFFFFF"/>
          <w:vertAlign w:val="baseline"/>
        </w:rPr>
      </w:pPr>
      <w:r>
        <w:rPr>
          <w:rStyle w:val="25"/>
          <w:rFonts w:hint="eastAsia" w:ascii="宋体" w:hAnsi="宋体" w:eastAsia="宋体" w:cs="宋体"/>
          <w:b/>
          <w:bCs/>
          <w:i w:val="0"/>
          <w:iCs w:val="0"/>
          <w:caps w:val="0"/>
          <w:color w:val="333333"/>
          <w:spacing w:val="0"/>
          <w:sz w:val="24"/>
          <w:szCs w:val="24"/>
          <w:highlight w:val="none"/>
          <w:shd w:val="clear" w:fill="FFFFFF"/>
          <w:vertAlign w:val="baseline"/>
        </w:rPr>
        <w:t>四、响应文件提交</w:t>
      </w:r>
    </w:p>
    <w:p w14:paraId="55FFC88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highlight w:val="none"/>
          <w:shd w:val="clear" w:fill="FFFFFF"/>
          <w:vertAlign w:val="baseline"/>
        </w:rPr>
      </w:pPr>
      <w:r>
        <w:rPr>
          <w:rFonts w:hint="eastAsia" w:ascii="宋体" w:hAnsi="宋体" w:eastAsia="宋体" w:cs="宋体"/>
          <w:i w:val="0"/>
          <w:iCs w:val="0"/>
          <w:caps w:val="0"/>
          <w:color w:val="333333"/>
          <w:spacing w:val="0"/>
          <w:sz w:val="24"/>
          <w:szCs w:val="24"/>
          <w:highlight w:val="none"/>
          <w:shd w:val="clear" w:fill="FFFFFF"/>
          <w:vertAlign w:val="baseline"/>
        </w:rPr>
        <w:t>截止时间 2026年10月26日 09时30分00秒（北京时间）</w:t>
      </w:r>
    </w:p>
    <w:p w14:paraId="6AA07A5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highlight w:val="none"/>
          <w:shd w:val="clear" w:fill="FFFFFF"/>
          <w:vertAlign w:val="baseline"/>
          <w:lang w:val="en-US" w:eastAsia="zh-CN"/>
        </w:rPr>
      </w:pPr>
      <w:r>
        <w:rPr>
          <w:rFonts w:hint="eastAsia" w:ascii="宋体" w:hAnsi="宋体" w:eastAsia="宋体" w:cs="宋体"/>
          <w:i w:val="0"/>
          <w:iCs w:val="0"/>
          <w:caps w:val="0"/>
          <w:color w:val="333333"/>
          <w:spacing w:val="0"/>
          <w:sz w:val="24"/>
          <w:szCs w:val="24"/>
          <w:highlight w:val="none"/>
          <w:shd w:val="clear" w:fill="FFFFFF"/>
          <w:vertAlign w:val="baseline"/>
        </w:rPr>
        <w:t>地点：陕西省西安市经济技术开发区未央路171-1号银池道拉斯财富中心21楼03</w:t>
      </w:r>
      <w:r>
        <w:rPr>
          <w:rFonts w:hint="eastAsia" w:cs="宋体"/>
          <w:i w:val="0"/>
          <w:iCs w:val="0"/>
          <w:caps w:val="0"/>
          <w:color w:val="333333"/>
          <w:spacing w:val="0"/>
          <w:sz w:val="24"/>
          <w:szCs w:val="24"/>
          <w:highlight w:val="none"/>
          <w:shd w:val="clear" w:fill="FFFFFF"/>
          <w:vertAlign w:val="baseline"/>
          <w:lang w:val="en-US" w:eastAsia="zh-CN"/>
        </w:rPr>
        <w:t>号</w:t>
      </w:r>
    </w:p>
    <w:p w14:paraId="7E9ABCE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333333"/>
          <w:spacing w:val="0"/>
          <w:sz w:val="24"/>
          <w:szCs w:val="24"/>
          <w:highlight w:val="none"/>
          <w:shd w:val="clear" w:fill="FFFFFF"/>
          <w:vertAlign w:val="baseline"/>
        </w:rPr>
      </w:pPr>
      <w:r>
        <w:rPr>
          <w:rStyle w:val="25"/>
          <w:rFonts w:hint="eastAsia" w:ascii="宋体" w:hAnsi="宋体" w:eastAsia="宋体" w:cs="宋体"/>
          <w:b/>
          <w:bCs/>
          <w:i w:val="0"/>
          <w:iCs w:val="0"/>
          <w:caps w:val="0"/>
          <w:color w:val="333333"/>
          <w:spacing w:val="0"/>
          <w:sz w:val="24"/>
          <w:szCs w:val="24"/>
          <w:highlight w:val="none"/>
          <w:shd w:val="clear" w:fill="FFFFFF"/>
          <w:vertAlign w:val="baseline"/>
        </w:rPr>
        <w:t>五、开启</w:t>
      </w:r>
    </w:p>
    <w:p w14:paraId="34F067C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highlight w:val="none"/>
          <w:shd w:val="clear" w:fill="FFFFFF"/>
          <w:vertAlign w:val="baseline"/>
        </w:rPr>
      </w:pPr>
      <w:r>
        <w:rPr>
          <w:rFonts w:hint="eastAsia" w:ascii="宋体" w:hAnsi="宋体" w:eastAsia="宋体" w:cs="宋体"/>
          <w:i w:val="0"/>
          <w:iCs w:val="0"/>
          <w:caps w:val="0"/>
          <w:color w:val="333333"/>
          <w:spacing w:val="0"/>
          <w:sz w:val="24"/>
          <w:szCs w:val="24"/>
          <w:highlight w:val="none"/>
          <w:shd w:val="clear" w:fill="FFFFFF"/>
          <w:vertAlign w:val="baseline"/>
        </w:rPr>
        <w:t>时间： 2026年10月26日 09时30分00秒（北京时间）</w:t>
      </w:r>
    </w:p>
    <w:p w14:paraId="2C25441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highlight w:val="none"/>
          <w:shd w:val="clear" w:fill="FFFFFF"/>
          <w:vertAlign w:val="baseline"/>
        </w:rPr>
      </w:pPr>
      <w:r>
        <w:rPr>
          <w:rFonts w:hint="eastAsia" w:ascii="宋体" w:hAnsi="宋体" w:eastAsia="宋体" w:cs="宋体"/>
          <w:i w:val="0"/>
          <w:iCs w:val="0"/>
          <w:caps w:val="0"/>
          <w:color w:val="333333"/>
          <w:spacing w:val="0"/>
          <w:sz w:val="24"/>
          <w:szCs w:val="24"/>
          <w:highlight w:val="none"/>
          <w:shd w:val="clear" w:fill="FFFFFF"/>
          <w:vertAlign w:val="baseline"/>
        </w:rPr>
        <w:t>地点：陕西省西安市经济技术开发区未央路171-1号银池道拉斯财富中心21楼03号</w:t>
      </w:r>
    </w:p>
    <w:p w14:paraId="1437F3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333333"/>
          <w:spacing w:val="0"/>
          <w:sz w:val="24"/>
          <w:szCs w:val="24"/>
          <w:highlight w:val="none"/>
          <w:shd w:val="clear" w:fill="FFFFFF"/>
          <w:vertAlign w:val="baseline"/>
        </w:rPr>
      </w:pPr>
      <w:r>
        <w:rPr>
          <w:rStyle w:val="25"/>
          <w:rFonts w:hint="eastAsia" w:ascii="宋体" w:hAnsi="宋体" w:eastAsia="宋体" w:cs="宋体"/>
          <w:b/>
          <w:bCs/>
          <w:i w:val="0"/>
          <w:iCs w:val="0"/>
          <w:caps w:val="0"/>
          <w:color w:val="333333"/>
          <w:spacing w:val="0"/>
          <w:sz w:val="24"/>
          <w:szCs w:val="24"/>
          <w:highlight w:val="none"/>
          <w:shd w:val="clear" w:fill="FFFFFF"/>
          <w:vertAlign w:val="baseline"/>
        </w:rPr>
        <w:t>六、公告期限</w:t>
      </w:r>
    </w:p>
    <w:p w14:paraId="6A84C45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自本公告发布之日起3个工作日。</w:t>
      </w:r>
    </w:p>
    <w:p w14:paraId="0C373BB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333333"/>
          <w:spacing w:val="0"/>
          <w:sz w:val="24"/>
          <w:szCs w:val="24"/>
          <w:shd w:val="clear" w:fill="FFFFFF"/>
          <w:vertAlign w:val="baseline"/>
        </w:rPr>
      </w:pPr>
      <w:r>
        <w:rPr>
          <w:rStyle w:val="25"/>
          <w:rFonts w:hint="eastAsia" w:ascii="宋体" w:hAnsi="宋体" w:eastAsia="宋体" w:cs="宋体"/>
          <w:b/>
          <w:bCs/>
          <w:i w:val="0"/>
          <w:iCs w:val="0"/>
          <w:caps w:val="0"/>
          <w:color w:val="333333"/>
          <w:spacing w:val="0"/>
          <w:sz w:val="24"/>
          <w:szCs w:val="24"/>
          <w:shd w:val="clear" w:fill="FFFFFF"/>
          <w:vertAlign w:val="baseline"/>
        </w:rPr>
        <w:t>七、其他补充事宜</w:t>
      </w:r>
    </w:p>
    <w:p w14:paraId="4D97D95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（1）供应商领取采购文件时，请携带①单位介绍信②经办人身份证③经办人本单位证明（养老保险缴纳证明），以上资料复印件加盖公章。</w:t>
      </w:r>
    </w:p>
    <w:p w14:paraId="699BB3D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（2）请供应商按照《陕西省财政厅关于政府采购供应商注册登记有关事项的通知》中的要求，通过陕西省政府采购网（http://www.ccgp-shaanxi.gov.cn/）注册登记加入陕西省政府采购供应商库；</w:t>
      </w:r>
    </w:p>
    <w:p w14:paraId="676132C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（3）本项目为</w:t>
      </w:r>
      <w:r>
        <w:rPr>
          <w:rFonts w:hint="eastAsia" w:cs="宋体"/>
          <w:i w:val="0"/>
          <w:iCs w:val="0"/>
          <w:caps w:val="0"/>
          <w:color w:val="333333"/>
          <w:spacing w:val="0"/>
          <w:sz w:val="24"/>
          <w:szCs w:val="24"/>
          <w:shd w:val="clear" w:fill="FFFFFF"/>
          <w:vertAlign w:val="baseline"/>
          <w:lang w:val="en-US" w:eastAsia="zh-CN"/>
        </w:rPr>
        <w:t>非</w:t>
      </w:r>
      <w:r>
        <w:rPr>
          <w:rFonts w:hint="eastAsia" w:ascii="宋体" w:hAnsi="宋体" w:eastAsia="宋体" w:cs="宋体"/>
          <w:i w:val="0"/>
          <w:iCs w:val="0"/>
          <w:caps w:val="0"/>
          <w:color w:val="333333"/>
          <w:spacing w:val="0"/>
          <w:sz w:val="24"/>
          <w:szCs w:val="24"/>
          <w:shd w:val="clear" w:fill="FFFFFF"/>
          <w:vertAlign w:val="baseline"/>
        </w:rPr>
        <w:t>专门面向中小企业。</w:t>
      </w:r>
    </w:p>
    <w:p w14:paraId="255397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333333"/>
          <w:spacing w:val="0"/>
          <w:sz w:val="24"/>
          <w:szCs w:val="24"/>
          <w:shd w:val="clear" w:fill="FFFFFF"/>
          <w:vertAlign w:val="baseline"/>
        </w:rPr>
      </w:pPr>
      <w:r>
        <w:rPr>
          <w:rStyle w:val="25"/>
          <w:rFonts w:hint="eastAsia" w:ascii="宋体" w:hAnsi="宋体" w:eastAsia="宋体" w:cs="宋体"/>
          <w:b/>
          <w:bCs/>
          <w:i w:val="0"/>
          <w:iCs w:val="0"/>
          <w:caps w:val="0"/>
          <w:color w:val="333333"/>
          <w:spacing w:val="0"/>
          <w:sz w:val="24"/>
          <w:szCs w:val="24"/>
          <w:shd w:val="clear" w:fill="FFFFFF"/>
          <w:vertAlign w:val="baseline"/>
        </w:rPr>
        <w:t>八、对本次招标提出询问，请按以下方式联系。</w:t>
      </w:r>
    </w:p>
    <w:p w14:paraId="40F794D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1.采购人信息</w:t>
      </w:r>
    </w:p>
    <w:p w14:paraId="3F78A16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lang w:eastAsia="zh-CN"/>
        </w:rPr>
      </w:pPr>
      <w:r>
        <w:rPr>
          <w:rFonts w:hint="eastAsia" w:ascii="宋体" w:hAnsi="宋体" w:eastAsia="宋体" w:cs="宋体"/>
          <w:i w:val="0"/>
          <w:iCs w:val="0"/>
          <w:caps w:val="0"/>
          <w:color w:val="333333"/>
          <w:spacing w:val="0"/>
          <w:sz w:val="24"/>
          <w:szCs w:val="24"/>
          <w:shd w:val="clear" w:fill="FFFFFF"/>
          <w:vertAlign w:val="baseline"/>
        </w:rPr>
        <w:t>名称：</w:t>
      </w:r>
      <w:r>
        <w:rPr>
          <w:rFonts w:hint="eastAsia" w:cs="宋体"/>
          <w:i w:val="0"/>
          <w:iCs w:val="0"/>
          <w:caps w:val="0"/>
          <w:color w:val="333333"/>
          <w:spacing w:val="0"/>
          <w:sz w:val="24"/>
          <w:szCs w:val="24"/>
          <w:shd w:val="clear" w:fill="FFFFFF"/>
          <w:vertAlign w:val="baseline"/>
          <w:lang w:eastAsia="zh-CN"/>
        </w:rPr>
        <w:t>西安市儿童医院</w:t>
      </w:r>
    </w:p>
    <w:p w14:paraId="0FAC271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lang w:eastAsia="zh-CN"/>
        </w:rPr>
      </w:pPr>
      <w:r>
        <w:rPr>
          <w:rFonts w:hint="eastAsia" w:ascii="宋体" w:hAnsi="宋体" w:eastAsia="宋体" w:cs="宋体"/>
          <w:i w:val="0"/>
          <w:iCs w:val="0"/>
          <w:caps w:val="0"/>
          <w:color w:val="333333"/>
          <w:spacing w:val="0"/>
          <w:sz w:val="24"/>
          <w:szCs w:val="24"/>
          <w:shd w:val="clear" w:fill="FFFFFF"/>
          <w:vertAlign w:val="baseline"/>
        </w:rPr>
        <w:t>地址：</w:t>
      </w:r>
      <w:r>
        <w:rPr>
          <w:rFonts w:hint="eastAsia" w:cs="宋体"/>
          <w:i w:val="0"/>
          <w:iCs w:val="0"/>
          <w:caps w:val="0"/>
          <w:color w:val="333333"/>
          <w:spacing w:val="0"/>
          <w:sz w:val="24"/>
          <w:szCs w:val="24"/>
          <w:shd w:val="clear" w:fill="FFFFFF"/>
          <w:vertAlign w:val="baseline"/>
          <w:lang w:eastAsia="zh-CN"/>
        </w:rPr>
        <w:t>西安市莲湖区西举院巷69号</w:t>
      </w:r>
    </w:p>
    <w:p w14:paraId="387EAE5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lang w:eastAsia="zh-CN"/>
        </w:rPr>
      </w:pPr>
      <w:r>
        <w:rPr>
          <w:rFonts w:hint="eastAsia" w:ascii="宋体" w:hAnsi="宋体" w:eastAsia="宋体" w:cs="宋体"/>
          <w:i w:val="0"/>
          <w:iCs w:val="0"/>
          <w:caps w:val="0"/>
          <w:color w:val="333333"/>
          <w:spacing w:val="0"/>
          <w:sz w:val="24"/>
          <w:szCs w:val="24"/>
          <w:shd w:val="clear" w:fill="FFFFFF"/>
          <w:vertAlign w:val="baseline"/>
        </w:rPr>
        <w:t>联系方式：</w:t>
      </w:r>
      <w:r>
        <w:rPr>
          <w:rFonts w:hint="eastAsia" w:cs="宋体"/>
          <w:i w:val="0"/>
          <w:iCs w:val="0"/>
          <w:caps w:val="0"/>
          <w:color w:val="333333"/>
          <w:spacing w:val="0"/>
          <w:sz w:val="24"/>
          <w:szCs w:val="24"/>
          <w:shd w:val="clear" w:fill="FFFFFF"/>
          <w:vertAlign w:val="baseline"/>
          <w:lang w:eastAsia="zh-CN"/>
        </w:rPr>
        <w:t>029-87692082</w:t>
      </w:r>
    </w:p>
    <w:p w14:paraId="0A458E7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2.采购代理机构信息</w:t>
      </w:r>
    </w:p>
    <w:p w14:paraId="70C8AA4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名称：陕西至诚项目管理集团有限公司</w:t>
      </w:r>
    </w:p>
    <w:p w14:paraId="007F6C6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地址：陕西省西安市经济技术开发区未央路171-1号银池道拉斯财富中心21楼</w:t>
      </w:r>
    </w:p>
    <w:p w14:paraId="27980AF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联系方式：029-88219779</w:t>
      </w:r>
    </w:p>
    <w:p w14:paraId="7721DF2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3.项目联系方式</w:t>
      </w:r>
    </w:p>
    <w:p w14:paraId="4E5204F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项目联系人：康乐、孙洋、常瑛</w:t>
      </w:r>
    </w:p>
    <w:p w14:paraId="0339559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电话：029-88219779</w:t>
      </w:r>
    </w:p>
    <w:p w14:paraId="35BC4DF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p>
    <w:p w14:paraId="19D0E66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陕西至诚项目管理集团有限公司</w:t>
      </w:r>
    </w:p>
    <w:p w14:paraId="0BDE94C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2026年</w:t>
      </w:r>
      <w:r>
        <w:rPr>
          <w:rFonts w:hint="eastAsia" w:cs="宋体"/>
          <w:i w:val="0"/>
          <w:iCs w:val="0"/>
          <w:caps w:val="0"/>
          <w:color w:val="333333"/>
          <w:spacing w:val="0"/>
          <w:sz w:val="24"/>
          <w:szCs w:val="24"/>
          <w:shd w:val="clear" w:fill="FFFFFF"/>
          <w:vertAlign w:val="baseline"/>
          <w:lang w:val="en-US" w:eastAsia="zh-CN"/>
        </w:rPr>
        <w:t>10</w:t>
      </w:r>
      <w:r>
        <w:rPr>
          <w:rFonts w:hint="eastAsia" w:ascii="宋体" w:hAnsi="宋体" w:eastAsia="宋体" w:cs="宋体"/>
          <w:i w:val="0"/>
          <w:iCs w:val="0"/>
          <w:caps w:val="0"/>
          <w:color w:val="333333"/>
          <w:spacing w:val="0"/>
          <w:sz w:val="24"/>
          <w:szCs w:val="24"/>
          <w:shd w:val="clear" w:fill="FFFFFF"/>
          <w:vertAlign w:val="baseline"/>
        </w:rPr>
        <w:t>月</w:t>
      </w:r>
      <w:r>
        <w:rPr>
          <w:rFonts w:hint="eastAsia" w:cs="宋体"/>
          <w:i w:val="0"/>
          <w:iCs w:val="0"/>
          <w:caps w:val="0"/>
          <w:color w:val="333333"/>
          <w:spacing w:val="0"/>
          <w:sz w:val="24"/>
          <w:szCs w:val="24"/>
          <w:shd w:val="clear" w:fill="FFFFFF"/>
          <w:vertAlign w:val="baseline"/>
          <w:lang w:val="en-US" w:eastAsia="zh-CN"/>
        </w:rPr>
        <w:t>15</w:t>
      </w:r>
      <w:r>
        <w:rPr>
          <w:rFonts w:hint="eastAsia" w:ascii="宋体" w:hAnsi="宋体" w:eastAsia="宋体" w:cs="宋体"/>
          <w:i w:val="0"/>
          <w:iCs w:val="0"/>
          <w:caps w:val="0"/>
          <w:color w:val="333333"/>
          <w:spacing w:val="0"/>
          <w:sz w:val="24"/>
          <w:szCs w:val="24"/>
          <w:shd w:val="clear" w:fill="FFFFFF"/>
          <w:vertAlign w:val="baseline"/>
        </w:rPr>
        <w:t>日</w:t>
      </w:r>
    </w:p>
    <w:p w14:paraId="3576629A">
      <w:pPr>
        <w:pStyle w:val="43"/>
        <w:keepNext w:val="0"/>
        <w:keepLines w:val="0"/>
        <w:pageBreakBefore w:val="0"/>
        <w:widowControl/>
        <w:kinsoku/>
        <w:wordWrap/>
        <w:overflowPunct/>
        <w:topLinePunct w:val="0"/>
        <w:autoSpaceDE/>
        <w:autoSpaceDN/>
        <w:bidi w:val="0"/>
        <w:adjustRightInd/>
        <w:snapToGrid/>
        <w:spacing w:line="360" w:lineRule="auto"/>
        <w:ind w:firstLine="400" w:firstLineChars="200"/>
        <w:jc w:val="center"/>
        <w:textAlignment w:val="auto"/>
        <w:rPr>
          <w:rFonts w:hAnsi="宋体" w:cs="宋体"/>
          <w:color w:val="auto"/>
          <w:highlight w:val="none"/>
        </w:rPr>
      </w:pPr>
      <w:r>
        <w:rPr>
          <w:rFonts w:hint="eastAsia" w:hAnsi="宋体" w:cs="宋体"/>
          <w:color w:val="auto"/>
          <w:highlight w:val="none"/>
        </w:rPr>
        <w:br w:type="page"/>
      </w:r>
    </w:p>
    <w:p w14:paraId="49014355">
      <w:pPr>
        <w:spacing w:line="348" w:lineRule="auto"/>
        <w:ind w:right="119"/>
        <w:jc w:val="center"/>
        <w:outlineLvl w:val="0"/>
        <w:rPr>
          <w:rFonts w:hAnsi="宋体" w:cs="宋体"/>
          <w:bCs/>
          <w:color w:val="auto"/>
          <w:sz w:val="36"/>
          <w:szCs w:val="36"/>
          <w:highlight w:val="none"/>
        </w:rPr>
      </w:pPr>
      <w:bookmarkStart w:id="20" w:name="_Toc23870"/>
      <w:bookmarkStart w:id="21" w:name="_Toc3334"/>
      <w:bookmarkStart w:id="22" w:name="_Toc14793"/>
      <w:r>
        <w:rPr>
          <w:rFonts w:hint="eastAsia" w:hAnsi="宋体" w:cs="宋体"/>
          <w:b/>
          <w:bCs/>
          <w:color w:val="auto"/>
          <w:kern w:val="2"/>
          <w:sz w:val="36"/>
          <w:szCs w:val="36"/>
          <w:highlight w:val="none"/>
        </w:rPr>
        <w:t xml:space="preserve">第二章  </w:t>
      </w:r>
      <w:bookmarkEnd w:id="16"/>
      <w:bookmarkEnd w:id="17"/>
      <w:bookmarkStart w:id="23" w:name="OLE_LINK3"/>
      <w:r>
        <w:rPr>
          <w:rFonts w:hint="eastAsia" w:hAnsi="宋体" w:cs="宋体"/>
          <w:b/>
          <w:bCs/>
          <w:color w:val="auto"/>
          <w:kern w:val="2"/>
          <w:sz w:val="36"/>
          <w:szCs w:val="36"/>
          <w:highlight w:val="none"/>
        </w:rPr>
        <w:t>供应商须知</w:t>
      </w:r>
      <w:bookmarkEnd w:id="18"/>
      <w:bookmarkEnd w:id="19"/>
      <w:bookmarkEnd w:id="20"/>
      <w:bookmarkEnd w:id="21"/>
      <w:bookmarkEnd w:id="22"/>
      <w:bookmarkEnd w:id="23"/>
    </w:p>
    <w:p w14:paraId="5D7227CB">
      <w:pPr>
        <w:spacing w:line="440" w:lineRule="exact"/>
        <w:jc w:val="center"/>
        <w:outlineLvl w:val="1"/>
        <w:rPr>
          <w:rFonts w:hAnsi="宋体" w:cs="宋体"/>
          <w:b/>
          <w:bCs/>
          <w:color w:val="auto"/>
          <w:sz w:val="32"/>
          <w:szCs w:val="32"/>
          <w:highlight w:val="none"/>
        </w:rPr>
      </w:pPr>
      <w:bookmarkStart w:id="24" w:name="_Toc18547"/>
      <w:bookmarkStart w:id="25" w:name="_Toc8846"/>
      <w:bookmarkStart w:id="26" w:name="_Toc16830"/>
      <w:bookmarkStart w:id="27" w:name="_Toc4724"/>
      <w:bookmarkStart w:id="28" w:name="_Toc23180"/>
      <w:bookmarkStart w:id="29" w:name="_Toc18299"/>
      <w:r>
        <w:rPr>
          <w:rFonts w:hint="eastAsia" w:hAnsi="宋体" w:cs="宋体"/>
          <w:b/>
          <w:bCs/>
          <w:color w:val="auto"/>
          <w:sz w:val="32"/>
          <w:szCs w:val="32"/>
          <w:highlight w:val="none"/>
        </w:rPr>
        <w:t>供应商须知前附表</w:t>
      </w:r>
      <w:bookmarkEnd w:id="24"/>
      <w:bookmarkEnd w:id="25"/>
      <w:bookmarkEnd w:id="26"/>
      <w:bookmarkEnd w:id="27"/>
      <w:bookmarkEnd w:id="28"/>
      <w:bookmarkEnd w:id="29"/>
    </w:p>
    <w:p w14:paraId="33883874">
      <w:pPr>
        <w:spacing w:line="440" w:lineRule="exact"/>
        <w:ind w:firstLine="480" w:firstLineChars="200"/>
        <w:rPr>
          <w:rFonts w:hAnsi="宋体" w:cs="宋体"/>
          <w:color w:val="auto"/>
          <w:szCs w:val="24"/>
          <w:highlight w:val="none"/>
        </w:rPr>
      </w:pPr>
      <w:r>
        <w:rPr>
          <w:rFonts w:hint="eastAsia" w:hAnsi="宋体" w:cs="宋体"/>
          <w:color w:val="auto"/>
          <w:szCs w:val="24"/>
          <w:highlight w:val="none"/>
        </w:rPr>
        <w:t>本表是对供应商须知的具体补充和修改，如有矛盾，应以本资料表为准。</w:t>
      </w:r>
    </w:p>
    <w:tbl>
      <w:tblPr>
        <w:tblStyle w:val="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1090"/>
        <w:gridCol w:w="7215"/>
      </w:tblGrid>
      <w:tr w14:paraId="3BC65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40FEFDA0">
            <w:pPr>
              <w:spacing w:beforeLines="50" w:line="360" w:lineRule="auto"/>
              <w:jc w:val="center"/>
              <w:rPr>
                <w:rFonts w:hAnsi="宋体" w:cs="宋体"/>
                <w:b/>
                <w:color w:val="auto"/>
                <w:szCs w:val="24"/>
                <w:highlight w:val="none"/>
              </w:rPr>
            </w:pPr>
            <w:r>
              <w:rPr>
                <w:rFonts w:hint="eastAsia" w:hAnsi="宋体" w:cs="宋体"/>
                <w:b/>
                <w:color w:val="auto"/>
                <w:szCs w:val="24"/>
                <w:highlight w:val="none"/>
              </w:rPr>
              <w:t>序号</w:t>
            </w:r>
          </w:p>
        </w:tc>
        <w:tc>
          <w:tcPr>
            <w:tcW w:w="1090" w:type="dxa"/>
            <w:vAlign w:val="center"/>
          </w:tcPr>
          <w:p w14:paraId="7AF09C87">
            <w:pPr>
              <w:spacing w:beforeLines="50" w:line="360" w:lineRule="auto"/>
              <w:jc w:val="center"/>
              <w:rPr>
                <w:rFonts w:hAnsi="宋体" w:cs="宋体"/>
                <w:b/>
                <w:color w:val="auto"/>
                <w:szCs w:val="24"/>
                <w:highlight w:val="none"/>
              </w:rPr>
            </w:pPr>
            <w:r>
              <w:rPr>
                <w:rFonts w:hint="eastAsia" w:hAnsi="宋体" w:cs="宋体"/>
                <w:b/>
                <w:color w:val="auto"/>
                <w:szCs w:val="24"/>
                <w:highlight w:val="none"/>
              </w:rPr>
              <w:t>条款号</w:t>
            </w:r>
          </w:p>
        </w:tc>
        <w:tc>
          <w:tcPr>
            <w:tcW w:w="7215" w:type="dxa"/>
          </w:tcPr>
          <w:p w14:paraId="51865534">
            <w:pPr>
              <w:spacing w:beforeLines="50" w:line="360" w:lineRule="auto"/>
              <w:jc w:val="center"/>
              <w:rPr>
                <w:rFonts w:hAnsi="宋体" w:cs="宋体"/>
                <w:b/>
                <w:color w:val="auto"/>
                <w:szCs w:val="24"/>
                <w:highlight w:val="none"/>
              </w:rPr>
            </w:pPr>
            <w:r>
              <w:rPr>
                <w:rFonts w:hint="eastAsia" w:hAnsi="宋体" w:cs="宋体"/>
                <w:b/>
                <w:color w:val="auto"/>
                <w:szCs w:val="24"/>
                <w:highlight w:val="none"/>
              </w:rPr>
              <w:t xml:space="preserve">编 列 内 容 </w:t>
            </w:r>
          </w:p>
        </w:tc>
      </w:tr>
      <w:tr w14:paraId="65150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6BE1F498">
            <w:pPr>
              <w:spacing w:line="360" w:lineRule="auto"/>
              <w:jc w:val="center"/>
              <w:rPr>
                <w:rFonts w:hAnsi="宋体" w:cs="宋体"/>
                <w:color w:val="auto"/>
                <w:szCs w:val="24"/>
                <w:highlight w:val="none"/>
              </w:rPr>
            </w:pPr>
            <w:r>
              <w:rPr>
                <w:rFonts w:hint="eastAsia" w:hAnsi="宋体" w:cs="宋体"/>
                <w:color w:val="auto"/>
                <w:szCs w:val="24"/>
                <w:highlight w:val="none"/>
              </w:rPr>
              <w:t>1</w:t>
            </w:r>
          </w:p>
        </w:tc>
        <w:tc>
          <w:tcPr>
            <w:tcW w:w="1090" w:type="dxa"/>
            <w:vAlign w:val="center"/>
          </w:tcPr>
          <w:p w14:paraId="135C72DD">
            <w:pPr>
              <w:spacing w:line="360" w:lineRule="auto"/>
              <w:jc w:val="center"/>
              <w:rPr>
                <w:rFonts w:hAnsi="宋体" w:cs="宋体"/>
                <w:color w:val="auto"/>
                <w:szCs w:val="24"/>
                <w:highlight w:val="none"/>
              </w:rPr>
            </w:pPr>
            <w:r>
              <w:rPr>
                <w:rFonts w:hint="eastAsia" w:hAnsi="宋体" w:cs="宋体"/>
                <w:color w:val="auto"/>
                <w:szCs w:val="24"/>
                <w:highlight w:val="none"/>
              </w:rPr>
              <w:t>2.3</w:t>
            </w:r>
          </w:p>
        </w:tc>
        <w:tc>
          <w:tcPr>
            <w:tcW w:w="7215" w:type="dxa"/>
          </w:tcPr>
          <w:p w14:paraId="193EEB28">
            <w:pPr>
              <w:spacing w:line="360" w:lineRule="auto"/>
              <w:rPr>
                <w:rFonts w:hAnsi="宋体" w:cs="宋体"/>
                <w:color w:val="auto"/>
                <w:szCs w:val="24"/>
                <w:highlight w:val="none"/>
              </w:rPr>
            </w:pPr>
            <w:r>
              <w:rPr>
                <w:rFonts w:hint="eastAsia" w:hAnsi="宋体" w:cs="宋体"/>
                <w:color w:val="auto"/>
                <w:szCs w:val="24"/>
                <w:highlight w:val="none"/>
              </w:rPr>
              <w:t>采购代理机构：陕西至诚项目管理集团有限公司</w:t>
            </w:r>
          </w:p>
          <w:p w14:paraId="5EE30CDA">
            <w:pPr>
              <w:spacing w:line="360" w:lineRule="auto"/>
              <w:rPr>
                <w:rFonts w:hAnsi="宋体" w:cs="宋体"/>
                <w:color w:val="auto"/>
                <w:szCs w:val="24"/>
                <w:highlight w:val="none"/>
              </w:rPr>
            </w:pPr>
            <w:r>
              <w:rPr>
                <w:rFonts w:hint="eastAsia" w:hAnsi="宋体" w:cs="宋体"/>
                <w:color w:val="auto"/>
                <w:szCs w:val="24"/>
                <w:highlight w:val="none"/>
              </w:rPr>
              <w:t>地        址：陕西省西安市经济技术开发区未央路171-1号银池道拉斯财富中心21楼03室</w:t>
            </w:r>
          </w:p>
          <w:p w14:paraId="14DB0196">
            <w:pPr>
              <w:spacing w:line="360" w:lineRule="auto"/>
              <w:rPr>
                <w:rFonts w:hint="default" w:hAnsi="宋体" w:eastAsia="宋体" w:cs="宋体"/>
                <w:color w:val="auto"/>
                <w:szCs w:val="24"/>
                <w:highlight w:val="none"/>
                <w:lang w:val="en-US" w:eastAsia="zh-CN"/>
              </w:rPr>
            </w:pPr>
            <w:r>
              <w:rPr>
                <w:rFonts w:hint="eastAsia" w:hAnsi="宋体" w:cs="宋体"/>
                <w:color w:val="auto"/>
                <w:szCs w:val="24"/>
                <w:highlight w:val="none"/>
              </w:rPr>
              <w:t>邮        编：7100</w:t>
            </w:r>
            <w:r>
              <w:rPr>
                <w:rFonts w:hint="eastAsia" w:hAnsi="宋体" w:cs="宋体"/>
                <w:color w:val="auto"/>
                <w:szCs w:val="24"/>
                <w:highlight w:val="none"/>
                <w:lang w:val="en-US" w:eastAsia="zh-CN"/>
              </w:rPr>
              <w:t>00</w:t>
            </w:r>
          </w:p>
          <w:p w14:paraId="05018384">
            <w:pPr>
              <w:spacing w:line="360" w:lineRule="auto"/>
              <w:rPr>
                <w:rFonts w:hAnsi="宋体" w:cs="宋体"/>
                <w:color w:val="auto"/>
                <w:szCs w:val="24"/>
                <w:highlight w:val="none"/>
              </w:rPr>
            </w:pPr>
            <w:r>
              <w:rPr>
                <w:rFonts w:hint="eastAsia" w:hAnsi="宋体" w:cs="宋体"/>
                <w:color w:val="auto"/>
                <w:szCs w:val="24"/>
                <w:highlight w:val="none"/>
              </w:rPr>
              <w:t>电        话：029-88219779</w:t>
            </w:r>
          </w:p>
          <w:p w14:paraId="6DEA9619">
            <w:pPr>
              <w:spacing w:line="360" w:lineRule="auto"/>
              <w:rPr>
                <w:rFonts w:hAnsi="宋体" w:cs="宋体"/>
                <w:color w:val="auto"/>
                <w:szCs w:val="24"/>
                <w:highlight w:val="none"/>
              </w:rPr>
            </w:pPr>
            <w:r>
              <w:rPr>
                <w:rFonts w:hint="eastAsia" w:hAnsi="宋体" w:cs="宋体"/>
                <w:color w:val="auto"/>
                <w:szCs w:val="24"/>
                <w:highlight w:val="none"/>
              </w:rPr>
              <w:t>传        真：/</w:t>
            </w:r>
          </w:p>
        </w:tc>
      </w:tr>
      <w:tr w14:paraId="32558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7" w:hRule="atLeast"/>
          <w:jc w:val="center"/>
        </w:trPr>
        <w:tc>
          <w:tcPr>
            <w:tcW w:w="592" w:type="dxa"/>
            <w:vAlign w:val="center"/>
          </w:tcPr>
          <w:p w14:paraId="2E039EB3">
            <w:pPr>
              <w:spacing w:line="360" w:lineRule="auto"/>
              <w:jc w:val="center"/>
              <w:rPr>
                <w:rFonts w:hAnsi="宋体" w:cs="宋体"/>
                <w:color w:val="auto"/>
                <w:szCs w:val="24"/>
                <w:highlight w:val="none"/>
              </w:rPr>
            </w:pPr>
            <w:r>
              <w:rPr>
                <w:rFonts w:hint="eastAsia" w:hAnsi="宋体" w:cs="宋体"/>
                <w:color w:val="auto"/>
                <w:szCs w:val="24"/>
                <w:highlight w:val="none"/>
              </w:rPr>
              <w:t>2</w:t>
            </w:r>
          </w:p>
        </w:tc>
        <w:tc>
          <w:tcPr>
            <w:tcW w:w="1090" w:type="dxa"/>
            <w:vAlign w:val="center"/>
          </w:tcPr>
          <w:p w14:paraId="6B9DB996">
            <w:pPr>
              <w:spacing w:line="360" w:lineRule="auto"/>
              <w:jc w:val="center"/>
              <w:rPr>
                <w:rFonts w:hAnsi="宋体" w:cs="宋体"/>
                <w:color w:val="auto"/>
                <w:szCs w:val="24"/>
                <w:highlight w:val="none"/>
              </w:rPr>
            </w:pPr>
            <w:r>
              <w:rPr>
                <w:rFonts w:hint="eastAsia" w:hAnsi="宋体" w:cs="宋体"/>
                <w:color w:val="auto"/>
                <w:szCs w:val="24"/>
                <w:highlight w:val="none"/>
              </w:rPr>
              <w:t>3.6</w:t>
            </w:r>
          </w:p>
        </w:tc>
        <w:tc>
          <w:tcPr>
            <w:tcW w:w="7215" w:type="dxa"/>
            <w:vAlign w:val="center"/>
          </w:tcPr>
          <w:p w14:paraId="7550C888">
            <w:pPr>
              <w:spacing w:line="360" w:lineRule="auto"/>
              <w:rPr>
                <w:rFonts w:hAnsi="宋体" w:cs="宋体"/>
                <w:color w:val="auto"/>
                <w:szCs w:val="24"/>
                <w:highlight w:val="none"/>
              </w:rPr>
            </w:pPr>
            <w:r>
              <w:rPr>
                <w:rFonts w:hint="eastAsia" w:hAnsi="宋体" w:cs="宋体"/>
                <w:color w:val="auto"/>
                <w:szCs w:val="24"/>
                <w:highlight w:val="none"/>
              </w:rPr>
              <w:t>本项目不接受联合体磋商。</w:t>
            </w:r>
          </w:p>
        </w:tc>
      </w:tr>
      <w:tr w14:paraId="2B9BD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592" w:type="dxa"/>
            <w:vAlign w:val="center"/>
          </w:tcPr>
          <w:p w14:paraId="6584740F">
            <w:pPr>
              <w:spacing w:line="360" w:lineRule="auto"/>
              <w:jc w:val="center"/>
              <w:rPr>
                <w:rFonts w:hAnsi="宋体" w:cs="宋体"/>
                <w:color w:val="auto"/>
                <w:szCs w:val="24"/>
                <w:highlight w:val="none"/>
              </w:rPr>
            </w:pPr>
            <w:r>
              <w:rPr>
                <w:rFonts w:hint="eastAsia" w:hAnsi="宋体" w:cs="宋体"/>
                <w:color w:val="auto"/>
                <w:szCs w:val="24"/>
                <w:highlight w:val="none"/>
              </w:rPr>
              <w:t>3</w:t>
            </w:r>
          </w:p>
        </w:tc>
        <w:tc>
          <w:tcPr>
            <w:tcW w:w="1090" w:type="dxa"/>
            <w:vAlign w:val="center"/>
          </w:tcPr>
          <w:p w14:paraId="0BB8DAB1">
            <w:pPr>
              <w:spacing w:line="360" w:lineRule="auto"/>
              <w:jc w:val="center"/>
              <w:rPr>
                <w:rFonts w:hAnsi="宋体" w:cs="宋体"/>
                <w:color w:val="auto"/>
                <w:szCs w:val="24"/>
                <w:highlight w:val="none"/>
              </w:rPr>
            </w:pPr>
            <w:r>
              <w:rPr>
                <w:rFonts w:hint="eastAsia" w:hAnsi="宋体" w:cs="宋体"/>
                <w:color w:val="auto"/>
                <w:szCs w:val="24"/>
                <w:highlight w:val="none"/>
              </w:rPr>
              <w:t>9.2</w:t>
            </w:r>
          </w:p>
        </w:tc>
        <w:tc>
          <w:tcPr>
            <w:tcW w:w="7215" w:type="dxa"/>
            <w:vAlign w:val="center"/>
          </w:tcPr>
          <w:p w14:paraId="5F4A6FBD">
            <w:pPr>
              <w:spacing w:line="360" w:lineRule="auto"/>
              <w:rPr>
                <w:rFonts w:hAnsi="宋体" w:cs="宋体"/>
                <w:color w:val="auto"/>
                <w:szCs w:val="24"/>
                <w:highlight w:val="none"/>
              </w:rPr>
            </w:pPr>
            <w:r>
              <w:rPr>
                <w:rFonts w:hint="eastAsia" w:hAnsi="宋体" w:cs="宋体"/>
                <w:color w:val="auto"/>
                <w:szCs w:val="24"/>
                <w:highlight w:val="none"/>
              </w:rPr>
              <w:t>不允许提供备选方案。</w:t>
            </w:r>
          </w:p>
        </w:tc>
      </w:tr>
      <w:tr w14:paraId="35CF3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vAlign w:val="center"/>
          </w:tcPr>
          <w:p w14:paraId="10B6FFA4">
            <w:pPr>
              <w:spacing w:line="360" w:lineRule="auto"/>
              <w:jc w:val="center"/>
              <w:rPr>
                <w:rFonts w:hAnsi="宋体" w:cs="宋体"/>
                <w:color w:val="auto"/>
                <w:szCs w:val="24"/>
                <w:highlight w:val="none"/>
              </w:rPr>
            </w:pPr>
            <w:r>
              <w:rPr>
                <w:rFonts w:hint="eastAsia" w:hAnsi="宋体" w:cs="宋体"/>
                <w:color w:val="auto"/>
                <w:szCs w:val="24"/>
                <w:highlight w:val="none"/>
              </w:rPr>
              <w:t>4</w:t>
            </w:r>
          </w:p>
        </w:tc>
        <w:tc>
          <w:tcPr>
            <w:tcW w:w="1090" w:type="dxa"/>
            <w:vAlign w:val="center"/>
          </w:tcPr>
          <w:p w14:paraId="0A70CCFA">
            <w:pPr>
              <w:spacing w:line="360" w:lineRule="auto"/>
              <w:jc w:val="center"/>
              <w:rPr>
                <w:rFonts w:hAnsi="宋体" w:cs="宋体"/>
                <w:color w:val="auto"/>
                <w:szCs w:val="24"/>
                <w:highlight w:val="none"/>
              </w:rPr>
            </w:pPr>
            <w:r>
              <w:rPr>
                <w:rFonts w:hint="eastAsia" w:hAnsi="宋体" w:cs="宋体"/>
                <w:color w:val="auto"/>
                <w:szCs w:val="24"/>
                <w:highlight w:val="none"/>
              </w:rPr>
              <w:t>9.3</w:t>
            </w:r>
          </w:p>
        </w:tc>
        <w:tc>
          <w:tcPr>
            <w:tcW w:w="7215" w:type="dxa"/>
            <w:vAlign w:val="center"/>
          </w:tcPr>
          <w:p w14:paraId="1E82EC9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185EF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7A16707D">
            <w:pPr>
              <w:spacing w:line="360" w:lineRule="auto"/>
              <w:jc w:val="center"/>
              <w:rPr>
                <w:rFonts w:hAnsi="宋体" w:cs="宋体"/>
                <w:color w:val="auto"/>
                <w:szCs w:val="24"/>
                <w:highlight w:val="none"/>
              </w:rPr>
            </w:pPr>
            <w:r>
              <w:rPr>
                <w:rFonts w:hint="eastAsia" w:hAnsi="宋体" w:cs="宋体"/>
                <w:color w:val="auto"/>
                <w:szCs w:val="24"/>
                <w:highlight w:val="none"/>
              </w:rPr>
              <w:t>5</w:t>
            </w:r>
          </w:p>
        </w:tc>
        <w:tc>
          <w:tcPr>
            <w:tcW w:w="1090" w:type="dxa"/>
            <w:vAlign w:val="center"/>
          </w:tcPr>
          <w:p w14:paraId="50B5962F">
            <w:pPr>
              <w:spacing w:line="360" w:lineRule="auto"/>
              <w:jc w:val="center"/>
              <w:rPr>
                <w:rFonts w:hAnsi="宋体" w:cs="宋体"/>
                <w:color w:val="auto"/>
                <w:szCs w:val="24"/>
                <w:highlight w:val="none"/>
              </w:rPr>
            </w:pPr>
            <w:r>
              <w:rPr>
                <w:rFonts w:hint="eastAsia" w:hAnsi="宋体" w:cs="宋体"/>
                <w:color w:val="auto"/>
                <w:szCs w:val="24"/>
                <w:highlight w:val="none"/>
              </w:rPr>
              <w:t>11.1</w:t>
            </w:r>
          </w:p>
        </w:tc>
        <w:tc>
          <w:tcPr>
            <w:tcW w:w="7215" w:type="dxa"/>
          </w:tcPr>
          <w:p w14:paraId="62D2CA46">
            <w:pPr>
              <w:spacing w:line="360" w:lineRule="auto"/>
              <w:ind w:firstLine="480"/>
              <w:rPr>
                <w:rFonts w:hAnsi="宋体" w:cs="宋体"/>
                <w:color w:val="auto"/>
                <w:szCs w:val="24"/>
                <w:highlight w:val="none"/>
              </w:rPr>
            </w:pPr>
            <w:r>
              <w:rPr>
                <w:rFonts w:hint="eastAsia" w:hAnsi="宋体" w:cs="宋体"/>
                <w:color w:val="auto"/>
                <w:szCs w:val="24"/>
                <w:highlight w:val="none"/>
              </w:rPr>
              <w:t>磋商报价：是供应商为完成本项目要求的全部服务内容最终价格的体现。</w:t>
            </w:r>
          </w:p>
          <w:p w14:paraId="1BF996A3">
            <w:pPr>
              <w:spacing w:line="360" w:lineRule="auto"/>
              <w:ind w:firstLine="48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供应商所报的价格应考虑到可能发生的所有与完成本项目相关服务及履行合同义务有关的一切费用，任何有选择的报价将不予接受，按无效磋商处理。</w:t>
            </w:r>
          </w:p>
        </w:tc>
      </w:tr>
      <w:tr w14:paraId="40ADE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vAlign w:val="center"/>
          </w:tcPr>
          <w:p w14:paraId="5E721574">
            <w:pPr>
              <w:spacing w:line="360" w:lineRule="auto"/>
              <w:jc w:val="center"/>
              <w:rPr>
                <w:rFonts w:hAnsi="宋体" w:cs="宋体"/>
                <w:color w:val="auto"/>
                <w:szCs w:val="24"/>
                <w:highlight w:val="none"/>
              </w:rPr>
            </w:pPr>
            <w:r>
              <w:rPr>
                <w:rFonts w:hint="eastAsia" w:hAnsi="宋体" w:cs="宋体"/>
                <w:color w:val="auto"/>
                <w:szCs w:val="24"/>
                <w:highlight w:val="none"/>
              </w:rPr>
              <w:t>6</w:t>
            </w:r>
          </w:p>
        </w:tc>
        <w:tc>
          <w:tcPr>
            <w:tcW w:w="1090" w:type="dxa"/>
            <w:vAlign w:val="center"/>
          </w:tcPr>
          <w:p w14:paraId="44B7D81A">
            <w:pPr>
              <w:spacing w:line="360" w:lineRule="auto"/>
              <w:jc w:val="center"/>
              <w:rPr>
                <w:rFonts w:hAnsi="宋体" w:cs="宋体"/>
                <w:color w:val="auto"/>
                <w:szCs w:val="24"/>
                <w:highlight w:val="none"/>
              </w:rPr>
            </w:pPr>
            <w:r>
              <w:rPr>
                <w:rFonts w:hint="eastAsia" w:hAnsi="宋体" w:cs="宋体"/>
                <w:color w:val="auto"/>
                <w:szCs w:val="24"/>
                <w:highlight w:val="none"/>
              </w:rPr>
              <w:t>12.1</w:t>
            </w:r>
          </w:p>
        </w:tc>
        <w:tc>
          <w:tcPr>
            <w:tcW w:w="7215" w:type="dxa"/>
          </w:tcPr>
          <w:p w14:paraId="356046ED">
            <w:pPr>
              <w:spacing w:line="360" w:lineRule="auto"/>
              <w:rPr>
                <w:rFonts w:hAnsi="宋体" w:cs="宋体"/>
                <w:color w:val="auto"/>
                <w:szCs w:val="24"/>
                <w:highlight w:val="none"/>
              </w:rPr>
            </w:pPr>
            <w:r>
              <w:rPr>
                <w:rFonts w:hint="eastAsia" w:hAnsi="宋体" w:cs="宋体"/>
                <w:color w:val="auto"/>
                <w:szCs w:val="24"/>
                <w:highlight w:val="none"/>
              </w:rPr>
              <w:t>特定资格证明文件：</w:t>
            </w:r>
          </w:p>
          <w:p w14:paraId="7435375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333333"/>
                <w:spacing w:val="0"/>
                <w:sz w:val="24"/>
                <w:szCs w:val="24"/>
                <w:shd w:val="clear" w:fill="FFFFFF"/>
                <w:vertAlign w:val="baseline"/>
                <w:lang w:val="en-US" w:eastAsia="zh-CN"/>
              </w:rPr>
            </w:pPr>
            <w:r>
              <w:rPr>
                <w:rFonts w:hint="default" w:ascii="宋体" w:hAnsi="宋体" w:eastAsia="宋体" w:cs="宋体"/>
                <w:i w:val="0"/>
                <w:iCs w:val="0"/>
                <w:caps w:val="0"/>
                <w:color w:val="333333"/>
                <w:spacing w:val="0"/>
                <w:sz w:val="24"/>
                <w:szCs w:val="24"/>
                <w:shd w:val="clear" w:fill="FFFFFF"/>
                <w:vertAlign w:val="baseline"/>
                <w:lang w:val="en-US" w:eastAsia="zh-CN"/>
              </w:rPr>
              <w:t>(1)提供合格有效的法人或者其他组织的营业执照等证明文件，自然人的身份证明；</w:t>
            </w:r>
          </w:p>
          <w:p w14:paraId="65D77EC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333333"/>
                <w:spacing w:val="0"/>
                <w:sz w:val="24"/>
                <w:szCs w:val="24"/>
                <w:shd w:val="clear" w:fill="FFFFFF"/>
                <w:vertAlign w:val="baseline"/>
                <w:lang w:val="en-US" w:eastAsia="zh-CN"/>
              </w:rPr>
            </w:pPr>
            <w:r>
              <w:rPr>
                <w:rFonts w:hint="default" w:ascii="宋体" w:hAnsi="宋体" w:eastAsia="宋体" w:cs="宋体"/>
                <w:i w:val="0"/>
                <w:iCs w:val="0"/>
                <w:caps w:val="0"/>
                <w:color w:val="333333"/>
                <w:spacing w:val="0"/>
                <w:sz w:val="24"/>
                <w:szCs w:val="24"/>
                <w:shd w:val="clear" w:fill="FFFFFF"/>
                <w:vertAlign w:val="baseline"/>
                <w:lang w:val="en-US" w:eastAsia="zh-CN"/>
              </w:rPr>
              <w:t>(2)供应商应授权合法的⼈员参加磋商全过程，其中法定代表⼈直接参加磋商的，须出具法⼈⾝份证，并与营业执照上信息⼀致。法定代表⼈授权代表参加磋商的，须出具法定代表⼈授权书及授权代表⾝份证、授权代表本单位证明（养⽼保险缴纳证明）；</w:t>
            </w:r>
          </w:p>
          <w:p w14:paraId="63111E9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333333"/>
                <w:spacing w:val="0"/>
                <w:sz w:val="24"/>
                <w:szCs w:val="24"/>
                <w:shd w:val="clear" w:fill="FFFFFF"/>
                <w:vertAlign w:val="baseline"/>
                <w:lang w:val="en-US" w:eastAsia="zh-CN"/>
              </w:rPr>
            </w:pPr>
            <w:r>
              <w:rPr>
                <w:rFonts w:hint="default" w:ascii="宋体" w:hAnsi="宋体" w:eastAsia="宋体" w:cs="宋体"/>
                <w:i w:val="0"/>
                <w:iCs w:val="0"/>
                <w:caps w:val="0"/>
                <w:color w:val="333333"/>
                <w:spacing w:val="0"/>
                <w:sz w:val="24"/>
                <w:szCs w:val="24"/>
                <w:shd w:val="clear" w:fill="FFFFFF"/>
                <w:vertAlign w:val="baseline"/>
                <w:lang w:val="en-US" w:eastAsia="zh-CN"/>
              </w:rPr>
              <w:t>(3)提供2025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7A436E2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333333"/>
                <w:spacing w:val="0"/>
                <w:sz w:val="24"/>
                <w:szCs w:val="24"/>
                <w:shd w:val="clear" w:fill="FFFFFF"/>
                <w:vertAlign w:val="baseline"/>
                <w:lang w:val="en-US" w:eastAsia="zh-CN"/>
              </w:rPr>
            </w:pPr>
            <w:r>
              <w:rPr>
                <w:rFonts w:hint="default" w:ascii="宋体" w:hAnsi="宋体" w:eastAsia="宋体" w:cs="宋体"/>
                <w:i w:val="0"/>
                <w:iCs w:val="0"/>
                <w:caps w:val="0"/>
                <w:color w:val="333333"/>
                <w:spacing w:val="0"/>
                <w:sz w:val="24"/>
                <w:szCs w:val="24"/>
                <w:shd w:val="clear" w:fill="FFFFFF"/>
                <w:vertAlign w:val="baseline"/>
                <w:lang w:val="en-US" w:eastAsia="zh-CN"/>
              </w:rPr>
              <w:t>(4)提供磋商响应文件截止日前近六个月内任意一个月的纳税证明或完税证明（任意税种），依法免税的单位应提供相关证明材料；</w:t>
            </w:r>
          </w:p>
          <w:p w14:paraId="5876733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333333"/>
                <w:spacing w:val="0"/>
                <w:sz w:val="24"/>
                <w:szCs w:val="24"/>
                <w:shd w:val="clear" w:fill="FFFFFF"/>
                <w:vertAlign w:val="baseline"/>
                <w:lang w:val="en-US" w:eastAsia="zh-CN"/>
              </w:rPr>
            </w:pPr>
            <w:r>
              <w:rPr>
                <w:rFonts w:hint="default" w:ascii="宋体" w:hAnsi="宋体" w:eastAsia="宋体" w:cs="宋体"/>
                <w:i w:val="0"/>
                <w:iCs w:val="0"/>
                <w:caps w:val="0"/>
                <w:color w:val="333333"/>
                <w:spacing w:val="0"/>
                <w:sz w:val="24"/>
                <w:szCs w:val="24"/>
                <w:shd w:val="clear" w:fill="FFFFFF"/>
                <w:vertAlign w:val="baseline"/>
                <w:lang w:val="en-US" w:eastAsia="zh-CN"/>
              </w:rPr>
              <w:t>(5)提供磋商响应文件截止日前近六个月内任意一个月的社会保障资金缴存单据或社保机构开具的社会保险参保缴费情况证明，依法不需要缴纳社会保障资金的单位应提供相关证明材料；</w:t>
            </w:r>
          </w:p>
          <w:p w14:paraId="2D79929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333333"/>
                <w:spacing w:val="0"/>
                <w:sz w:val="24"/>
                <w:szCs w:val="24"/>
                <w:shd w:val="clear" w:fill="FFFFFF"/>
                <w:vertAlign w:val="baseline"/>
                <w:lang w:val="en-US" w:eastAsia="zh-CN"/>
              </w:rPr>
            </w:pPr>
            <w:r>
              <w:rPr>
                <w:rFonts w:hint="default" w:ascii="宋体" w:hAnsi="宋体" w:eastAsia="宋体" w:cs="宋体"/>
                <w:i w:val="0"/>
                <w:iCs w:val="0"/>
                <w:caps w:val="0"/>
                <w:color w:val="333333"/>
                <w:spacing w:val="0"/>
                <w:sz w:val="24"/>
                <w:szCs w:val="24"/>
                <w:shd w:val="clear" w:fill="FFFFFF"/>
                <w:vertAlign w:val="baseline"/>
                <w:lang w:val="en-US" w:eastAsia="zh-CN"/>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6DAB629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333333"/>
                <w:spacing w:val="0"/>
                <w:sz w:val="24"/>
                <w:szCs w:val="24"/>
                <w:shd w:val="clear" w:fill="FFFFFF"/>
                <w:vertAlign w:val="baseline"/>
                <w:lang w:val="en-US" w:eastAsia="zh-CN"/>
              </w:rPr>
            </w:pPr>
            <w:r>
              <w:rPr>
                <w:rFonts w:hint="default" w:ascii="宋体" w:hAnsi="宋体" w:eastAsia="宋体" w:cs="宋体"/>
                <w:i w:val="0"/>
                <w:iCs w:val="0"/>
                <w:caps w:val="0"/>
                <w:color w:val="333333"/>
                <w:spacing w:val="0"/>
                <w:sz w:val="24"/>
                <w:szCs w:val="24"/>
                <w:shd w:val="clear" w:fill="FFFFFF"/>
                <w:vertAlign w:val="baseline"/>
                <w:lang w:val="en-US" w:eastAsia="zh-CN"/>
              </w:rPr>
              <w:t>(7)参加政府采购活动前3年内，在经营活动中没有重大违法记录的书面声明；</w:t>
            </w:r>
          </w:p>
          <w:p w14:paraId="2C1521F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333333"/>
                <w:spacing w:val="0"/>
                <w:sz w:val="24"/>
                <w:szCs w:val="24"/>
                <w:shd w:val="clear" w:fill="FFFFFF"/>
                <w:vertAlign w:val="baseline"/>
                <w:lang w:val="en-US" w:eastAsia="zh-CN"/>
              </w:rPr>
            </w:pPr>
            <w:r>
              <w:rPr>
                <w:rFonts w:hint="default" w:ascii="宋体" w:hAnsi="宋体" w:eastAsia="宋体" w:cs="宋体"/>
                <w:i w:val="0"/>
                <w:iCs w:val="0"/>
                <w:caps w:val="0"/>
                <w:color w:val="333333"/>
                <w:spacing w:val="0"/>
                <w:sz w:val="24"/>
                <w:szCs w:val="24"/>
                <w:shd w:val="clear" w:fill="FFFFFF"/>
                <w:vertAlign w:val="baseline"/>
                <w:lang w:val="en-US" w:eastAsia="zh-CN"/>
              </w:rPr>
              <w:t>(8)提供具有履行合同所必需的设备和专业技术能力的承诺函；</w:t>
            </w:r>
          </w:p>
          <w:p w14:paraId="2CDC906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333333"/>
                <w:spacing w:val="0"/>
                <w:sz w:val="24"/>
                <w:szCs w:val="24"/>
                <w:shd w:val="clear" w:fill="FFFFFF"/>
                <w:vertAlign w:val="baseline"/>
                <w:lang w:val="en-US" w:eastAsia="zh-CN"/>
              </w:rPr>
            </w:pPr>
            <w:r>
              <w:rPr>
                <w:rFonts w:hint="default" w:ascii="宋体" w:hAnsi="宋体" w:eastAsia="宋体" w:cs="宋体"/>
                <w:i w:val="0"/>
                <w:iCs w:val="0"/>
                <w:caps w:val="0"/>
                <w:color w:val="333333"/>
                <w:spacing w:val="0"/>
                <w:sz w:val="24"/>
                <w:szCs w:val="24"/>
                <w:shd w:val="clear" w:fill="FFFFFF"/>
                <w:vertAlign w:val="baseline"/>
                <w:lang w:val="en-US" w:eastAsia="zh-CN"/>
              </w:rPr>
              <w:t>(9)提供直接控股和管理关系清单。若与其他供应商存在单位负责人为同一人或者存在直接控股、管理关系的，则投标无效；</w:t>
            </w:r>
          </w:p>
          <w:p w14:paraId="2A1DEB8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333333"/>
                <w:spacing w:val="0"/>
                <w:sz w:val="24"/>
                <w:szCs w:val="24"/>
                <w:shd w:val="clear" w:fill="FFFFFF"/>
                <w:vertAlign w:val="baseline"/>
                <w:lang w:val="en-US" w:eastAsia="zh-CN"/>
              </w:rPr>
            </w:pPr>
            <w:r>
              <w:rPr>
                <w:rFonts w:hint="default" w:ascii="宋体" w:hAnsi="宋体" w:eastAsia="宋体" w:cs="宋体"/>
                <w:i w:val="0"/>
                <w:iCs w:val="0"/>
                <w:caps w:val="0"/>
                <w:color w:val="333333"/>
                <w:spacing w:val="0"/>
                <w:sz w:val="24"/>
                <w:szCs w:val="24"/>
                <w:shd w:val="clear" w:fill="FFFFFF"/>
                <w:vertAlign w:val="baseline"/>
                <w:lang w:val="en-US" w:eastAsia="zh-CN"/>
              </w:rPr>
              <w:t>(10)本项目不接受联合体磋商（需提供承诺书）。</w:t>
            </w:r>
          </w:p>
          <w:p w14:paraId="1F98C8F6">
            <w:pPr>
              <w:numPr>
                <w:ilvl w:val="0"/>
                <w:numId w:val="0"/>
              </w:num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以上</w:t>
            </w:r>
            <w:r>
              <w:rPr>
                <w:rFonts w:hint="eastAsia" w:hAnsi="宋体" w:cs="宋体"/>
                <w:b/>
                <w:bCs/>
                <w:color w:val="auto"/>
                <w:szCs w:val="24"/>
                <w:highlight w:val="none"/>
                <w:lang w:val="en-US" w:eastAsia="zh-CN"/>
              </w:rPr>
              <w:t>1-10项</w:t>
            </w:r>
            <w:r>
              <w:rPr>
                <w:rFonts w:hint="eastAsia" w:hAnsi="宋体" w:cs="宋体"/>
                <w:b/>
                <w:bCs/>
                <w:color w:val="auto"/>
                <w:szCs w:val="24"/>
                <w:highlight w:val="none"/>
              </w:rPr>
              <w:t>为必备资质，缺一项或某项达不到要求，按无效磋商处理。</w:t>
            </w:r>
          </w:p>
        </w:tc>
      </w:tr>
      <w:tr w14:paraId="479EA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9" w:hRule="atLeast"/>
          <w:jc w:val="center"/>
        </w:trPr>
        <w:tc>
          <w:tcPr>
            <w:tcW w:w="592" w:type="dxa"/>
            <w:vAlign w:val="center"/>
          </w:tcPr>
          <w:p w14:paraId="2DF3111B">
            <w:pPr>
              <w:spacing w:line="360" w:lineRule="auto"/>
              <w:jc w:val="center"/>
              <w:rPr>
                <w:rFonts w:hAnsi="宋体" w:cs="宋体"/>
                <w:color w:val="auto"/>
                <w:szCs w:val="24"/>
                <w:highlight w:val="none"/>
              </w:rPr>
            </w:pPr>
            <w:r>
              <w:rPr>
                <w:rFonts w:hint="eastAsia" w:hAnsi="宋体" w:cs="宋体"/>
                <w:color w:val="auto"/>
                <w:szCs w:val="24"/>
                <w:highlight w:val="none"/>
              </w:rPr>
              <w:t>7</w:t>
            </w:r>
          </w:p>
        </w:tc>
        <w:tc>
          <w:tcPr>
            <w:tcW w:w="1090" w:type="dxa"/>
            <w:vAlign w:val="center"/>
          </w:tcPr>
          <w:p w14:paraId="39ADB978">
            <w:pPr>
              <w:spacing w:line="360" w:lineRule="auto"/>
              <w:jc w:val="center"/>
              <w:rPr>
                <w:rFonts w:hAnsi="宋体" w:cs="宋体"/>
                <w:color w:val="auto"/>
                <w:szCs w:val="24"/>
                <w:highlight w:val="none"/>
              </w:rPr>
            </w:pPr>
            <w:r>
              <w:rPr>
                <w:rFonts w:hint="eastAsia" w:hAnsi="宋体" w:cs="宋体"/>
                <w:color w:val="auto"/>
                <w:szCs w:val="24"/>
                <w:highlight w:val="none"/>
              </w:rPr>
              <w:t>14.4</w:t>
            </w:r>
          </w:p>
        </w:tc>
        <w:tc>
          <w:tcPr>
            <w:tcW w:w="7215" w:type="dxa"/>
            <w:vAlign w:val="center"/>
          </w:tcPr>
          <w:p w14:paraId="21F3416D">
            <w:pPr>
              <w:spacing w:line="360" w:lineRule="auto"/>
              <w:jc w:val="both"/>
              <w:rPr>
                <w:rFonts w:hAnsi="宋体" w:cs="宋体"/>
                <w:color w:val="auto"/>
                <w:szCs w:val="24"/>
                <w:highlight w:val="none"/>
              </w:rPr>
            </w:pPr>
            <w:r>
              <w:rPr>
                <w:rFonts w:hint="eastAsia" w:hAnsi="宋体" w:cs="宋体"/>
                <w:b/>
                <w:bCs/>
                <w:color w:val="auto"/>
                <w:szCs w:val="24"/>
                <w:highlight w:val="none"/>
              </w:rPr>
              <w:t>磋商保证金：本项目不缴纳磋商保证金</w:t>
            </w:r>
          </w:p>
        </w:tc>
      </w:tr>
      <w:tr w14:paraId="51766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6305826C">
            <w:pPr>
              <w:spacing w:line="360" w:lineRule="auto"/>
              <w:jc w:val="center"/>
              <w:rPr>
                <w:rFonts w:hAnsi="宋体" w:cs="宋体"/>
                <w:color w:val="auto"/>
                <w:szCs w:val="24"/>
                <w:highlight w:val="none"/>
              </w:rPr>
            </w:pPr>
            <w:r>
              <w:rPr>
                <w:rFonts w:hint="eastAsia" w:hAnsi="宋体" w:cs="宋体"/>
                <w:color w:val="auto"/>
                <w:szCs w:val="24"/>
                <w:highlight w:val="none"/>
              </w:rPr>
              <w:t>8</w:t>
            </w:r>
          </w:p>
        </w:tc>
        <w:tc>
          <w:tcPr>
            <w:tcW w:w="1090" w:type="dxa"/>
            <w:vAlign w:val="center"/>
          </w:tcPr>
          <w:p w14:paraId="6B6529FB">
            <w:pPr>
              <w:spacing w:line="360" w:lineRule="auto"/>
              <w:jc w:val="center"/>
              <w:rPr>
                <w:rFonts w:hAnsi="宋体" w:cs="宋体"/>
                <w:color w:val="auto"/>
                <w:szCs w:val="24"/>
                <w:highlight w:val="none"/>
              </w:rPr>
            </w:pPr>
            <w:r>
              <w:rPr>
                <w:rFonts w:hint="eastAsia" w:hAnsi="宋体" w:cs="宋体"/>
                <w:color w:val="auto"/>
                <w:szCs w:val="24"/>
                <w:highlight w:val="none"/>
              </w:rPr>
              <w:t>15.1</w:t>
            </w:r>
          </w:p>
        </w:tc>
        <w:tc>
          <w:tcPr>
            <w:tcW w:w="7215" w:type="dxa"/>
            <w:vAlign w:val="center"/>
          </w:tcPr>
          <w:p w14:paraId="2B6FDB05">
            <w:pPr>
              <w:spacing w:line="360" w:lineRule="auto"/>
              <w:rPr>
                <w:rFonts w:hAnsi="宋体" w:cs="宋体"/>
                <w:color w:val="auto"/>
                <w:highlight w:val="none"/>
              </w:rPr>
            </w:pPr>
            <w:r>
              <w:rPr>
                <w:rFonts w:hint="eastAsia" w:hAnsi="宋体" w:cs="宋体"/>
                <w:color w:val="auto"/>
                <w:szCs w:val="24"/>
                <w:highlight w:val="none"/>
              </w:rPr>
              <w:t>磋商有效期:提交磋商响应文件的截止之日起90天。</w:t>
            </w:r>
          </w:p>
        </w:tc>
      </w:tr>
      <w:tr w14:paraId="5B8D9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62D6B2AA">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1090" w:type="dxa"/>
            <w:vAlign w:val="center"/>
          </w:tcPr>
          <w:p w14:paraId="278CB87E">
            <w:pPr>
              <w:spacing w:afterLines="50" w:line="360" w:lineRule="auto"/>
              <w:jc w:val="center"/>
              <w:rPr>
                <w:rFonts w:hAnsi="宋体" w:cs="宋体"/>
                <w:color w:val="auto"/>
                <w:szCs w:val="24"/>
                <w:highlight w:val="none"/>
              </w:rPr>
            </w:pPr>
            <w:r>
              <w:rPr>
                <w:rFonts w:hint="eastAsia" w:hAnsi="宋体" w:cs="宋体"/>
                <w:color w:val="auto"/>
                <w:szCs w:val="24"/>
                <w:highlight w:val="none"/>
              </w:rPr>
              <w:t>16.1</w:t>
            </w:r>
          </w:p>
        </w:tc>
        <w:tc>
          <w:tcPr>
            <w:tcW w:w="7215" w:type="dxa"/>
            <w:vAlign w:val="center"/>
          </w:tcPr>
          <w:p w14:paraId="059BCEF4">
            <w:pPr>
              <w:spacing w:line="360" w:lineRule="auto"/>
              <w:rPr>
                <w:rFonts w:hint="eastAsia" w:ascii="宋体" w:hAnsi="宋体" w:eastAsia="宋体" w:cs="宋体"/>
                <w:szCs w:val="24"/>
                <w:highlight w:val="none"/>
              </w:rPr>
            </w:pPr>
            <w:r>
              <w:rPr>
                <w:rFonts w:hint="eastAsia" w:ascii="宋体" w:hAnsi="宋体" w:eastAsia="宋体" w:cs="宋体"/>
                <w:b/>
                <w:bCs/>
                <w:szCs w:val="24"/>
                <w:highlight w:val="none"/>
              </w:rPr>
              <w:t>正本的份数：壹份；副本的份数：贰份；报价一览表：壹份；电子版</w:t>
            </w:r>
            <w:r>
              <w:rPr>
                <w:rFonts w:hint="eastAsia" w:hAnsi="宋体" w:cs="宋体"/>
                <w:b/>
                <w:bCs/>
                <w:szCs w:val="24"/>
                <w:highlight w:val="none"/>
                <w:lang w:val="en-US" w:eastAsia="zh-CN"/>
              </w:rPr>
              <w:t>为</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b/>
                <w:bCs/>
                <w:szCs w:val="24"/>
                <w:highlight w:val="none"/>
              </w:rPr>
              <w:t>（U盘）：壹份</w:t>
            </w:r>
            <w:r>
              <w:rPr>
                <w:rFonts w:hint="eastAsia" w:ascii="宋体" w:hAnsi="宋体" w:eastAsia="宋体" w:cs="宋体"/>
                <w:szCs w:val="24"/>
                <w:highlight w:val="none"/>
              </w:rPr>
              <w:t>（需在盘面上标注供应商全称、项目名称、编号）。</w:t>
            </w:r>
          </w:p>
          <w:p w14:paraId="7D1861C8">
            <w:pPr>
              <w:spacing w:line="360" w:lineRule="auto"/>
              <w:rPr>
                <w:rFonts w:hAnsi="宋体" w:cs="宋体"/>
                <w:color w:val="auto"/>
                <w:szCs w:val="24"/>
                <w:highlight w:val="none"/>
              </w:rPr>
            </w:pPr>
            <w:r>
              <w:rPr>
                <w:rFonts w:hint="eastAsia" w:hAnsi="宋体" w:cs="宋体"/>
                <w:b/>
                <w:bCs/>
                <w:szCs w:val="24"/>
                <w:highlight w:val="none"/>
                <w:lang w:val="en-US" w:eastAsia="zh-CN"/>
              </w:rPr>
              <w:t>磋商响应文件双面打印。</w:t>
            </w:r>
          </w:p>
        </w:tc>
      </w:tr>
      <w:tr w14:paraId="33D83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6B6D836B">
            <w:pPr>
              <w:spacing w:line="360" w:lineRule="auto"/>
              <w:jc w:val="center"/>
              <w:rPr>
                <w:rFonts w:hAnsi="宋体" w:cs="宋体"/>
                <w:color w:val="auto"/>
                <w:szCs w:val="24"/>
                <w:highlight w:val="none"/>
              </w:rPr>
            </w:pPr>
            <w:r>
              <w:rPr>
                <w:rFonts w:hint="eastAsia" w:hAnsi="宋体" w:cs="宋体"/>
                <w:color w:val="auto"/>
                <w:szCs w:val="24"/>
                <w:highlight w:val="none"/>
              </w:rPr>
              <w:t>10</w:t>
            </w:r>
          </w:p>
        </w:tc>
        <w:tc>
          <w:tcPr>
            <w:tcW w:w="1090" w:type="dxa"/>
            <w:vAlign w:val="center"/>
          </w:tcPr>
          <w:p w14:paraId="230634D3">
            <w:pPr>
              <w:spacing w:afterLines="50" w:line="360" w:lineRule="auto"/>
              <w:jc w:val="center"/>
              <w:rPr>
                <w:rFonts w:hAnsi="宋体" w:cs="宋体"/>
                <w:color w:val="auto"/>
                <w:szCs w:val="24"/>
                <w:highlight w:val="none"/>
              </w:rPr>
            </w:pPr>
            <w:r>
              <w:rPr>
                <w:rFonts w:hint="eastAsia" w:hAnsi="宋体" w:cs="宋体"/>
                <w:color w:val="auto"/>
                <w:szCs w:val="24"/>
                <w:highlight w:val="none"/>
              </w:rPr>
              <w:t>17.2</w:t>
            </w:r>
          </w:p>
        </w:tc>
        <w:tc>
          <w:tcPr>
            <w:tcW w:w="7215" w:type="dxa"/>
            <w:vAlign w:val="center"/>
          </w:tcPr>
          <w:p w14:paraId="786F0F1B">
            <w:pPr>
              <w:spacing w:line="360" w:lineRule="auto"/>
              <w:rPr>
                <w:rFonts w:hAnsi="宋体" w:cs="宋体"/>
                <w:color w:val="auto"/>
                <w:szCs w:val="24"/>
                <w:highlight w:val="none"/>
              </w:rPr>
            </w:pPr>
            <w:r>
              <w:rPr>
                <w:rFonts w:hint="eastAsia" w:hAnsi="宋体" w:cs="宋体"/>
                <w:color w:val="auto"/>
                <w:szCs w:val="24"/>
                <w:highlight w:val="none"/>
              </w:rPr>
              <w:t>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tc>
      </w:tr>
      <w:tr w14:paraId="3F737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1F9C6F20">
            <w:pPr>
              <w:spacing w:afterLines="50" w:line="360" w:lineRule="auto"/>
              <w:jc w:val="center"/>
              <w:rPr>
                <w:rFonts w:hAnsi="宋体" w:cs="宋体"/>
                <w:color w:val="auto"/>
                <w:szCs w:val="24"/>
                <w:highlight w:val="none"/>
              </w:rPr>
            </w:pPr>
            <w:r>
              <w:rPr>
                <w:rFonts w:hint="eastAsia" w:hAnsi="宋体" w:cs="宋体"/>
                <w:color w:val="auto"/>
                <w:szCs w:val="24"/>
                <w:highlight w:val="none"/>
              </w:rPr>
              <w:t>11</w:t>
            </w:r>
          </w:p>
        </w:tc>
        <w:tc>
          <w:tcPr>
            <w:tcW w:w="1090" w:type="dxa"/>
            <w:vAlign w:val="center"/>
          </w:tcPr>
          <w:p w14:paraId="7424BB43">
            <w:pPr>
              <w:spacing w:afterLines="50" w:line="360" w:lineRule="auto"/>
              <w:jc w:val="center"/>
              <w:rPr>
                <w:rFonts w:hAnsi="宋体" w:cs="宋体"/>
                <w:color w:val="auto"/>
                <w:szCs w:val="24"/>
                <w:highlight w:val="none"/>
              </w:rPr>
            </w:pPr>
            <w:r>
              <w:rPr>
                <w:rFonts w:hint="eastAsia" w:hAnsi="宋体" w:cs="宋体"/>
                <w:color w:val="auto"/>
                <w:szCs w:val="24"/>
                <w:highlight w:val="none"/>
              </w:rPr>
              <w:t>18.1</w:t>
            </w:r>
          </w:p>
        </w:tc>
        <w:tc>
          <w:tcPr>
            <w:tcW w:w="7215" w:type="dxa"/>
          </w:tcPr>
          <w:p w14:paraId="567F3434">
            <w:pPr>
              <w:spacing w:line="360" w:lineRule="auto"/>
              <w:rPr>
                <w:rFonts w:hAnsi="宋体" w:cs="宋体"/>
                <w:color w:val="auto"/>
                <w:szCs w:val="24"/>
                <w:highlight w:val="none"/>
              </w:rPr>
            </w:pPr>
            <w:r>
              <w:rPr>
                <w:rFonts w:hint="eastAsia" w:hAnsi="宋体" w:cs="宋体"/>
                <w:color w:val="auto"/>
                <w:szCs w:val="24"/>
                <w:highlight w:val="none"/>
              </w:rPr>
              <w:t>磋商响应文件递交截止时间：详见磋商公告</w:t>
            </w:r>
          </w:p>
          <w:p w14:paraId="2413806B">
            <w:pPr>
              <w:spacing w:line="360" w:lineRule="auto"/>
              <w:jc w:val="left"/>
              <w:rPr>
                <w:rFonts w:hAnsi="宋体" w:cs="宋体"/>
                <w:color w:val="auto"/>
                <w:szCs w:val="24"/>
                <w:highlight w:val="none"/>
              </w:rPr>
            </w:pPr>
            <w:r>
              <w:rPr>
                <w:rFonts w:hint="eastAsia" w:hAnsi="宋体" w:cs="宋体"/>
                <w:color w:val="auto"/>
                <w:szCs w:val="24"/>
                <w:highlight w:val="none"/>
              </w:rPr>
              <w:t>磋商响应文件递交地址：</w:t>
            </w:r>
            <w:r>
              <w:rPr>
                <w:rFonts w:hint="eastAsia" w:ascii="宋体" w:hAnsi="宋体" w:eastAsia="宋体" w:cs="宋体"/>
                <w:sz w:val="24"/>
                <w:szCs w:val="24"/>
              </w:rPr>
              <w:t>陕西省西安市经济技术开发区未央路171-1号银池道拉斯财富中心21楼03室</w:t>
            </w:r>
          </w:p>
          <w:p w14:paraId="2C42C3D3">
            <w:pPr>
              <w:spacing w:line="360" w:lineRule="auto"/>
              <w:rPr>
                <w:rFonts w:hAnsi="宋体" w:cs="宋体"/>
                <w:color w:val="auto"/>
                <w:szCs w:val="24"/>
                <w:highlight w:val="none"/>
              </w:rPr>
            </w:pPr>
            <w:r>
              <w:rPr>
                <w:rFonts w:hint="eastAsia" w:hAnsi="宋体" w:cs="宋体"/>
                <w:color w:val="auto"/>
                <w:szCs w:val="24"/>
                <w:highlight w:val="none"/>
              </w:rPr>
              <w:t>磋商响应文件接收人：陕西至诚项目管理集团有限公司</w:t>
            </w:r>
          </w:p>
        </w:tc>
      </w:tr>
      <w:tr w14:paraId="156A2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vAlign w:val="center"/>
          </w:tcPr>
          <w:p w14:paraId="27488F04">
            <w:pPr>
              <w:spacing w:afterLines="50" w:line="360" w:lineRule="auto"/>
              <w:jc w:val="center"/>
              <w:rPr>
                <w:rFonts w:hAnsi="宋体" w:cs="宋体"/>
                <w:color w:val="auto"/>
                <w:szCs w:val="24"/>
                <w:highlight w:val="none"/>
              </w:rPr>
            </w:pPr>
            <w:r>
              <w:rPr>
                <w:rFonts w:hint="eastAsia" w:hAnsi="宋体" w:cs="宋体"/>
                <w:color w:val="auto"/>
                <w:szCs w:val="24"/>
                <w:highlight w:val="none"/>
              </w:rPr>
              <w:t>12</w:t>
            </w:r>
          </w:p>
        </w:tc>
        <w:tc>
          <w:tcPr>
            <w:tcW w:w="1090" w:type="dxa"/>
            <w:vAlign w:val="center"/>
          </w:tcPr>
          <w:p w14:paraId="0C0570C0">
            <w:pPr>
              <w:spacing w:afterLines="50" w:line="360" w:lineRule="auto"/>
              <w:jc w:val="center"/>
              <w:rPr>
                <w:rFonts w:hAnsi="宋体" w:cs="宋体"/>
                <w:color w:val="auto"/>
                <w:szCs w:val="24"/>
                <w:highlight w:val="none"/>
              </w:rPr>
            </w:pPr>
            <w:r>
              <w:rPr>
                <w:rFonts w:hint="eastAsia" w:hAnsi="宋体" w:cs="宋体"/>
                <w:color w:val="auto"/>
                <w:szCs w:val="24"/>
                <w:highlight w:val="none"/>
              </w:rPr>
              <w:t>21.1</w:t>
            </w:r>
          </w:p>
        </w:tc>
        <w:tc>
          <w:tcPr>
            <w:tcW w:w="7215" w:type="dxa"/>
            <w:vAlign w:val="center"/>
          </w:tcPr>
          <w:p w14:paraId="00FB968C">
            <w:pPr>
              <w:spacing w:line="360" w:lineRule="auto"/>
              <w:rPr>
                <w:rFonts w:hAnsi="宋体" w:cs="宋体"/>
                <w:color w:val="auto"/>
                <w:szCs w:val="24"/>
                <w:highlight w:val="none"/>
              </w:rPr>
            </w:pPr>
            <w:r>
              <w:rPr>
                <w:rFonts w:hint="eastAsia" w:hAnsi="宋体" w:cs="宋体"/>
                <w:color w:val="auto"/>
                <w:szCs w:val="24"/>
                <w:highlight w:val="none"/>
              </w:rPr>
              <w:t>磋商时间：详见磋商公告</w:t>
            </w:r>
          </w:p>
          <w:p w14:paraId="418B2FCC">
            <w:pPr>
              <w:spacing w:line="360" w:lineRule="auto"/>
              <w:rPr>
                <w:rFonts w:hAnsi="宋体" w:cs="宋体"/>
                <w:color w:val="auto"/>
                <w:szCs w:val="24"/>
                <w:highlight w:val="none"/>
              </w:rPr>
            </w:pPr>
            <w:r>
              <w:rPr>
                <w:rFonts w:hint="eastAsia" w:hAnsi="宋体" w:cs="宋体"/>
                <w:color w:val="auto"/>
                <w:szCs w:val="24"/>
                <w:highlight w:val="none"/>
              </w:rPr>
              <w:t>磋商地点：</w:t>
            </w:r>
            <w:r>
              <w:rPr>
                <w:rFonts w:hint="eastAsia" w:ascii="宋体" w:hAnsi="宋体" w:eastAsia="宋体" w:cs="宋体"/>
                <w:sz w:val="24"/>
                <w:szCs w:val="24"/>
              </w:rPr>
              <w:t>陕西省西安市经济技术开发区未央路171-1号银池道拉斯财富中心21楼03室</w:t>
            </w:r>
          </w:p>
        </w:tc>
      </w:tr>
      <w:tr w14:paraId="3CE45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9" w:hRule="atLeast"/>
          <w:jc w:val="center"/>
        </w:trPr>
        <w:tc>
          <w:tcPr>
            <w:tcW w:w="592" w:type="dxa"/>
            <w:vAlign w:val="center"/>
          </w:tcPr>
          <w:p w14:paraId="026FFAA2">
            <w:pPr>
              <w:spacing w:afterLines="50" w:line="360" w:lineRule="auto"/>
              <w:jc w:val="center"/>
              <w:rPr>
                <w:rFonts w:hAnsi="宋体" w:cs="宋体"/>
                <w:color w:val="auto"/>
                <w:szCs w:val="24"/>
                <w:highlight w:val="none"/>
              </w:rPr>
            </w:pPr>
            <w:r>
              <w:rPr>
                <w:rFonts w:hint="eastAsia" w:hAnsi="宋体" w:cs="宋体"/>
                <w:color w:val="auto"/>
                <w:szCs w:val="24"/>
                <w:highlight w:val="none"/>
              </w:rPr>
              <w:t>13</w:t>
            </w:r>
          </w:p>
        </w:tc>
        <w:tc>
          <w:tcPr>
            <w:tcW w:w="1090" w:type="dxa"/>
            <w:vAlign w:val="center"/>
          </w:tcPr>
          <w:p w14:paraId="7E1EC5AB">
            <w:pPr>
              <w:spacing w:afterLines="50" w:line="360" w:lineRule="auto"/>
              <w:jc w:val="center"/>
              <w:rPr>
                <w:rFonts w:hAnsi="宋体" w:cs="宋体"/>
                <w:color w:val="auto"/>
                <w:szCs w:val="24"/>
                <w:highlight w:val="none"/>
              </w:rPr>
            </w:pPr>
            <w:r>
              <w:rPr>
                <w:rFonts w:hint="eastAsia" w:hAnsi="宋体" w:cs="宋体"/>
                <w:color w:val="auto"/>
                <w:szCs w:val="24"/>
                <w:highlight w:val="none"/>
              </w:rPr>
              <w:t>24.1</w:t>
            </w:r>
          </w:p>
        </w:tc>
        <w:tc>
          <w:tcPr>
            <w:tcW w:w="7215" w:type="dxa"/>
            <w:vAlign w:val="center"/>
          </w:tcPr>
          <w:p w14:paraId="5770893F">
            <w:pPr>
              <w:spacing w:afterLines="50" w:line="360" w:lineRule="auto"/>
              <w:jc w:val="left"/>
              <w:rPr>
                <w:rFonts w:hAnsi="宋体" w:cs="宋体"/>
                <w:color w:val="auto"/>
                <w:szCs w:val="24"/>
                <w:highlight w:val="none"/>
              </w:rPr>
            </w:pPr>
            <w:r>
              <w:rPr>
                <w:rFonts w:hint="eastAsia" w:hAnsi="宋体" w:cs="宋体"/>
                <w:b/>
                <w:bCs/>
                <w:color w:val="auto"/>
                <w:szCs w:val="24"/>
                <w:highlight w:val="none"/>
              </w:rPr>
              <w:t>评审方法：综合评分法（详见第三章）</w:t>
            </w:r>
          </w:p>
        </w:tc>
      </w:tr>
      <w:tr w14:paraId="57874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35C92C32">
            <w:pPr>
              <w:spacing w:afterLines="50" w:line="360" w:lineRule="auto"/>
              <w:jc w:val="center"/>
              <w:rPr>
                <w:rFonts w:hAnsi="宋体" w:cs="宋体"/>
                <w:color w:val="auto"/>
                <w:szCs w:val="24"/>
                <w:highlight w:val="none"/>
              </w:rPr>
            </w:pPr>
            <w:r>
              <w:rPr>
                <w:rFonts w:hint="eastAsia" w:hAnsi="宋体" w:cs="宋体"/>
                <w:color w:val="auto"/>
                <w:szCs w:val="24"/>
                <w:highlight w:val="none"/>
              </w:rPr>
              <w:t>14</w:t>
            </w:r>
          </w:p>
        </w:tc>
        <w:tc>
          <w:tcPr>
            <w:tcW w:w="1090" w:type="dxa"/>
            <w:vAlign w:val="center"/>
          </w:tcPr>
          <w:p w14:paraId="43810ABC">
            <w:pPr>
              <w:spacing w:afterLines="50" w:line="360" w:lineRule="auto"/>
              <w:jc w:val="center"/>
              <w:rPr>
                <w:rFonts w:hAnsi="宋体" w:cs="宋体"/>
                <w:color w:val="auto"/>
                <w:szCs w:val="24"/>
                <w:highlight w:val="none"/>
              </w:rPr>
            </w:pPr>
            <w:r>
              <w:rPr>
                <w:rFonts w:hint="eastAsia" w:hAnsi="宋体" w:cs="宋体"/>
                <w:color w:val="auto"/>
                <w:szCs w:val="24"/>
                <w:highlight w:val="none"/>
              </w:rPr>
              <w:t>29</w:t>
            </w:r>
          </w:p>
        </w:tc>
        <w:tc>
          <w:tcPr>
            <w:tcW w:w="7215" w:type="dxa"/>
            <w:vAlign w:val="center"/>
          </w:tcPr>
          <w:p w14:paraId="2AE7385C">
            <w:pPr>
              <w:spacing w:line="360" w:lineRule="auto"/>
              <w:rPr>
                <w:rFonts w:hAnsi="宋体" w:cs="宋体"/>
                <w:color w:val="auto"/>
                <w:szCs w:val="24"/>
                <w:highlight w:val="none"/>
              </w:rPr>
            </w:pPr>
            <w:r>
              <w:rPr>
                <w:rFonts w:hint="eastAsia" w:hAnsi="宋体" w:cs="宋体"/>
                <w:color w:val="auto"/>
                <w:szCs w:val="24"/>
                <w:highlight w:val="none"/>
              </w:rPr>
              <w:t>代理服务费：</w:t>
            </w:r>
          </w:p>
          <w:p w14:paraId="0253EB44">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参照《国家计委关于印发&lt;招标代理服务收费管理暂行办法&gt;的通知》（计价格[2002]1980号）规定收取，本项目招标代理服务费定额收取3000.00元。成交供应商在领取成交通知书前，须向采购代理机构一次性支付代理服务费。</w:t>
            </w:r>
          </w:p>
          <w:p w14:paraId="73C78E3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tc>
      </w:tr>
      <w:tr w14:paraId="0AD2B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058E3002">
            <w:pPr>
              <w:spacing w:afterLines="50" w:line="360" w:lineRule="auto"/>
              <w:jc w:val="center"/>
              <w:rPr>
                <w:rFonts w:hAnsi="宋体" w:cs="宋体"/>
                <w:color w:val="auto"/>
                <w:szCs w:val="24"/>
                <w:highlight w:val="none"/>
              </w:rPr>
            </w:pPr>
            <w:r>
              <w:rPr>
                <w:rFonts w:hint="eastAsia" w:hAnsi="宋体" w:cs="宋体"/>
                <w:color w:val="auto"/>
                <w:szCs w:val="24"/>
                <w:highlight w:val="none"/>
              </w:rPr>
              <w:t>15</w:t>
            </w:r>
          </w:p>
        </w:tc>
        <w:tc>
          <w:tcPr>
            <w:tcW w:w="1090" w:type="dxa"/>
            <w:vAlign w:val="center"/>
          </w:tcPr>
          <w:p w14:paraId="2AB1CB54">
            <w:pPr>
              <w:spacing w:line="360" w:lineRule="auto"/>
              <w:jc w:val="center"/>
              <w:rPr>
                <w:rFonts w:hAnsi="宋体" w:cs="宋体"/>
                <w:color w:val="auto"/>
                <w:szCs w:val="24"/>
                <w:highlight w:val="none"/>
              </w:rPr>
            </w:pPr>
            <w:r>
              <w:rPr>
                <w:rFonts w:hint="eastAsia" w:hAnsi="宋体" w:cs="宋体"/>
                <w:color w:val="auto"/>
                <w:szCs w:val="24"/>
                <w:highlight w:val="none"/>
              </w:rPr>
              <w:t>踏勘</w:t>
            </w:r>
          </w:p>
          <w:p w14:paraId="32D637B1">
            <w:pPr>
              <w:spacing w:line="360" w:lineRule="auto"/>
              <w:jc w:val="center"/>
              <w:rPr>
                <w:rFonts w:hAnsi="宋体" w:cs="宋体"/>
                <w:color w:val="auto"/>
                <w:szCs w:val="24"/>
                <w:highlight w:val="none"/>
              </w:rPr>
            </w:pPr>
            <w:r>
              <w:rPr>
                <w:rFonts w:hint="eastAsia" w:hAnsi="宋体" w:cs="宋体"/>
                <w:color w:val="auto"/>
                <w:szCs w:val="24"/>
                <w:highlight w:val="none"/>
              </w:rPr>
              <w:t>现场</w:t>
            </w:r>
          </w:p>
        </w:tc>
        <w:tc>
          <w:tcPr>
            <w:tcW w:w="7215" w:type="dxa"/>
            <w:vAlign w:val="center"/>
          </w:tcPr>
          <w:p w14:paraId="75216FAE">
            <w:pPr>
              <w:spacing w:line="360" w:lineRule="auto"/>
              <w:rPr>
                <w:rFonts w:hAnsi="宋体" w:cs="宋体"/>
                <w:color w:val="auto"/>
                <w:szCs w:val="24"/>
                <w:highlight w:val="none"/>
              </w:rPr>
            </w:pPr>
            <w:r>
              <w:rPr>
                <w:rFonts w:hint="eastAsia" w:hAnsi="宋体" w:cs="宋体"/>
                <w:color w:val="auto"/>
                <w:szCs w:val="24"/>
                <w:highlight w:val="none"/>
              </w:rPr>
              <w:t>1）招标代理机构不组织统一踏勘，各供应商自行踏勘，相关费用及安全由供应商自行承担，踏勘时遵守相关规定，不得扰民。</w:t>
            </w:r>
          </w:p>
          <w:p w14:paraId="34A8761F">
            <w:pPr>
              <w:spacing w:line="360" w:lineRule="auto"/>
              <w:rPr>
                <w:rFonts w:hAnsi="宋体" w:cs="宋体"/>
                <w:color w:val="auto"/>
                <w:szCs w:val="24"/>
                <w:highlight w:val="none"/>
              </w:rPr>
            </w:pPr>
            <w:r>
              <w:rPr>
                <w:rFonts w:hint="eastAsia" w:hAnsi="宋体" w:cs="宋体"/>
                <w:color w:val="auto"/>
                <w:szCs w:val="24"/>
                <w:highlight w:val="none"/>
              </w:rPr>
              <w:t>2）踏勘内容包含：完成本次招标所需要的现场情况及周围环境等资料。</w:t>
            </w:r>
          </w:p>
        </w:tc>
      </w:tr>
      <w:tr w14:paraId="64AB6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33653198">
            <w:pPr>
              <w:spacing w:afterLines="50" w:line="360" w:lineRule="auto"/>
              <w:jc w:val="center"/>
              <w:rPr>
                <w:rFonts w:hAnsi="宋体" w:cs="宋体"/>
                <w:color w:val="auto"/>
                <w:szCs w:val="24"/>
                <w:highlight w:val="none"/>
              </w:rPr>
            </w:pPr>
            <w:r>
              <w:rPr>
                <w:rFonts w:hint="eastAsia" w:hAnsi="宋体" w:cs="宋体"/>
                <w:color w:val="auto"/>
                <w:szCs w:val="24"/>
                <w:highlight w:val="none"/>
              </w:rPr>
              <w:t>16</w:t>
            </w:r>
          </w:p>
        </w:tc>
        <w:tc>
          <w:tcPr>
            <w:tcW w:w="1090" w:type="dxa"/>
            <w:vAlign w:val="center"/>
          </w:tcPr>
          <w:p w14:paraId="71396A41">
            <w:pPr>
              <w:jc w:val="center"/>
              <w:rPr>
                <w:rFonts w:hAnsi="宋体" w:cs="宋体"/>
                <w:b/>
                <w:bCs/>
                <w:color w:val="auto"/>
                <w:szCs w:val="24"/>
                <w:highlight w:val="none"/>
              </w:rPr>
            </w:pPr>
            <w:r>
              <w:rPr>
                <w:rFonts w:hint="eastAsia" w:hAnsi="宋体" w:cs="宋体"/>
                <w:b/>
                <w:bCs/>
                <w:color w:val="auto"/>
                <w:szCs w:val="24"/>
                <w:highlight w:val="none"/>
              </w:rPr>
              <w:t>银行</w:t>
            </w:r>
          </w:p>
          <w:p w14:paraId="0A69684A">
            <w:pPr>
              <w:jc w:val="center"/>
              <w:rPr>
                <w:rFonts w:hAnsi="宋体" w:cs="宋体"/>
                <w:b/>
                <w:bCs/>
                <w:color w:val="auto"/>
                <w:szCs w:val="24"/>
                <w:highlight w:val="none"/>
              </w:rPr>
            </w:pPr>
            <w:r>
              <w:rPr>
                <w:rFonts w:hint="eastAsia" w:hAnsi="宋体" w:cs="宋体"/>
                <w:b/>
                <w:bCs/>
                <w:color w:val="auto"/>
                <w:szCs w:val="24"/>
                <w:highlight w:val="none"/>
              </w:rPr>
              <w:t>账户</w:t>
            </w:r>
          </w:p>
          <w:p w14:paraId="2A40E4B6">
            <w:pPr>
              <w:jc w:val="center"/>
              <w:rPr>
                <w:rFonts w:hAnsi="宋体" w:cs="宋体"/>
                <w:color w:val="auto"/>
                <w:szCs w:val="24"/>
                <w:highlight w:val="none"/>
              </w:rPr>
            </w:pPr>
            <w:r>
              <w:rPr>
                <w:rFonts w:hint="eastAsia" w:hAnsi="宋体" w:cs="宋体"/>
                <w:b/>
                <w:bCs/>
                <w:color w:val="auto"/>
                <w:szCs w:val="24"/>
                <w:highlight w:val="none"/>
              </w:rPr>
              <w:t>信息</w:t>
            </w:r>
          </w:p>
        </w:tc>
        <w:tc>
          <w:tcPr>
            <w:tcW w:w="7215" w:type="dxa"/>
            <w:vAlign w:val="center"/>
          </w:tcPr>
          <w:p w14:paraId="1791B035">
            <w:pPr>
              <w:spacing w:line="520" w:lineRule="exact"/>
              <w:rPr>
                <w:rFonts w:hAnsi="宋体" w:cs="宋体"/>
                <w:b/>
                <w:bCs/>
                <w:color w:val="auto"/>
                <w:szCs w:val="24"/>
                <w:highlight w:val="none"/>
              </w:rPr>
            </w:pPr>
            <w:r>
              <w:rPr>
                <w:rFonts w:hint="eastAsia" w:hAnsi="宋体" w:cs="宋体"/>
                <w:b/>
                <w:bCs/>
                <w:color w:val="auto"/>
                <w:szCs w:val="24"/>
                <w:highlight w:val="none"/>
              </w:rPr>
              <w:t>1、代理服务费账户：</w:t>
            </w:r>
          </w:p>
          <w:p w14:paraId="00FF08C4">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①采购代理机构开户名称: 陕西至诚项目管理集团有限公司</w:t>
            </w:r>
          </w:p>
          <w:p w14:paraId="5EBE964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②开户行名称：中国建设银行股份有限公司西安高新技术产业开发区支行</w:t>
            </w:r>
          </w:p>
          <w:p w14:paraId="2362D750">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③账号：61050192090000002152</w:t>
            </w:r>
          </w:p>
        </w:tc>
      </w:tr>
      <w:tr w14:paraId="345A3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63ADEE15">
            <w:pPr>
              <w:spacing w:afterLines="50" w:line="360" w:lineRule="auto"/>
              <w:jc w:val="center"/>
              <w:rPr>
                <w:rFonts w:hAnsi="宋体" w:cs="宋体"/>
                <w:color w:val="auto"/>
                <w:szCs w:val="24"/>
                <w:highlight w:val="none"/>
              </w:rPr>
            </w:pPr>
            <w:r>
              <w:rPr>
                <w:rFonts w:hint="eastAsia" w:hAnsi="宋体" w:cs="宋体"/>
                <w:color w:val="auto"/>
                <w:szCs w:val="24"/>
                <w:highlight w:val="none"/>
              </w:rPr>
              <w:t>17</w:t>
            </w:r>
          </w:p>
        </w:tc>
        <w:tc>
          <w:tcPr>
            <w:tcW w:w="1090" w:type="dxa"/>
            <w:vAlign w:val="center"/>
          </w:tcPr>
          <w:p w14:paraId="30B1CF7F">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项目</w:t>
            </w:r>
          </w:p>
          <w:p w14:paraId="6556C214">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性质</w:t>
            </w:r>
          </w:p>
        </w:tc>
        <w:tc>
          <w:tcPr>
            <w:tcW w:w="7215" w:type="dxa"/>
            <w:vAlign w:val="center"/>
          </w:tcPr>
          <w:p w14:paraId="486F7896">
            <w:pPr>
              <w:spacing w:line="500" w:lineRule="exact"/>
              <w:rPr>
                <w:rFonts w:hAnsi="宋体" w:cs="宋体"/>
                <w:b/>
                <w:bCs/>
                <w:color w:val="auto"/>
                <w:szCs w:val="24"/>
                <w:highlight w:val="none"/>
              </w:rPr>
            </w:pPr>
            <w:r>
              <w:rPr>
                <w:rFonts w:hint="eastAsia" w:hAnsi="宋体" w:cs="宋体"/>
                <w:b/>
                <w:bCs/>
                <w:color w:val="auto"/>
                <w:szCs w:val="24"/>
                <w:highlight w:val="none"/>
              </w:rPr>
              <w:t>本项目为非专门面向中小企业</w:t>
            </w:r>
          </w:p>
        </w:tc>
      </w:tr>
      <w:tr w14:paraId="71057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F202D7E">
            <w:pPr>
              <w:spacing w:afterLines="50" w:line="360" w:lineRule="auto"/>
              <w:jc w:val="center"/>
              <w:rPr>
                <w:rFonts w:hAnsi="宋体" w:cs="宋体"/>
                <w:color w:val="auto"/>
                <w:szCs w:val="24"/>
                <w:highlight w:val="none"/>
              </w:rPr>
            </w:pPr>
            <w:r>
              <w:rPr>
                <w:rFonts w:hint="eastAsia" w:hAnsi="宋体" w:cs="宋体"/>
                <w:color w:val="auto"/>
                <w:szCs w:val="24"/>
                <w:highlight w:val="none"/>
              </w:rPr>
              <w:t>18</w:t>
            </w:r>
          </w:p>
        </w:tc>
        <w:tc>
          <w:tcPr>
            <w:tcW w:w="1090" w:type="dxa"/>
            <w:vAlign w:val="center"/>
          </w:tcPr>
          <w:p w14:paraId="564740BB">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lang w:val="en-US" w:eastAsia="zh-CN"/>
              </w:rPr>
              <w:t>项目</w:t>
            </w:r>
            <w:r>
              <w:rPr>
                <w:rFonts w:hint="eastAsia" w:hAnsi="宋体" w:cs="宋体"/>
                <w:b/>
                <w:bCs/>
                <w:color w:val="auto"/>
                <w:szCs w:val="24"/>
                <w:highlight w:val="none"/>
              </w:rPr>
              <w:t>所属行业</w:t>
            </w:r>
          </w:p>
        </w:tc>
        <w:tc>
          <w:tcPr>
            <w:tcW w:w="7215" w:type="dxa"/>
            <w:vAlign w:val="center"/>
          </w:tcPr>
          <w:p w14:paraId="3449D6A6">
            <w:pPr>
              <w:spacing w:line="500" w:lineRule="exact"/>
              <w:rPr>
                <w:rFonts w:hint="default" w:hAnsi="宋体" w:eastAsia="宋体" w:cs="宋体"/>
                <w:b/>
                <w:bCs/>
                <w:color w:val="auto"/>
                <w:szCs w:val="24"/>
                <w:highlight w:val="none"/>
                <w:lang w:val="en-US" w:eastAsia="zh-CN"/>
              </w:rPr>
            </w:pPr>
            <w:r>
              <w:rPr>
                <w:rFonts w:hint="eastAsia" w:hAnsi="宋体" w:cs="宋体"/>
                <w:b/>
                <w:bCs/>
                <w:color w:val="auto"/>
                <w:szCs w:val="24"/>
                <w:highlight w:val="none"/>
                <w:lang w:val="en-US" w:eastAsia="zh-CN"/>
              </w:rPr>
              <w:t>其他未列明行业</w:t>
            </w:r>
          </w:p>
        </w:tc>
      </w:tr>
      <w:tr w14:paraId="7BF90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C9FC379">
            <w:pPr>
              <w:spacing w:afterLines="50" w:line="360" w:lineRule="auto"/>
              <w:jc w:val="center"/>
              <w:rPr>
                <w:rFonts w:hAnsi="宋体" w:cs="宋体"/>
                <w:color w:val="auto"/>
                <w:szCs w:val="24"/>
                <w:highlight w:val="none"/>
              </w:rPr>
            </w:pPr>
            <w:r>
              <w:rPr>
                <w:rFonts w:hint="eastAsia" w:hAnsi="宋体" w:cs="宋体"/>
                <w:color w:val="auto"/>
                <w:szCs w:val="24"/>
                <w:highlight w:val="none"/>
              </w:rPr>
              <w:t>19</w:t>
            </w:r>
          </w:p>
        </w:tc>
        <w:tc>
          <w:tcPr>
            <w:tcW w:w="1090" w:type="dxa"/>
            <w:vAlign w:val="center"/>
          </w:tcPr>
          <w:p w14:paraId="6E0953B7">
            <w:pPr>
              <w:widowControl/>
              <w:spacing w:line="360" w:lineRule="auto"/>
              <w:jc w:val="center"/>
              <w:rPr>
                <w:rFonts w:hAnsi="宋体" w:cs="宋体"/>
                <w:b/>
                <w:bCs/>
                <w:color w:val="auto"/>
                <w:szCs w:val="24"/>
                <w:highlight w:val="none"/>
              </w:rPr>
            </w:pPr>
            <w:r>
              <w:rPr>
                <w:rFonts w:hint="eastAsia" w:hAnsi="宋体" w:cs="宋体"/>
                <w:color w:val="auto"/>
                <w:kern w:val="2"/>
                <w:szCs w:val="24"/>
                <w:highlight w:val="none"/>
              </w:rPr>
              <w:t>其他</w:t>
            </w:r>
          </w:p>
        </w:tc>
        <w:tc>
          <w:tcPr>
            <w:tcW w:w="7215" w:type="dxa"/>
            <w:vAlign w:val="center"/>
          </w:tcPr>
          <w:p w14:paraId="29D6E129">
            <w:pPr>
              <w:spacing w:line="360" w:lineRule="auto"/>
              <w:ind w:firstLine="480" w:firstLineChars="200"/>
              <w:rPr>
                <w:rFonts w:hAnsi="宋体" w:cs="宋体"/>
                <w:color w:val="auto"/>
                <w:szCs w:val="32"/>
                <w:highlight w:val="none"/>
              </w:rPr>
            </w:pPr>
            <w:r>
              <w:rPr>
                <w:rFonts w:hint="eastAsia" w:hAnsi="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w:t>
            </w:r>
          </w:p>
          <w:p w14:paraId="3D4B1D36">
            <w:pPr>
              <w:spacing w:line="360" w:lineRule="auto"/>
              <w:rPr>
                <w:rFonts w:hAnsi="宋体" w:cs="宋体"/>
                <w:color w:val="auto"/>
                <w:szCs w:val="32"/>
                <w:highlight w:val="none"/>
              </w:rPr>
            </w:pPr>
            <w:r>
              <w:rPr>
                <w:rFonts w:hint="eastAsia" w:hAnsi="宋体" w:cs="宋体"/>
                <w:color w:val="auto"/>
                <w:szCs w:val="32"/>
                <w:highlight w:val="none"/>
              </w:rPr>
              <w:t>(http://www.ccgp-shaanxi.gov.cn/zcdservice/zcd/shan xi/）在线申请，依法参加政府采购信用融资活动。</w:t>
            </w:r>
          </w:p>
          <w:p w14:paraId="1F9D64DF">
            <w:pPr>
              <w:spacing w:line="500" w:lineRule="exact"/>
              <w:ind w:firstLine="480" w:firstLineChars="200"/>
              <w:rPr>
                <w:rFonts w:hAnsi="宋体" w:cs="宋体"/>
                <w:b/>
                <w:bCs/>
                <w:color w:val="auto"/>
                <w:szCs w:val="24"/>
                <w:highlight w:val="none"/>
              </w:rPr>
            </w:pPr>
            <w:r>
              <w:rPr>
                <w:rFonts w:hint="eastAsia" w:hAnsi="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1BC42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26" w:hRule="atLeast"/>
          <w:jc w:val="center"/>
        </w:trPr>
        <w:tc>
          <w:tcPr>
            <w:tcW w:w="592" w:type="dxa"/>
            <w:vAlign w:val="center"/>
          </w:tcPr>
          <w:p w14:paraId="4F46F68F">
            <w:pPr>
              <w:spacing w:afterLines="50" w:line="360" w:lineRule="auto"/>
              <w:jc w:val="center"/>
              <w:rPr>
                <w:rFonts w:hAnsi="宋体" w:cs="宋体"/>
                <w:color w:val="auto"/>
                <w:szCs w:val="24"/>
                <w:highlight w:val="none"/>
              </w:rPr>
            </w:pPr>
            <w:r>
              <w:rPr>
                <w:rFonts w:hint="eastAsia" w:hAnsi="宋体" w:cs="宋体"/>
                <w:color w:val="auto"/>
                <w:szCs w:val="24"/>
                <w:highlight w:val="none"/>
              </w:rPr>
              <w:t>20</w:t>
            </w:r>
          </w:p>
        </w:tc>
        <w:tc>
          <w:tcPr>
            <w:tcW w:w="1090" w:type="dxa"/>
            <w:vAlign w:val="center"/>
          </w:tcPr>
          <w:p w14:paraId="2496B58A">
            <w:pPr>
              <w:spacing w:line="312" w:lineRule="auto"/>
              <w:jc w:val="center"/>
              <w:rPr>
                <w:rFonts w:hAnsi="宋体" w:cs="宋体"/>
                <w:color w:val="auto"/>
                <w:kern w:val="2"/>
                <w:szCs w:val="24"/>
                <w:highlight w:val="none"/>
              </w:rPr>
            </w:pPr>
            <w:r>
              <w:rPr>
                <w:rFonts w:hint="eastAsia" w:hAnsi="宋体" w:cs="宋体"/>
                <w:color w:val="auto"/>
                <w:szCs w:val="24"/>
                <w:highlight w:val="none"/>
              </w:rPr>
              <w:t>价格得分扣减</w:t>
            </w:r>
          </w:p>
        </w:tc>
        <w:tc>
          <w:tcPr>
            <w:tcW w:w="7215" w:type="dxa"/>
            <w:vAlign w:val="center"/>
          </w:tcPr>
          <w:p w14:paraId="4B6AC743">
            <w:pPr>
              <w:spacing w:line="500" w:lineRule="exact"/>
              <w:ind w:firstLine="480" w:firstLineChars="200"/>
              <w:rPr>
                <w:rFonts w:hint="default" w:hAnsi="宋体" w:eastAsia="宋体" w:cs="宋体"/>
                <w:color w:val="auto"/>
                <w:szCs w:val="32"/>
                <w:highlight w:val="none"/>
                <w:lang w:val="en-US" w:eastAsia="zh-CN"/>
              </w:rPr>
            </w:pPr>
            <w:r>
              <w:rPr>
                <w:rFonts w:hint="eastAsia" w:hAnsi="宋体" w:cs="宋体"/>
                <w:color w:val="auto"/>
                <w:szCs w:val="32"/>
                <w:highlight w:val="none"/>
              </w:rPr>
              <w:t>对符合《政府采购促进中小企业发展管理办法》(财库(2020)46号)规定的小微企业(监狱企业视同小型、微型企业)的报价给予10%(10%-20%)的扣除,用扣除后的价格参加评审。</w:t>
            </w:r>
          </w:p>
        </w:tc>
      </w:tr>
      <w:tr w14:paraId="1AA69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F3912B5">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21</w:t>
            </w:r>
          </w:p>
        </w:tc>
        <w:tc>
          <w:tcPr>
            <w:tcW w:w="1090" w:type="dxa"/>
            <w:vAlign w:val="center"/>
          </w:tcPr>
          <w:p w14:paraId="78C13052">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备注</w:t>
            </w:r>
          </w:p>
        </w:tc>
        <w:tc>
          <w:tcPr>
            <w:tcW w:w="7215" w:type="dxa"/>
            <w:vAlign w:val="center"/>
          </w:tcPr>
          <w:p w14:paraId="65589C04">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供应商注册登记提醒：</w:t>
            </w:r>
          </w:p>
          <w:p w14:paraId="235D0687">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根据陕西省财政厅关于政府采购供应商注册登记有关事项的通知，如所投本项目的供应商未在陕西省政府采购网（</w:t>
            </w:r>
            <w:r>
              <w:rPr>
                <w:color w:val="auto"/>
                <w:highlight w:val="none"/>
              </w:rPr>
              <w:fldChar w:fldCharType="begin"/>
            </w:r>
            <w:r>
              <w:rPr>
                <w:color w:val="auto"/>
                <w:highlight w:val="none"/>
              </w:rPr>
              <w:instrText xml:space="preserve"> HYPERLINK "http://www.ccgp-shaanxi.gov.cn/information/informationDetail.do?informationguid=8a85be3567ed23460167ed36804d0009" </w:instrText>
            </w:r>
            <w:r>
              <w:rPr>
                <w:color w:val="auto"/>
                <w:highlight w:val="none"/>
              </w:rPr>
              <w:fldChar w:fldCharType="separate"/>
            </w:r>
            <w:r>
              <w:rPr>
                <w:rFonts w:hint="eastAsia" w:hAnsi="宋体" w:cs="宋体"/>
                <w:b/>
                <w:bCs/>
                <w:color w:val="auto"/>
                <w:szCs w:val="24"/>
                <w:highlight w:val="none"/>
              </w:rPr>
              <w:t>http://www.ccgp-shaanxi.gov.cn/information/informationDetail.do?informationguid=8a85be3567ed23460167ed36804d0009</w:t>
            </w:r>
            <w:r>
              <w:rPr>
                <w:rFonts w:hint="eastAsia" w:hAnsi="宋体" w:cs="宋体"/>
                <w:b/>
                <w:bCs/>
                <w:color w:val="auto"/>
                <w:szCs w:val="24"/>
                <w:highlight w:val="none"/>
              </w:rPr>
              <w:fldChar w:fldCharType="end"/>
            </w:r>
            <w:r>
              <w:rPr>
                <w:rFonts w:hint="eastAsia" w:hAnsi="宋体" w:cs="宋体"/>
                <w:b/>
                <w:bCs/>
                <w:color w:val="auto"/>
                <w:szCs w:val="24"/>
                <w:highlight w:val="none"/>
              </w:rPr>
              <w:t>）注册登记加入陕西省政府采购供应商库的，应按要求及时办理注册登记，并接受财政部门监督管理。</w:t>
            </w:r>
          </w:p>
        </w:tc>
      </w:tr>
      <w:bookmarkEnd w:id="9"/>
      <w:bookmarkEnd w:id="10"/>
      <w:bookmarkEnd w:id="11"/>
    </w:tbl>
    <w:p w14:paraId="19637806">
      <w:pPr>
        <w:spacing w:beforeLines="50" w:afterLines="50"/>
        <w:jc w:val="center"/>
        <w:outlineLvl w:val="2"/>
        <w:rPr>
          <w:rFonts w:hAnsi="宋体" w:cs="宋体"/>
          <w:color w:val="auto"/>
          <w:sz w:val="32"/>
          <w:szCs w:val="32"/>
          <w:highlight w:val="none"/>
        </w:rPr>
      </w:pPr>
      <w:bookmarkStart w:id="30" w:name="_Toc363474017"/>
      <w:bookmarkStart w:id="31" w:name="_Toc403077639"/>
      <w:bookmarkStart w:id="32" w:name="_Toc363473972"/>
      <w:r>
        <w:rPr>
          <w:rFonts w:hint="eastAsia" w:hAnsi="宋体" w:cs="宋体"/>
          <w:b/>
          <w:color w:val="auto"/>
          <w:sz w:val="32"/>
          <w:szCs w:val="32"/>
          <w:highlight w:val="none"/>
        </w:rPr>
        <w:br w:type="page"/>
      </w:r>
      <w:bookmarkStart w:id="33" w:name="_Toc3623"/>
      <w:bookmarkStart w:id="34" w:name="_Toc12361"/>
      <w:bookmarkStart w:id="35" w:name="_Toc27537"/>
      <w:bookmarkStart w:id="36" w:name="_Toc4670"/>
      <w:bookmarkStart w:id="37" w:name="_Toc22284"/>
      <w:bookmarkStart w:id="38" w:name="_Toc30660"/>
      <w:r>
        <w:rPr>
          <w:rFonts w:hint="eastAsia" w:hAnsi="宋体" w:cs="宋体"/>
          <w:b/>
          <w:color w:val="auto"/>
          <w:sz w:val="32"/>
          <w:szCs w:val="32"/>
          <w:highlight w:val="none"/>
        </w:rPr>
        <w:t>一.总  则</w:t>
      </w:r>
      <w:bookmarkEnd w:id="30"/>
      <w:bookmarkEnd w:id="31"/>
      <w:bookmarkEnd w:id="32"/>
      <w:bookmarkEnd w:id="33"/>
      <w:bookmarkEnd w:id="34"/>
      <w:bookmarkEnd w:id="35"/>
      <w:bookmarkEnd w:id="36"/>
      <w:bookmarkEnd w:id="37"/>
      <w:bookmarkEnd w:id="38"/>
    </w:p>
    <w:p w14:paraId="1ADB0052">
      <w:pPr>
        <w:spacing w:line="360" w:lineRule="auto"/>
        <w:rPr>
          <w:rFonts w:hAnsi="宋体" w:cs="宋体"/>
          <w:b/>
          <w:color w:val="auto"/>
          <w:szCs w:val="24"/>
          <w:highlight w:val="none"/>
        </w:rPr>
      </w:pPr>
      <w:r>
        <w:rPr>
          <w:rFonts w:hint="eastAsia" w:hAnsi="宋体" w:cs="宋体"/>
          <w:b/>
          <w:color w:val="auto"/>
          <w:szCs w:val="24"/>
          <w:highlight w:val="none"/>
        </w:rPr>
        <w:t>1.资金来源</w:t>
      </w:r>
    </w:p>
    <w:p w14:paraId="4664693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1.1本次竞争性磋商所签合同使用财政拨款支付，资金已落实到位。</w:t>
      </w:r>
    </w:p>
    <w:p w14:paraId="3F211C92">
      <w:pPr>
        <w:numPr>
          <w:ilvl w:val="0"/>
          <w:numId w:val="1"/>
        </w:numPr>
        <w:spacing w:line="500" w:lineRule="exact"/>
        <w:rPr>
          <w:rFonts w:hAnsi="宋体" w:cs="宋体"/>
          <w:b/>
          <w:color w:val="auto"/>
          <w:szCs w:val="24"/>
          <w:highlight w:val="none"/>
        </w:rPr>
      </w:pPr>
      <w:bookmarkStart w:id="39" w:name="_Toc363474018"/>
      <w:bookmarkStart w:id="40" w:name="_Toc363473973"/>
      <w:bookmarkStart w:id="41" w:name="_Toc403077640"/>
      <w:r>
        <w:rPr>
          <w:rFonts w:hint="eastAsia" w:hAnsi="宋体" w:cs="宋体"/>
          <w:b/>
          <w:color w:val="auto"/>
          <w:szCs w:val="24"/>
          <w:highlight w:val="none"/>
        </w:rPr>
        <w:t>名词解释</w:t>
      </w:r>
    </w:p>
    <w:p w14:paraId="4161EE52">
      <w:pPr>
        <w:tabs>
          <w:tab w:val="left" w:pos="7665"/>
        </w:tabs>
        <w:spacing w:line="360" w:lineRule="auto"/>
        <w:ind w:firstLine="480" w:firstLineChars="200"/>
        <w:rPr>
          <w:rFonts w:hint="eastAsia" w:hAnsi="宋体" w:eastAsia="宋体" w:cs="宋体"/>
          <w:color w:val="auto"/>
          <w:szCs w:val="22"/>
          <w:highlight w:val="none"/>
          <w:lang w:eastAsia="zh-CN"/>
        </w:rPr>
      </w:pPr>
      <w:r>
        <w:rPr>
          <w:rFonts w:hint="eastAsia" w:hAnsi="宋体" w:cs="宋体"/>
          <w:color w:val="auto"/>
          <w:szCs w:val="22"/>
          <w:highlight w:val="none"/>
        </w:rPr>
        <w:t>2.1采购人：</w:t>
      </w:r>
      <w:r>
        <w:rPr>
          <w:rFonts w:hint="eastAsia" w:hAnsi="宋体" w:cs="宋体"/>
          <w:color w:val="auto"/>
          <w:szCs w:val="22"/>
          <w:highlight w:val="none"/>
          <w:lang w:eastAsia="zh-CN"/>
        </w:rPr>
        <w:t>西安市儿童医院</w:t>
      </w:r>
    </w:p>
    <w:p w14:paraId="4694902A">
      <w:pPr>
        <w:tabs>
          <w:tab w:val="left" w:pos="7665"/>
        </w:tabs>
        <w:spacing w:line="360" w:lineRule="auto"/>
        <w:ind w:firstLine="480" w:firstLineChars="200"/>
        <w:rPr>
          <w:rFonts w:hAnsi="宋体" w:cs="宋体"/>
          <w:color w:val="auto"/>
          <w:szCs w:val="22"/>
          <w:highlight w:val="none"/>
        </w:rPr>
      </w:pPr>
      <w:r>
        <w:rPr>
          <w:rFonts w:hint="eastAsia" w:hAnsi="宋体" w:cs="宋体"/>
          <w:color w:val="auto"/>
          <w:szCs w:val="22"/>
          <w:highlight w:val="none"/>
        </w:rPr>
        <w:t>2.2监督机构：同级人民政府财政部门</w:t>
      </w:r>
    </w:p>
    <w:p w14:paraId="02CE0AC5">
      <w:pPr>
        <w:tabs>
          <w:tab w:val="left" w:pos="7665"/>
        </w:tabs>
        <w:spacing w:line="360" w:lineRule="auto"/>
        <w:ind w:firstLine="480" w:firstLineChars="200"/>
        <w:rPr>
          <w:rFonts w:hAnsi="宋体" w:cs="宋体"/>
          <w:color w:val="auto"/>
          <w:highlight w:val="none"/>
        </w:rPr>
      </w:pPr>
      <w:r>
        <w:rPr>
          <w:rFonts w:hint="eastAsia" w:hAnsi="宋体" w:cs="宋体"/>
          <w:color w:val="auto"/>
          <w:szCs w:val="22"/>
          <w:highlight w:val="none"/>
        </w:rPr>
        <w:t>2.3采购代理机构：陕西至诚项目管理集团有限公司</w:t>
      </w:r>
    </w:p>
    <w:p w14:paraId="552D7157">
      <w:pPr>
        <w:tabs>
          <w:tab w:val="left" w:pos="7665"/>
        </w:tabs>
        <w:spacing w:line="360" w:lineRule="auto"/>
        <w:ind w:firstLine="480" w:firstLineChars="200"/>
        <w:rPr>
          <w:rFonts w:hAnsi="宋体" w:cs="宋体"/>
          <w:color w:val="auto"/>
          <w:highlight w:val="none"/>
        </w:rPr>
      </w:pPr>
      <w:r>
        <w:rPr>
          <w:rFonts w:hint="eastAsia" w:hAnsi="宋体" w:cs="宋体"/>
          <w:color w:val="auto"/>
          <w:highlight w:val="none"/>
        </w:rPr>
        <w:t>2.4供应商：是指响应和符合竞争性磋商文件规定资格条件且参与竞争性磋商的法人、其他组织或者自然人。</w:t>
      </w:r>
    </w:p>
    <w:p w14:paraId="7E00B95B">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2.5产品是指本竞争性磋商文件中第四章所述所有产品。</w:t>
      </w:r>
    </w:p>
    <w:p w14:paraId="195E3AD5">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2.6服务是指供应商为满足竞争性磋商文件要求而提供的服务。</w:t>
      </w:r>
    </w:p>
    <w:p w14:paraId="7EE4E207">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2.7节能产品或者环保产品是指依据国家确定的认证机构出具的、处于有效期之内的具有节能产品、环境标志产品认证证书的产品。</w:t>
      </w:r>
    </w:p>
    <w:p w14:paraId="7A938199">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2.8进口产品是指通过中国海关报关验放进入中国境内且产自关境外的产品，详见《关于政府采购进口产品管理有关问题的通知》(财库</w:t>
      </w:r>
      <w:r>
        <w:rPr>
          <w:rFonts w:hint="eastAsia" w:hAnsi="宋体" w:cs="宋体"/>
          <w:color w:val="auto"/>
          <w:highlight w:val="none"/>
          <w:lang w:eastAsia="zh-CN"/>
        </w:rPr>
        <w:t>〔2007〕119号</w:t>
      </w:r>
      <w:r>
        <w:rPr>
          <w:rFonts w:hint="eastAsia" w:hAnsi="宋体" w:cs="宋体"/>
          <w:color w:val="auto"/>
          <w:highlight w:val="none"/>
        </w:rPr>
        <w:t>)。</w:t>
      </w:r>
    </w:p>
    <w:p w14:paraId="78133C73">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2.9中小企业是指符合《工业和信息化部、国家统计局、国家发展和改革委员会、财政部关于印发中小企业划型标准规定的通知》（工信部联企业</w:t>
      </w:r>
      <w:r>
        <w:rPr>
          <w:rFonts w:hint="eastAsia" w:hAnsi="宋体" w:cs="宋体"/>
          <w:color w:val="auto"/>
          <w:highlight w:val="none"/>
          <w:lang w:eastAsia="zh-CN"/>
        </w:rPr>
        <w:t>〔2011〕300号</w:t>
      </w:r>
      <w:r>
        <w:rPr>
          <w:rFonts w:hint="eastAsia" w:hAnsi="宋体" w:cs="宋体"/>
          <w:color w:val="auto"/>
          <w:highlight w:val="none"/>
        </w:rPr>
        <w:t>）规定的对中小企业的划分标准的企业。</w:t>
      </w:r>
    </w:p>
    <w:p w14:paraId="7B61084E">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D392DD">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2.11残疾人福利性单位是指符合《三部门联合发布关于促进残疾人就业政府采购政策的通知》财库〔2017〕141号规定的对残疾人福利性单位划分标准的单位。</w:t>
      </w:r>
    </w:p>
    <w:p w14:paraId="4FD5D00D">
      <w:pPr>
        <w:spacing w:line="500" w:lineRule="exact"/>
        <w:rPr>
          <w:rFonts w:hAnsi="宋体" w:cs="宋体"/>
          <w:b/>
          <w:color w:val="auto"/>
          <w:szCs w:val="24"/>
          <w:highlight w:val="none"/>
        </w:rPr>
      </w:pPr>
      <w:r>
        <w:rPr>
          <w:rFonts w:hint="eastAsia" w:hAnsi="宋体" w:cs="宋体"/>
          <w:b/>
          <w:color w:val="auto"/>
          <w:szCs w:val="24"/>
          <w:highlight w:val="none"/>
        </w:rPr>
        <w:t>3.合格的供应商</w:t>
      </w:r>
    </w:p>
    <w:p w14:paraId="2DFA07BF">
      <w:pPr>
        <w:tabs>
          <w:tab w:val="left" w:pos="851"/>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3.1《</w:t>
      </w:r>
      <w:r>
        <w:rPr>
          <w:rFonts w:hint="eastAsia" w:hAnsi="宋体" w:cs="宋体"/>
          <w:color w:val="auto"/>
          <w:szCs w:val="24"/>
          <w:highlight w:val="none"/>
          <w:lang w:val="en-US" w:eastAsia="zh-CN"/>
        </w:rPr>
        <w:t>中华人民共和国</w:t>
      </w:r>
      <w:r>
        <w:rPr>
          <w:rFonts w:hint="eastAsia" w:hAnsi="宋体" w:cs="宋体"/>
          <w:color w:val="auto"/>
          <w:szCs w:val="24"/>
          <w:highlight w:val="none"/>
        </w:rPr>
        <w:t>政府采购法》第二十二条第一款规定的供应商基本资格条件:</w:t>
      </w:r>
    </w:p>
    <w:p w14:paraId="7FD8B3D3">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1）具有独立承担民事责任的能力；</w:t>
      </w:r>
    </w:p>
    <w:p w14:paraId="38B4A69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2）具有良好的商业信誉和健全的财务会计制度；</w:t>
      </w:r>
    </w:p>
    <w:p w14:paraId="63C4266E">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3）具有履行合同所必需的设备和专业技术能力；</w:t>
      </w:r>
    </w:p>
    <w:p w14:paraId="74088CA7">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4）有依法缴纳税收和社会保障资金的良好记录；</w:t>
      </w:r>
    </w:p>
    <w:p w14:paraId="43D03674">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5）参加政府采购活动前三年内，在经营活动中没有重大违法记录；</w:t>
      </w:r>
    </w:p>
    <w:p w14:paraId="37CBB19E">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6）法律、行政法规规定的其他条件。</w:t>
      </w:r>
    </w:p>
    <w:p w14:paraId="323EC0C5">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3.2根据本次采购项目的特殊要求，规定的供应商特殊条件（见供应商须知前附表）。</w:t>
      </w:r>
    </w:p>
    <w:p w14:paraId="1673108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24CBFE7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3.4供应商必须在陕西至诚项目管理集团有限公司购买</w:t>
      </w:r>
      <w:r>
        <w:rPr>
          <w:rFonts w:hint="eastAsia" w:hAnsi="宋体" w:cs="宋体"/>
          <w:color w:val="auto"/>
          <w:highlight w:val="none"/>
        </w:rPr>
        <w:t>竞争性磋商文件</w:t>
      </w:r>
      <w:r>
        <w:rPr>
          <w:rFonts w:hint="eastAsia" w:hAnsi="宋体" w:cs="宋体"/>
          <w:color w:val="auto"/>
          <w:szCs w:val="24"/>
          <w:highlight w:val="none"/>
        </w:rPr>
        <w:t>，方可参加磋商。</w:t>
      </w:r>
      <w:r>
        <w:rPr>
          <w:rFonts w:hint="eastAsia" w:hAnsi="宋体" w:cs="宋体"/>
          <w:color w:val="auto"/>
          <w:highlight w:val="none"/>
        </w:rPr>
        <w:t>竞争性</w:t>
      </w:r>
      <w:r>
        <w:rPr>
          <w:rFonts w:hint="eastAsia" w:hAnsi="宋体" w:cs="宋体"/>
          <w:color w:val="auto"/>
          <w:szCs w:val="24"/>
          <w:highlight w:val="none"/>
        </w:rPr>
        <w:t>磋商文件售后不退。</w:t>
      </w:r>
    </w:p>
    <w:p w14:paraId="49CD508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3.5本项目不接受联合体磋商。</w:t>
      </w:r>
    </w:p>
    <w:p w14:paraId="1396FB1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3.6磋商费用自理。不论磋商的结果如何，供应商均应自行承担所有与参加磋商有关的费用。</w:t>
      </w:r>
    </w:p>
    <w:p w14:paraId="4BD4D566">
      <w:pPr>
        <w:tabs>
          <w:tab w:val="left" w:pos="747"/>
        </w:tabs>
        <w:snapToGrid w:val="0"/>
        <w:spacing w:line="500" w:lineRule="exact"/>
        <w:rPr>
          <w:rFonts w:hAnsi="宋体" w:cs="宋体"/>
          <w:b/>
          <w:bCs/>
          <w:color w:val="auto"/>
          <w:highlight w:val="none"/>
        </w:rPr>
      </w:pPr>
      <w:r>
        <w:rPr>
          <w:rFonts w:hint="eastAsia" w:hAnsi="宋体" w:cs="宋体"/>
          <w:b/>
          <w:bCs/>
          <w:color w:val="auto"/>
          <w:highlight w:val="none"/>
        </w:rPr>
        <w:t>4</w:t>
      </w:r>
      <w:r>
        <w:rPr>
          <w:rFonts w:hint="eastAsia" w:hAnsi="宋体" w:cs="宋体"/>
          <w:b/>
          <w:bCs/>
          <w:color w:val="auto"/>
          <w:highlight w:val="none"/>
          <w:lang w:eastAsia="zh-CN"/>
        </w:rPr>
        <w:t>.</w:t>
      </w:r>
      <w:r>
        <w:rPr>
          <w:rFonts w:hint="eastAsia" w:hAnsi="宋体" w:cs="宋体"/>
          <w:b/>
          <w:color w:val="auto"/>
          <w:szCs w:val="24"/>
          <w:highlight w:val="none"/>
        </w:rPr>
        <w:t>竞争性磋商产品（含服务）的合格性和合法性</w:t>
      </w:r>
    </w:p>
    <w:p w14:paraId="08250536">
      <w:pPr>
        <w:tabs>
          <w:tab w:val="left" w:pos="747"/>
        </w:tabs>
        <w:snapToGrid w:val="0"/>
        <w:spacing w:line="500" w:lineRule="exact"/>
        <w:ind w:firstLine="480" w:firstLineChars="200"/>
        <w:rPr>
          <w:rFonts w:hAnsi="宋体" w:cs="宋体"/>
          <w:color w:val="auto"/>
          <w:highlight w:val="none"/>
        </w:rPr>
      </w:pPr>
      <w:r>
        <w:rPr>
          <w:rFonts w:hint="eastAsia" w:hAnsi="宋体" w:cs="宋体"/>
          <w:color w:val="auto"/>
          <w:szCs w:val="24"/>
          <w:highlight w:val="none"/>
        </w:rPr>
        <w:t>4.1竞争性磋商产品（含服务）应满足竞争性磋商文件的要求并应符合国家法律法规、行业管理部门要求的其他强制性标准。</w:t>
      </w:r>
      <w:r>
        <w:rPr>
          <w:rFonts w:hint="eastAsia" w:hAnsi="宋体" w:cs="宋体"/>
          <w:color w:val="auto"/>
          <w:highlight w:val="none"/>
        </w:rPr>
        <w:t>并满足竞争性磋商文件规定的质量、价格、有效期、售后服务及供应商须承担的运输、配送、技术支持和竞争性磋商文件规定的其他伴随服务等要求。</w:t>
      </w:r>
    </w:p>
    <w:p w14:paraId="7522E3F3">
      <w:pPr>
        <w:tabs>
          <w:tab w:val="left" w:pos="747"/>
        </w:tabs>
        <w:snapToGrid w:val="0"/>
        <w:spacing w:line="500" w:lineRule="exact"/>
        <w:ind w:firstLine="480" w:firstLineChars="200"/>
        <w:rPr>
          <w:rFonts w:hAnsi="宋体" w:cs="宋体"/>
          <w:color w:val="auto"/>
          <w:szCs w:val="24"/>
          <w:highlight w:val="none"/>
        </w:rPr>
      </w:pPr>
      <w:r>
        <w:rPr>
          <w:rFonts w:hint="eastAsia" w:hAnsi="宋体" w:cs="宋体"/>
          <w:color w:val="auto"/>
          <w:highlight w:val="none"/>
        </w:rPr>
        <w:t>4.2采购人有权拒绝接受任何不合格的产品和服务，由此产生的费用及相关后果均由供应商自行承担。</w:t>
      </w:r>
    </w:p>
    <w:p w14:paraId="5ECC2FA5">
      <w:pPr>
        <w:spacing w:line="360" w:lineRule="auto"/>
        <w:rPr>
          <w:rFonts w:hAnsi="宋体" w:cs="宋体"/>
          <w:b/>
          <w:color w:val="auto"/>
          <w:szCs w:val="24"/>
          <w:highlight w:val="none"/>
        </w:rPr>
      </w:pPr>
      <w:r>
        <w:rPr>
          <w:rFonts w:hint="eastAsia" w:hAnsi="宋体" w:cs="宋体"/>
          <w:b/>
          <w:color w:val="auto"/>
          <w:szCs w:val="24"/>
          <w:highlight w:val="none"/>
        </w:rPr>
        <w:t>5.竞争性磋商响应文件内容的真实性</w:t>
      </w:r>
    </w:p>
    <w:p w14:paraId="7CBBC82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31B42C0B">
      <w:pPr>
        <w:keepNext/>
        <w:keepLines/>
        <w:spacing w:beforeLines="100" w:afterLines="50" w:line="360" w:lineRule="auto"/>
        <w:jc w:val="center"/>
        <w:outlineLvl w:val="2"/>
        <w:rPr>
          <w:rFonts w:hAnsi="宋体" w:cs="宋体"/>
          <w:b/>
          <w:color w:val="auto"/>
          <w:sz w:val="32"/>
          <w:szCs w:val="32"/>
          <w:highlight w:val="none"/>
        </w:rPr>
      </w:pPr>
      <w:bookmarkStart w:id="42" w:name="_Toc27903"/>
      <w:bookmarkStart w:id="43" w:name="_Toc12362"/>
      <w:bookmarkStart w:id="44" w:name="_Toc14876"/>
      <w:bookmarkStart w:id="45" w:name="_Toc30698"/>
      <w:bookmarkStart w:id="46" w:name="_Toc15249"/>
      <w:bookmarkStart w:id="47" w:name="_Toc31742"/>
      <w:r>
        <w:rPr>
          <w:rFonts w:hint="eastAsia" w:hAnsi="宋体" w:cs="宋体"/>
          <w:b/>
          <w:color w:val="auto"/>
          <w:sz w:val="32"/>
          <w:szCs w:val="32"/>
          <w:highlight w:val="none"/>
        </w:rPr>
        <w:t>二.竞争性磋商文件</w:t>
      </w:r>
      <w:bookmarkEnd w:id="39"/>
      <w:bookmarkEnd w:id="40"/>
      <w:bookmarkEnd w:id="41"/>
      <w:bookmarkEnd w:id="42"/>
      <w:bookmarkEnd w:id="43"/>
      <w:bookmarkEnd w:id="44"/>
      <w:bookmarkEnd w:id="45"/>
      <w:bookmarkEnd w:id="46"/>
      <w:bookmarkEnd w:id="47"/>
    </w:p>
    <w:p w14:paraId="2E1F033D">
      <w:pPr>
        <w:spacing w:line="360" w:lineRule="auto"/>
        <w:rPr>
          <w:rFonts w:hAnsi="宋体" w:cs="宋体"/>
          <w:b/>
          <w:color w:val="auto"/>
          <w:szCs w:val="24"/>
          <w:highlight w:val="none"/>
        </w:rPr>
      </w:pPr>
      <w:r>
        <w:rPr>
          <w:rFonts w:hint="eastAsia" w:hAnsi="宋体" w:cs="宋体"/>
          <w:b/>
          <w:color w:val="auto"/>
          <w:szCs w:val="24"/>
          <w:highlight w:val="none"/>
        </w:rPr>
        <w:t>6.竞争性磋商文件构成</w:t>
      </w:r>
    </w:p>
    <w:p w14:paraId="0FEA25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6.1 竞争性磋商文件规定了要求提供的产品和服务，磋商程序和合同条件在竞争性磋商文件中均有说明。竞争性磋商文件共六章，内容如下：</w:t>
      </w:r>
    </w:p>
    <w:p w14:paraId="0943867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第一章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竞争性磋商公告</w:t>
      </w:r>
    </w:p>
    <w:p w14:paraId="4796F0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第二章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供应商须知</w:t>
      </w:r>
    </w:p>
    <w:p w14:paraId="3FA72E9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第三章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评审方法</w:t>
      </w:r>
    </w:p>
    <w:p w14:paraId="1613BF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第四章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合同条款及格式</w:t>
      </w:r>
    </w:p>
    <w:p w14:paraId="7E3B47C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第五章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磋商内容及技术要求</w:t>
      </w:r>
    </w:p>
    <w:p w14:paraId="36EF164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第六章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竞争性磋商响应文件构成及格式</w:t>
      </w:r>
    </w:p>
    <w:p w14:paraId="7900DBE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4CD4567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6.3本竞争性磋商文件的解释权归陕西至诚项目管理集团有限公司，如发现竞争性磋商响应文件内容与现行法律法规不相符的情况，以现行法律法规为准。</w:t>
      </w:r>
    </w:p>
    <w:p w14:paraId="7003D107">
      <w:pPr>
        <w:spacing w:line="360" w:lineRule="auto"/>
        <w:rPr>
          <w:rFonts w:hAnsi="宋体" w:cs="宋体"/>
          <w:b/>
          <w:color w:val="auto"/>
          <w:szCs w:val="24"/>
          <w:highlight w:val="none"/>
        </w:rPr>
      </w:pPr>
      <w:r>
        <w:rPr>
          <w:rFonts w:hint="eastAsia" w:hAnsi="宋体" w:cs="宋体"/>
          <w:b/>
          <w:color w:val="auto"/>
          <w:szCs w:val="24"/>
          <w:highlight w:val="none"/>
        </w:rPr>
        <w:t>7.竞争性磋商文件的修改和澄清</w:t>
      </w:r>
    </w:p>
    <w:p w14:paraId="50AFCD1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0076D4D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3FD4AC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7.3已经购买竞争性磋商文件的供应商对竞争性磋商文件有疑问的，均应在磋商截止之日起3日前以书面形式向采购代理机构提出。采购代理机构视情况必要时将书面答复传送给所有获取竞争性磋商文件的供应商。</w:t>
      </w:r>
    </w:p>
    <w:p w14:paraId="124953F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7.4供应商在收到上述通知后，应立即向采购代理机构回函确认。</w:t>
      </w:r>
    </w:p>
    <w:p w14:paraId="0623F531">
      <w:pPr>
        <w:keepNext/>
        <w:keepLines/>
        <w:spacing w:beforeLines="100" w:afterLines="50" w:line="360" w:lineRule="auto"/>
        <w:jc w:val="center"/>
        <w:outlineLvl w:val="2"/>
        <w:rPr>
          <w:rFonts w:hAnsi="宋体" w:cs="宋体"/>
          <w:b/>
          <w:color w:val="auto"/>
          <w:sz w:val="32"/>
          <w:szCs w:val="32"/>
          <w:highlight w:val="none"/>
        </w:rPr>
      </w:pPr>
      <w:bookmarkStart w:id="48" w:name="_Toc24468"/>
      <w:bookmarkStart w:id="49" w:name="_Toc13771"/>
      <w:bookmarkStart w:id="50" w:name="_Toc403077641"/>
      <w:bookmarkStart w:id="51" w:name="_Toc363474019"/>
      <w:bookmarkStart w:id="52" w:name="_Toc26653"/>
      <w:bookmarkStart w:id="53" w:name="_Toc363473974"/>
      <w:bookmarkStart w:id="54" w:name="_Toc9512"/>
      <w:bookmarkStart w:id="55" w:name="_Toc28227"/>
      <w:bookmarkStart w:id="56" w:name="_Toc4913"/>
      <w:r>
        <w:rPr>
          <w:rFonts w:hint="eastAsia" w:hAnsi="宋体" w:cs="宋体"/>
          <w:b/>
          <w:color w:val="auto"/>
          <w:sz w:val="32"/>
          <w:szCs w:val="32"/>
          <w:highlight w:val="none"/>
        </w:rPr>
        <w:t>三.磋商响应文件的编制</w:t>
      </w:r>
      <w:bookmarkEnd w:id="48"/>
      <w:bookmarkEnd w:id="49"/>
      <w:bookmarkEnd w:id="50"/>
      <w:bookmarkEnd w:id="51"/>
      <w:bookmarkEnd w:id="52"/>
      <w:bookmarkEnd w:id="53"/>
      <w:bookmarkEnd w:id="54"/>
      <w:bookmarkEnd w:id="55"/>
      <w:bookmarkEnd w:id="56"/>
    </w:p>
    <w:p w14:paraId="4C85A5E3">
      <w:pPr>
        <w:spacing w:line="360" w:lineRule="auto"/>
        <w:rPr>
          <w:rFonts w:hAnsi="宋体" w:cs="宋体"/>
          <w:b/>
          <w:color w:val="auto"/>
          <w:szCs w:val="24"/>
          <w:highlight w:val="none"/>
        </w:rPr>
      </w:pPr>
      <w:r>
        <w:rPr>
          <w:rFonts w:hint="eastAsia" w:hAnsi="宋体" w:cs="宋体"/>
          <w:b/>
          <w:color w:val="auto"/>
          <w:szCs w:val="24"/>
          <w:highlight w:val="none"/>
        </w:rPr>
        <w:t>8. 磋商语言和磋商货币</w:t>
      </w:r>
    </w:p>
    <w:p w14:paraId="6C632407">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8.1供应商提交的竞争性磋商响应文件以及供应商与采购代理机构就有关磋商的所有来往函电均应使用中文。</w:t>
      </w:r>
    </w:p>
    <w:p w14:paraId="73BE85E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8.2磋商应以人民币报价。任何包含非人民币报价的磋商将按无效磋商处理。</w:t>
      </w:r>
    </w:p>
    <w:p w14:paraId="6A92DD09">
      <w:pPr>
        <w:spacing w:line="360" w:lineRule="auto"/>
        <w:rPr>
          <w:rFonts w:hAnsi="宋体" w:cs="宋体"/>
          <w:b/>
          <w:color w:val="auto"/>
          <w:szCs w:val="24"/>
          <w:highlight w:val="none"/>
        </w:rPr>
      </w:pPr>
      <w:r>
        <w:rPr>
          <w:rFonts w:hint="eastAsia" w:hAnsi="宋体" w:cs="宋体"/>
          <w:b/>
          <w:color w:val="auto"/>
          <w:szCs w:val="24"/>
          <w:highlight w:val="none"/>
        </w:rPr>
        <w:t>9.竞争性磋商响应文件的构成</w:t>
      </w:r>
    </w:p>
    <w:p w14:paraId="6002A73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9.1 供应商提交的竞争性磋商响应文件应包含下列部分的内容：</w:t>
      </w:r>
    </w:p>
    <w:p w14:paraId="406F4B7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（1）按照供应商须知的要求和竞争性磋商文件规定格式填写的竞争性磋商响应函、磋商报价表、法定代表人授权委托书。</w:t>
      </w:r>
    </w:p>
    <w:p w14:paraId="59187EF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（2）按照竞争性磋商文件的要求编制的磋商方案说明。</w:t>
      </w:r>
    </w:p>
    <w:p w14:paraId="5AB044D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（3）按照竞争性磋商文件供应商须知前附表的要求提交的资格证明文件；</w:t>
      </w:r>
    </w:p>
    <w:p w14:paraId="2BE5DB4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（4）按照本须知第14条要求提交的磋商保证金。</w:t>
      </w:r>
    </w:p>
    <w:p w14:paraId="0E2A411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（5）竞争磋商文件中要求的其他证明文件。</w:t>
      </w:r>
    </w:p>
    <w:p w14:paraId="306027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9.2 如果在竞争性磋商文件中没有允许提供备选方案，则每个供应商只允许提交一个磋商方案，否则，其磋商将按照无效磋商处理。</w:t>
      </w:r>
    </w:p>
    <w:p w14:paraId="174BEB7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39B76B4A">
      <w:pPr>
        <w:spacing w:line="360" w:lineRule="auto"/>
        <w:rPr>
          <w:rFonts w:hAnsi="宋体" w:cs="宋体"/>
          <w:b/>
          <w:color w:val="auto"/>
          <w:szCs w:val="24"/>
          <w:highlight w:val="none"/>
        </w:rPr>
      </w:pPr>
      <w:r>
        <w:rPr>
          <w:rFonts w:hint="eastAsia" w:hAnsi="宋体" w:cs="宋体"/>
          <w:b/>
          <w:color w:val="auto"/>
          <w:szCs w:val="24"/>
          <w:highlight w:val="none"/>
        </w:rPr>
        <w:t xml:space="preserve">10.竞争性磋商响应文件格式 </w:t>
      </w:r>
    </w:p>
    <w:p w14:paraId="76A0083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202C8B02">
      <w:pPr>
        <w:spacing w:line="360" w:lineRule="auto"/>
        <w:ind w:firstLine="480" w:firstLineChars="200"/>
        <w:rPr>
          <w:rFonts w:hAnsi="宋体" w:cs="宋体"/>
          <w:b/>
          <w:bCs/>
          <w:color w:val="auto"/>
          <w:szCs w:val="24"/>
          <w:highlight w:val="none"/>
        </w:rPr>
      </w:pPr>
      <w:r>
        <w:rPr>
          <w:rFonts w:hint="eastAsia" w:hAnsi="宋体" w:cs="宋体"/>
          <w:color w:val="auto"/>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7E8BE697">
      <w:pPr>
        <w:spacing w:line="360" w:lineRule="auto"/>
        <w:rPr>
          <w:rFonts w:hAnsi="宋体" w:cs="宋体"/>
          <w:b/>
          <w:color w:val="auto"/>
          <w:szCs w:val="24"/>
          <w:highlight w:val="none"/>
        </w:rPr>
      </w:pPr>
      <w:r>
        <w:rPr>
          <w:rFonts w:hint="eastAsia" w:hAnsi="宋体" w:cs="宋体"/>
          <w:b/>
          <w:color w:val="auto"/>
          <w:szCs w:val="24"/>
          <w:highlight w:val="none"/>
        </w:rPr>
        <w:t>11.磋商报价</w:t>
      </w:r>
    </w:p>
    <w:p w14:paraId="2DB6A8DB">
      <w:pPr>
        <w:spacing w:line="360" w:lineRule="auto"/>
        <w:ind w:firstLine="480"/>
        <w:rPr>
          <w:rFonts w:hAnsi="宋体" w:cs="宋体"/>
          <w:color w:val="auto"/>
          <w:szCs w:val="24"/>
          <w:highlight w:val="none"/>
        </w:rPr>
      </w:pPr>
      <w:r>
        <w:rPr>
          <w:rFonts w:hint="eastAsia" w:hAnsi="宋体" w:cs="宋体"/>
          <w:color w:val="auto"/>
          <w:szCs w:val="24"/>
          <w:highlight w:val="none"/>
        </w:rPr>
        <w:t>11.1磋商报价：磋商报价是供应商为完成本项目要求的全部服务内容最终价格的体现。</w:t>
      </w:r>
    </w:p>
    <w:p w14:paraId="202FCA5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w:t>
      </w:r>
    </w:p>
    <w:p w14:paraId="4EBBE46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11.2磋商报价表中标明本次服务的价格，任何有选择的报价将不予接受，按无效文件处理。所有价格均以人民币报价。</w:t>
      </w:r>
    </w:p>
    <w:p w14:paraId="3B71CC3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11.3磋商报价表中标明的价格应为履行合同的总报价，不得以任何理由予以变更。以可调整的价格提交的竞争性磋商响应文件将按无效磋商处理。</w:t>
      </w:r>
    </w:p>
    <w:p w14:paraId="6299A00B">
      <w:pPr>
        <w:spacing w:line="360" w:lineRule="auto"/>
        <w:rPr>
          <w:rFonts w:hAnsi="宋体" w:cs="宋体"/>
          <w:b/>
          <w:color w:val="auto"/>
          <w:szCs w:val="24"/>
          <w:highlight w:val="none"/>
        </w:rPr>
      </w:pPr>
      <w:r>
        <w:rPr>
          <w:rFonts w:hint="eastAsia" w:hAnsi="宋体" w:cs="宋体"/>
          <w:b/>
          <w:color w:val="auto"/>
          <w:szCs w:val="24"/>
          <w:highlight w:val="none"/>
        </w:rPr>
        <w:t>12.证明供应商合格的资格证明文件</w:t>
      </w:r>
    </w:p>
    <w:p w14:paraId="77C317F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13F40E80">
      <w:pPr>
        <w:spacing w:line="360" w:lineRule="auto"/>
        <w:rPr>
          <w:rFonts w:hAnsi="宋体" w:cs="宋体"/>
          <w:b/>
          <w:color w:val="auto"/>
          <w:szCs w:val="24"/>
          <w:highlight w:val="none"/>
        </w:rPr>
      </w:pPr>
      <w:r>
        <w:rPr>
          <w:rFonts w:hint="eastAsia" w:hAnsi="宋体" w:cs="宋体"/>
          <w:b/>
          <w:color w:val="auto"/>
          <w:szCs w:val="24"/>
          <w:highlight w:val="none"/>
        </w:rPr>
        <w:t>13.证明服务符合竞争性磋商文件规定的文件</w:t>
      </w:r>
    </w:p>
    <w:p w14:paraId="2AA313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13.1供应商应在竞争性磋商响应文件中提交服务满足竞争性磋商文件要求并符合国家法律法规、行业管理部门要求的其他强制性标准的证明文件。</w:t>
      </w:r>
    </w:p>
    <w:p w14:paraId="6B2E4B2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13.2 供应商须提供全部服务内容的详细说明。</w:t>
      </w:r>
    </w:p>
    <w:p w14:paraId="642B9FCB">
      <w:pPr>
        <w:spacing w:line="360" w:lineRule="auto"/>
        <w:rPr>
          <w:rFonts w:hAnsi="宋体" w:cs="宋体"/>
          <w:b/>
          <w:color w:val="auto"/>
          <w:szCs w:val="24"/>
          <w:highlight w:val="none"/>
        </w:rPr>
      </w:pPr>
      <w:r>
        <w:rPr>
          <w:rFonts w:hint="eastAsia" w:hAnsi="宋体" w:cs="宋体"/>
          <w:b/>
          <w:color w:val="auto"/>
          <w:szCs w:val="24"/>
          <w:highlight w:val="none"/>
        </w:rPr>
        <w:t>14.磋商保证金</w:t>
      </w:r>
    </w:p>
    <w:p w14:paraId="045BEBE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14.1供应商在磋商时应向陕西至诚项目管理集团有限公司提交“供应商须知前附表”规定数额的磋商保证金,并作为其磋商的一部分。</w:t>
      </w:r>
    </w:p>
    <w:p w14:paraId="55D3F6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14.2磋商保证金是为了保护采购单位（包括陕西至诚项目管理集团有限公司及采购人）免遭因供应商的行为而蒙受损失。采购单位在因供应商的行为受到损害时可根据本须知的规定没收供应商的磋商保证金。</w:t>
      </w:r>
    </w:p>
    <w:p w14:paraId="4947523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14.3磋商保证金可采取“供应商须知前附表”规定的任何一种形式。</w:t>
      </w:r>
    </w:p>
    <w:p w14:paraId="19C4917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14.4磋商保证金必须按照竞争性磋商文件“供应商须知前附表”中规定的缴纳金额及方式办理。</w:t>
      </w:r>
    </w:p>
    <w:p w14:paraId="2C42A61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14.5磋商后经审查，未提交磋商保证金、未按竞争性磋商文件规定时间提交磋商保证金</w:t>
      </w:r>
      <w:r>
        <w:rPr>
          <w:rFonts w:hint="eastAsia" w:hAnsi="宋体" w:cs="宋体"/>
          <w:color w:val="auto"/>
          <w:highlight w:val="none"/>
        </w:rPr>
        <w:t>或担保机构出具的保函正本未在采购代理机构备案的</w:t>
      </w:r>
      <w:r>
        <w:rPr>
          <w:rFonts w:hint="eastAsia" w:hAnsi="宋体" w:cs="宋体"/>
          <w:color w:val="auto"/>
          <w:szCs w:val="24"/>
          <w:highlight w:val="none"/>
        </w:rPr>
        <w:t>、磋商保证金金额不足或磋商保证金转账凭证复印件/担保机构出具的保函正本复印件未附在磋商响应文件内的磋商将按无效磋商处理。</w:t>
      </w:r>
    </w:p>
    <w:p w14:paraId="15EDC0D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14.6未成交供应商的磋商保证金，将在成交通知书发出后五个工作日内按原账户退还；成交供应商的磋商保证金，在采购合同签订并按规定缴纳成交代理服务费后五个工作日内退还</w:t>
      </w:r>
      <w:r>
        <w:rPr>
          <w:rFonts w:hint="eastAsia" w:hAnsi="宋体" w:cs="宋体"/>
          <w:b/>
          <w:color w:val="auto"/>
          <w:szCs w:val="24"/>
          <w:highlight w:val="none"/>
        </w:rPr>
        <w:t>（退还时，须向采购代理机构提供采购合同原件、开户许可证及转账凭证复印件壹份）</w:t>
      </w:r>
      <w:r>
        <w:rPr>
          <w:rFonts w:hint="eastAsia" w:hAnsi="宋体" w:cs="宋体"/>
          <w:color w:val="auto"/>
          <w:szCs w:val="24"/>
          <w:highlight w:val="none"/>
        </w:rPr>
        <w:t>。</w:t>
      </w:r>
    </w:p>
    <w:p w14:paraId="2A667F6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3983600C">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14.8 下列任何情况发生时，视为供应商违约，其磋商保证金将被没收：</w:t>
      </w:r>
    </w:p>
    <w:p w14:paraId="5F5CFE1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 供应商在磋商有效期内撤回其磋商响应文件；</w:t>
      </w:r>
    </w:p>
    <w:p w14:paraId="02EF8A0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2）供应商在响应文件中提供伪造、套改、虚假资料参加磋商的。</w:t>
      </w:r>
    </w:p>
    <w:p w14:paraId="36E00E1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 供应商成交后放弃成交或未能按规定签订合同；或未能按规定缴纳成交代理服务费。</w:t>
      </w:r>
    </w:p>
    <w:p w14:paraId="700151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4）供应商成交后将成交项目转让给他人，或者在响应文件中未说明，且未经采购人同意，将成交项目分包给他人的。</w:t>
      </w:r>
    </w:p>
    <w:p w14:paraId="7340649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5）供应商事先未通告无故不参加磋商活动的。</w:t>
      </w:r>
    </w:p>
    <w:p w14:paraId="73C9C56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6）供应商不按法定程序进行质疑和投诉，捏造事实，查无实据，造成恶劣影响，导致采购活动无法正常进行的。</w:t>
      </w:r>
    </w:p>
    <w:p w14:paraId="4B84C005">
      <w:pPr>
        <w:spacing w:line="360" w:lineRule="auto"/>
        <w:rPr>
          <w:rFonts w:hAnsi="宋体" w:cs="宋体"/>
          <w:b/>
          <w:color w:val="auto"/>
          <w:szCs w:val="24"/>
          <w:highlight w:val="none"/>
        </w:rPr>
      </w:pPr>
      <w:r>
        <w:rPr>
          <w:rFonts w:hint="eastAsia" w:hAnsi="宋体" w:cs="宋体"/>
          <w:b/>
          <w:color w:val="auto"/>
          <w:szCs w:val="24"/>
          <w:highlight w:val="none"/>
        </w:rPr>
        <w:t>15.磋商有效期</w:t>
      </w:r>
    </w:p>
    <w:p w14:paraId="3F680A6B">
      <w:pPr>
        <w:spacing w:line="360" w:lineRule="auto"/>
        <w:ind w:firstLine="480" w:firstLineChars="200"/>
        <w:rPr>
          <w:rFonts w:hAnsi="宋体" w:cs="宋体"/>
          <w:color w:val="auto"/>
          <w:szCs w:val="24"/>
          <w:highlight w:val="none"/>
        </w:rPr>
      </w:pPr>
      <w:bookmarkStart w:id="57" w:name="OLE_LINK4"/>
      <w:r>
        <w:rPr>
          <w:rFonts w:hint="eastAsia" w:hAnsi="宋体" w:cs="宋体"/>
          <w:color w:val="auto"/>
          <w:szCs w:val="24"/>
          <w:highlight w:val="none"/>
        </w:rPr>
        <w:t>15.1磋商响应文件应在“供应商须知前附表”中规定的期限内保持有效。磋商有效期不满足规定有效期的磋商响应文件将被视为非响应性磋商而予以拒绝。</w:t>
      </w:r>
      <w:bookmarkEnd w:id="57"/>
    </w:p>
    <w:p w14:paraId="32BE68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5D0C86D6">
      <w:pPr>
        <w:spacing w:line="360" w:lineRule="auto"/>
        <w:rPr>
          <w:rFonts w:hAnsi="宋体" w:cs="宋体"/>
          <w:b/>
          <w:color w:val="auto"/>
          <w:szCs w:val="24"/>
          <w:highlight w:val="none"/>
        </w:rPr>
      </w:pPr>
      <w:r>
        <w:rPr>
          <w:rFonts w:hint="eastAsia" w:hAnsi="宋体" w:cs="宋体"/>
          <w:b/>
          <w:color w:val="auto"/>
          <w:szCs w:val="24"/>
          <w:highlight w:val="none"/>
        </w:rPr>
        <w:t>16.竞争性磋商响应文件的式样和签署</w:t>
      </w:r>
    </w:p>
    <w:p w14:paraId="1B4086A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hAnsi="宋体" w:cs="宋体"/>
          <w:color w:val="auto"/>
          <w:spacing w:val="4"/>
          <w:highlight w:val="none"/>
        </w:rPr>
        <w:t>电子版（U盘）</w:t>
      </w:r>
      <w:r>
        <w:rPr>
          <w:rFonts w:hint="eastAsia" w:hAnsi="宋体" w:cs="宋体"/>
          <w:color w:val="auto"/>
          <w:szCs w:val="24"/>
          <w:highlight w:val="none"/>
        </w:rPr>
        <w:t>并在盘面标注供应商全称、项目名称、项目编号，并与竞争性磋商响应文件同时递交。</w:t>
      </w:r>
    </w:p>
    <w:p w14:paraId="19514DA2">
      <w:pPr>
        <w:spacing w:line="500" w:lineRule="exact"/>
        <w:ind w:firstLine="480" w:firstLineChars="200"/>
        <w:rPr>
          <w:rFonts w:hint="eastAsia" w:ascii="宋体" w:hAnsi="宋体" w:eastAsia="宋体" w:cs="宋体"/>
          <w:b/>
          <w:bCs/>
          <w:highlight w:val="none"/>
        </w:rPr>
      </w:pPr>
      <w:r>
        <w:rPr>
          <w:rFonts w:hint="eastAsia" w:hAnsi="宋体" w:cs="宋体"/>
          <w:color w:val="auto"/>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ascii="宋体" w:hAnsi="宋体" w:eastAsia="宋体" w:cs="宋体"/>
          <w:b/>
          <w:bCs/>
          <w:szCs w:val="24"/>
          <w:highlight w:val="none"/>
        </w:rPr>
        <w:t>所有竞争性磋商响应文件正本和副本须按第六章规定的顺序编排、并应编制目录、逐页标注连续页码，并</w:t>
      </w:r>
      <w:r>
        <w:rPr>
          <w:rFonts w:hint="eastAsia" w:ascii="宋体" w:hAnsi="宋体" w:eastAsia="宋体" w:cs="宋体"/>
          <w:b/>
          <w:bCs/>
          <w:highlight w:val="none"/>
        </w:rPr>
        <w:t>分别胶装成册。</w:t>
      </w:r>
      <w:r>
        <w:rPr>
          <w:rFonts w:hint="eastAsia" w:hAnsi="宋体" w:cs="宋体"/>
          <w:b/>
          <w:bCs/>
          <w:highlight w:val="none"/>
          <w:lang w:val="en-US" w:eastAsia="zh-CN"/>
        </w:rPr>
        <w:t>为响应国家节约资源的政策要求，要求供应商进行双面打印。</w:t>
      </w:r>
    </w:p>
    <w:p w14:paraId="385F235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16.3任何行间插字、涂改和增删，必须由供应商的法定代表人或其授权代表在旁边签字才有效。</w:t>
      </w:r>
    </w:p>
    <w:p w14:paraId="7078407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16.4供应商名称应填写全称。磋商响应文件正本及所有副本必须逐页加盖供应商公章（鲜章），否则按无效处理。</w:t>
      </w:r>
    </w:p>
    <w:p w14:paraId="2AADBCE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16.5因字迹潦草、表述不清或不按竞争性磋商文件格式编制的竞争性磋商响应文件，所引起的对供应商不利的后果，由供应商自行负责。</w:t>
      </w:r>
    </w:p>
    <w:p w14:paraId="6C040207">
      <w:pPr>
        <w:spacing w:line="500" w:lineRule="exact"/>
        <w:ind w:firstLine="480" w:firstLineChars="200"/>
        <w:rPr>
          <w:rFonts w:hAnsi="宋体" w:cs="宋体"/>
          <w:color w:val="auto"/>
          <w:highlight w:val="none"/>
        </w:rPr>
      </w:pPr>
      <w:r>
        <w:rPr>
          <w:rFonts w:hint="eastAsia" w:hAnsi="宋体" w:cs="宋体"/>
          <w:color w:val="auto"/>
          <w:szCs w:val="24"/>
          <w:highlight w:val="none"/>
        </w:rPr>
        <w:t>16.6竞争性磋商文件的副本、电子版须和正本保持一致。</w:t>
      </w:r>
      <w:r>
        <w:rPr>
          <w:rFonts w:hint="eastAsia" w:hAnsi="宋体" w:cs="宋体"/>
          <w:color w:val="auto"/>
          <w:highlight w:val="none"/>
        </w:rPr>
        <w:t>若正本、副本和电子版有不一致的内容，以正本为准。</w:t>
      </w:r>
    </w:p>
    <w:p w14:paraId="4ECE7AA5">
      <w:pPr>
        <w:keepNext/>
        <w:keepLines/>
        <w:spacing w:beforeLines="100" w:afterLines="50" w:line="360" w:lineRule="auto"/>
        <w:jc w:val="center"/>
        <w:outlineLvl w:val="2"/>
        <w:rPr>
          <w:rFonts w:hAnsi="宋体" w:cs="宋体"/>
          <w:b/>
          <w:color w:val="auto"/>
          <w:sz w:val="32"/>
          <w:szCs w:val="32"/>
          <w:highlight w:val="none"/>
        </w:rPr>
      </w:pPr>
      <w:bookmarkStart w:id="58" w:name="_Toc18686"/>
      <w:bookmarkStart w:id="59" w:name="_Toc28120"/>
      <w:bookmarkStart w:id="60" w:name="_Toc13194"/>
      <w:bookmarkStart w:id="61" w:name="_Toc12266"/>
      <w:bookmarkStart w:id="62" w:name="_Toc20799"/>
      <w:bookmarkStart w:id="63" w:name="_Toc20873"/>
      <w:r>
        <w:rPr>
          <w:rFonts w:hint="eastAsia" w:hAnsi="宋体" w:cs="宋体"/>
          <w:b/>
          <w:color w:val="auto"/>
          <w:sz w:val="32"/>
          <w:szCs w:val="32"/>
          <w:highlight w:val="none"/>
        </w:rPr>
        <w:t>四.竞争性磋商响应文件的递交</w:t>
      </w:r>
      <w:bookmarkEnd w:id="58"/>
      <w:bookmarkEnd w:id="59"/>
      <w:bookmarkEnd w:id="60"/>
      <w:bookmarkEnd w:id="61"/>
      <w:bookmarkEnd w:id="62"/>
      <w:bookmarkEnd w:id="63"/>
    </w:p>
    <w:p w14:paraId="7B0B077C">
      <w:pPr>
        <w:spacing w:line="360" w:lineRule="auto"/>
        <w:rPr>
          <w:rFonts w:hAnsi="宋体" w:cs="宋体"/>
          <w:b/>
          <w:color w:val="auto"/>
          <w:szCs w:val="24"/>
          <w:highlight w:val="none"/>
        </w:rPr>
      </w:pPr>
      <w:r>
        <w:rPr>
          <w:rFonts w:hint="eastAsia" w:hAnsi="宋体" w:cs="宋体"/>
          <w:b/>
          <w:color w:val="auto"/>
          <w:szCs w:val="24"/>
          <w:highlight w:val="none"/>
        </w:rPr>
        <w:t>17.竞争性磋商响应文件的密封和标记</w:t>
      </w:r>
    </w:p>
    <w:p w14:paraId="21BDAC9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6DB5DBF3">
      <w:pPr>
        <w:spacing w:line="360" w:lineRule="auto"/>
        <w:ind w:firstLine="480" w:firstLineChars="200"/>
        <w:rPr>
          <w:rFonts w:hAnsi="宋体" w:cs="宋体"/>
          <w:color w:val="auto"/>
          <w:szCs w:val="24"/>
          <w:highlight w:val="none"/>
        </w:rPr>
      </w:pPr>
      <w:r>
        <w:rPr>
          <w:rFonts w:hint="eastAsia" w:hAnsi="宋体" w:cs="宋体"/>
          <w:color w:val="auto"/>
          <w:highlight w:val="none"/>
        </w:rPr>
        <w:t>17.2供应商应将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p w14:paraId="7EA8BC2F">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外层包装请按以下要求标记：</w:t>
      </w:r>
    </w:p>
    <w:p w14:paraId="5AD868D3">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1) 磋商响应单位的全称；</w:t>
      </w:r>
    </w:p>
    <w:p w14:paraId="09FEAD03">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2) 磋商项目名称、项目编号；</w:t>
      </w:r>
    </w:p>
    <w:p w14:paraId="602C93EF">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3）正本或副本“请勿在＿＿＿＿＿(磋商时间)之前启封”。</w:t>
      </w:r>
    </w:p>
    <w:p w14:paraId="6C74B98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17.4如果供应商未对竞争性磋商响应文件按上述要求进行完好密封，由此产生的不利后果由供应商自行承担。</w:t>
      </w:r>
    </w:p>
    <w:p w14:paraId="3D032E12">
      <w:pPr>
        <w:spacing w:line="360" w:lineRule="auto"/>
        <w:rPr>
          <w:rFonts w:hAnsi="宋体" w:cs="宋体"/>
          <w:b/>
          <w:color w:val="auto"/>
          <w:szCs w:val="24"/>
          <w:highlight w:val="none"/>
        </w:rPr>
      </w:pPr>
      <w:r>
        <w:rPr>
          <w:rFonts w:hint="eastAsia" w:hAnsi="宋体" w:cs="宋体"/>
          <w:b/>
          <w:color w:val="auto"/>
          <w:szCs w:val="24"/>
          <w:highlight w:val="none"/>
        </w:rPr>
        <w:t>18．竞争性磋商响应文件的递交</w:t>
      </w:r>
    </w:p>
    <w:p w14:paraId="296F6D6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18.1供应商应按照竞争性磋商公告中规定的时间、地点，在规定的竞争性磋商响应文件递交截止时间前将全部竞争性磋商响应文件和磋商资料递交至采购代理机构接收人处。</w:t>
      </w:r>
    </w:p>
    <w:p w14:paraId="6B58D8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478F6E2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18.3无论供应商成交与否，其竞争性磋商响应文件恕不退还。</w:t>
      </w:r>
    </w:p>
    <w:p w14:paraId="6B5374D6">
      <w:pPr>
        <w:spacing w:line="360" w:lineRule="auto"/>
        <w:rPr>
          <w:rFonts w:hAnsi="宋体" w:cs="宋体"/>
          <w:b/>
          <w:color w:val="auto"/>
          <w:szCs w:val="24"/>
          <w:highlight w:val="none"/>
        </w:rPr>
      </w:pPr>
      <w:r>
        <w:rPr>
          <w:rFonts w:hint="eastAsia" w:hAnsi="宋体" w:cs="宋体"/>
          <w:b/>
          <w:color w:val="auto"/>
          <w:szCs w:val="24"/>
          <w:highlight w:val="none"/>
        </w:rPr>
        <w:t>19．递交的竞争性磋商响应文件</w:t>
      </w:r>
    </w:p>
    <w:p w14:paraId="221E574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19.1按照供应商须知的规定，采购代理机构将拒绝接受在规定的磋商截止时间后递交的任何竞争性磋商响应文件。</w:t>
      </w:r>
    </w:p>
    <w:p w14:paraId="76F034F6">
      <w:pPr>
        <w:spacing w:line="360" w:lineRule="auto"/>
        <w:rPr>
          <w:rFonts w:hAnsi="宋体" w:cs="宋体"/>
          <w:b/>
          <w:color w:val="auto"/>
          <w:szCs w:val="24"/>
          <w:highlight w:val="none"/>
        </w:rPr>
      </w:pPr>
      <w:r>
        <w:rPr>
          <w:rFonts w:hint="eastAsia" w:hAnsi="宋体" w:cs="宋体"/>
          <w:b/>
          <w:color w:val="auto"/>
          <w:szCs w:val="24"/>
          <w:highlight w:val="none"/>
        </w:rPr>
        <w:t>20．磋商的修改与撤回</w:t>
      </w:r>
    </w:p>
    <w:p w14:paraId="72ABB31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70100DB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20.2 供应商的修改或撤回或变动价格的通知应按本须知第17条的规定编制、密封、标记和递交。</w:t>
      </w:r>
    </w:p>
    <w:p w14:paraId="19B944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20.3 在磋商截止时间之后，供应商不得对其磋商响应文件做任何修改或撤回。</w:t>
      </w:r>
    </w:p>
    <w:p w14:paraId="4D74A7F4">
      <w:pPr>
        <w:keepNext/>
        <w:keepLines/>
        <w:spacing w:beforeLines="100" w:afterLines="50" w:line="360" w:lineRule="auto"/>
        <w:jc w:val="center"/>
        <w:outlineLvl w:val="2"/>
        <w:rPr>
          <w:rFonts w:hAnsi="宋体" w:cs="宋体"/>
          <w:b/>
          <w:color w:val="auto"/>
          <w:sz w:val="32"/>
          <w:szCs w:val="32"/>
          <w:highlight w:val="none"/>
        </w:rPr>
      </w:pPr>
      <w:bookmarkStart w:id="64" w:name="_Toc363474021"/>
      <w:bookmarkStart w:id="65" w:name="_Toc22043"/>
      <w:bookmarkStart w:id="66" w:name="_Toc13669"/>
      <w:bookmarkStart w:id="67" w:name="_Toc25852"/>
      <w:bookmarkStart w:id="68" w:name="_Toc363473976"/>
      <w:bookmarkStart w:id="69" w:name="_Toc4866"/>
      <w:bookmarkStart w:id="70" w:name="_Toc15436"/>
      <w:bookmarkStart w:id="71" w:name="_Toc403077643"/>
      <w:bookmarkStart w:id="72" w:name="_Toc30850"/>
      <w:r>
        <w:rPr>
          <w:rFonts w:hint="eastAsia" w:hAnsi="宋体" w:cs="宋体"/>
          <w:b/>
          <w:color w:val="auto"/>
          <w:sz w:val="32"/>
          <w:szCs w:val="32"/>
          <w:highlight w:val="none"/>
        </w:rPr>
        <w:t>五.磋商与评标</w:t>
      </w:r>
      <w:bookmarkEnd w:id="64"/>
      <w:bookmarkEnd w:id="65"/>
      <w:bookmarkEnd w:id="66"/>
      <w:bookmarkEnd w:id="67"/>
      <w:bookmarkEnd w:id="68"/>
      <w:bookmarkEnd w:id="69"/>
      <w:bookmarkEnd w:id="70"/>
      <w:bookmarkEnd w:id="71"/>
      <w:bookmarkEnd w:id="72"/>
    </w:p>
    <w:p w14:paraId="688393B9">
      <w:pPr>
        <w:spacing w:line="360" w:lineRule="auto"/>
        <w:rPr>
          <w:rFonts w:hAnsi="宋体" w:cs="宋体"/>
          <w:b/>
          <w:color w:val="auto"/>
          <w:szCs w:val="24"/>
          <w:highlight w:val="none"/>
        </w:rPr>
      </w:pPr>
      <w:r>
        <w:rPr>
          <w:rFonts w:hint="eastAsia" w:hAnsi="宋体" w:cs="宋体"/>
          <w:b/>
          <w:color w:val="auto"/>
          <w:szCs w:val="24"/>
          <w:highlight w:val="none"/>
        </w:rPr>
        <w:t>21.磋商大会</w:t>
      </w:r>
    </w:p>
    <w:p w14:paraId="3384C4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21.1 采购代理机构在规定的时间和地点组织竞争性磋商。磋商时所有供应商代表自愿参加，参加磋商的代表应签名报到以证明其出席。</w:t>
      </w:r>
    </w:p>
    <w:p w14:paraId="641C8345">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21.2采购代理机构将做好磋商记录，存档备查。</w:t>
      </w:r>
    </w:p>
    <w:p w14:paraId="188DD46B">
      <w:pPr>
        <w:spacing w:line="360" w:lineRule="auto"/>
        <w:ind w:firstLine="482" w:firstLineChars="200"/>
        <w:rPr>
          <w:rFonts w:hint="eastAsia" w:hAnsi="宋体" w:cs="宋体"/>
          <w:b/>
          <w:bCs/>
          <w:color w:val="auto"/>
          <w:szCs w:val="24"/>
          <w:highlight w:val="none"/>
          <w:lang w:val="en-US" w:eastAsia="zh-CN"/>
        </w:rPr>
      </w:pPr>
      <w:r>
        <w:rPr>
          <w:rFonts w:hint="eastAsia" w:hAnsi="宋体" w:cs="宋体"/>
          <w:b/>
          <w:bCs/>
          <w:color w:val="auto"/>
          <w:szCs w:val="24"/>
          <w:highlight w:val="none"/>
          <w:lang w:val="en-US" w:eastAsia="zh-CN"/>
        </w:rPr>
        <w:t>21.3开标后到场递交响应文件的供应商仅有两家的，本项目变更为竞争性谈判方式采购；</w:t>
      </w:r>
    </w:p>
    <w:p w14:paraId="0599AF54">
      <w:pPr>
        <w:spacing w:line="360" w:lineRule="auto"/>
        <w:ind w:firstLine="482" w:firstLineChars="200"/>
        <w:rPr>
          <w:rFonts w:hint="default" w:hAnsi="宋体" w:eastAsia="宋体" w:cs="宋体"/>
          <w:b/>
          <w:bCs/>
          <w:color w:val="auto"/>
          <w:szCs w:val="24"/>
          <w:highlight w:val="none"/>
          <w:lang w:val="en-US" w:eastAsia="zh-CN"/>
        </w:rPr>
      </w:pPr>
      <w:r>
        <w:rPr>
          <w:rFonts w:hint="eastAsia" w:hAnsi="宋体" w:cs="宋体"/>
          <w:b/>
          <w:bCs/>
          <w:color w:val="auto"/>
          <w:szCs w:val="24"/>
          <w:highlight w:val="none"/>
          <w:lang w:val="en-US" w:eastAsia="zh-CN"/>
        </w:rPr>
        <w:t>21.4开标后到场递交响应文件的供应商仅有一家的，本项目变更为单一来源采购方式采购。</w:t>
      </w:r>
    </w:p>
    <w:p w14:paraId="39105E2E">
      <w:pPr>
        <w:spacing w:line="360" w:lineRule="auto"/>
        <w:rPr>
          <w:rFonts w:hAnsi="宋体" w:cs="宋体"/>
          <w:b/>
          <w:color w:val="auto"/>
          <w:szCs w:val="24"/>
          <w:highlight w:val="none"/>
        </w:rPr>
      </w:pPr>
      <w:r>
        <w:rPr>
          <w:rFonts w:hint="eastAsia" w:hAnsi="宋体" w:cs="宋体"/>
          <w:b/>
          <w:color w:val="auto"/>
          <w:szCs w:val="24"/>
          <w:highlight w:val="none"/>
        </w:rPr>
        <w:t>22．评审程序</w:t>
      </w:r>
    </w:p>
    <w:p w14:paraId="61E0DBD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3A430B8E">
      <w:pPr>
        <w:spacing w:line="360" w:lineRule="auto"/>
        <w:rPr>
          <w:rFonts w:hAnsi="宋体" w:cs="宋体"/>
          <w:b/>
          <w:color w:val="auto"/>
          <w:szCs w:val="24"/>
          <w:highlight w:val="none"/>
        </w:rPr>
      </w:pPr>
      <w:r>
        <w:rPr>
          <w:rFonts w:hint="eastAsia" w:hAnsi="宋体" w:cs="宋体"/>
          <w:b/>
          <w:color w:val="auto"/>
          <w:szCs w:val="24"/>
          <w:highlight w:val="none"/>
        </w:rPr>
        <w:t>23．评审组织及评审原则</w:t>
      </w:r>
    </w:p>
    <w:p w14:paraId="124FDDAF">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23.1</w:t>
      </w:r>
      <w:r>
        <w:rPr>
          <w:rFonts w:hAnsi="宋体"/>
          <w:color w:val="auto"/>
          <w:szCs w:val="24"/>
          <w:highlight w:val="none"/>
        </w:rPr>
        <w:t>按照《中华人民共和国政府采购法》</w:t>
      </w:r>
      <w:r>
        <w:rPr>
          <w:rFonts w:hint="eastAsia" w:hAnsi="宋体"/>
          <w:color w:val="auto"/>
          <w:szCs w:val="24"/>
          <w:highlight w:val="none"/>
        </w:rPr>
        <w:t>及实施条例和</w:t>
      </w:r>
      <w:r>
        <w:rPr>
          <w:rFonts w:hAnsi="宋体"/>
          <w:color w:val="auto"/>
          <w:szCs w:val="24"/>
          <w:highlight w:val="none"/>
        </w:rPr>
        <w:t>关于印发《政府采购竞争性磋商采购方式管理暂行办法》的通知</w:t>
      </w:r>
      <w:r>
        <w:rPr>
          <w:rFonts w:hint="eastAsia" w:hAnsi="宋体"/>
          <w:color w:val="auto"/>
          <w:szCs w:val="24"/>
          <w:highlight w:val="none"/>
        </w:rPr>
        <w:t>（</w:t>
      </w:r>
      <w:r>
        <w:rPr>
          <w:rFonts w:hAnsi="宋体"/>
          <w:color w:val="auto"/>
          <w:szCs w:val="24"/>
          <w:highlight w:val="none"/>
        </w:rPr>
        <w:t>财库【2014】214号</w:t>
      </w:r>
      <w:r>
        <w:rPr>
          <w:rFonts w:hint="eastAsia" w:hAnsi="宋体"/>
          <w:color w:val="auto"/>
          <w:szCs w:val="24"/>
          <w:highlight w:val="none"/>
        </w:rPr>
        <w:t>）</w:t>
      </w:r>
      <w:r>
        <w:rPr>
          <w:rFonts w:hAnsi="宋体"/>
          <w:color w:val="auto"/>
          <w:szCs w:val="24"/>
          <w:highlight w:val="none"/>
        </w:rPr>
        <w:t>，依法组建</w:t>
      </w:r>
      <w:r>
        <w:rPr>
          <w:rFonts w:hint="eastAsia" w:hAnsi="宋体"/>
          <w:color w:val="auto"/>
          <w:szCs w:val="24"/>
          <w:highlight w:val="none"/>
        </w:rPr>
        <w:t>资格审查小组和磋商小组</w:t>
      </w:r>
      <w:r>
        <w:rPr>
          <w:rFonts w:hAnsi="宋体"/>
          <w:color w:val="auto"/>
          <w:szCs w:val="24"/>
          <w:highlight w:val="none"/>
        </w:rPr>
        <w:t>。</w:t>
      </w:r>
      <w:r>
        <w:rPr>
          <w:rFonts w:hint="eastAsia" w:hAnsi="宋体"/>
          <w:color w:val="auto"/>
          <w:szCs w:val="24"/>
          <w:highlight w:val="none"/>
        </w:rPr>
        <w:t>资格审查小组由采购人代表和代理机构代表组成，成员人数应当为3人以上单数。磋商小组由采购人代表和评审专家组成，成员人数应当为3人以上单数，其中采购人代表须持有授权书。磋商小组</w:t>
      </w:r>
      <w:r>
        <w:rPr>
          <w:rFonts w:hAnsi="宋体"/>
          <w:color w:val="auto"/>
          <w:szCs w:val="24"/>
          <w:highlight w:val="none"/>
        </w:rPr>
        <w:t>按照</w:t>
      </w:r>
      <w:r>
        <w:rPr>
          <w:rFonts w:hint="eastAsia" w:hAnsi="宋体"/>
          <w:color w:val="auto"/>
          <w:szCs w:val="24"/>
          <w:highlight w:val="none"/>
        </w:rPr>
        <w:t>竞争性磋商</w:t>
      </w:r>
      <w:r>
        <w:rPr>
          <w:rFonts w:hAnsi="宋体"/>
          <w:color w:val="auto"/>
          <w:szCs w:val="24"/>
          <w:highlight w:val="none"/>
        </w:rPr>
        <w:t>文件规定的</w:t>
      </w:r>
      <w:r>
        <w:rPr>
          <w:rFonts w:hint="eastAsia" w:hAnsi="宋体"/>
          <w:color w:val="auto"/>
          <w:szCs w:val="24"/>
          <w:highlight w:val="none"/>
        </w:rPr>
        <w:t>评审</w:t>
      </w:r>
      <w:r>
        <w:rPr>
          <w:rFonts w:hAnsi="宋体"/>
          <w:color w:val="auto"/>
          <w:szCs w:val="24"/>
          <w:highlight w:val="none"/>
        </w:rPr>
        <w:t>方法独立进行</w:t>
      </w:r>
      <w:r>
        <w:rPr>
          <w:rFonts w:hint="eastAsia" w:hAnsi="宋体"/>
          <w:color w:val="auto"/>
          <w:szCs w:val="24"/>
          <w:highlight w:val="none"/>
        </w:rPr>
        <w:t>评审</w:t>
      </w:r>
      <w:r>
        <w:rPr>
          <w:rFonts w:hAnsi="宋体"/>
          <w:color w:val="auto"/>
          <w:szCs w:val="24"/>
          <w:highlight w:val="none"/>
        </w:rPr>
        <w:t>工作</w:t>
      </w:r>
      <w:r>
        <w:rPr>
          <w:rFonts w:hint="eastAsia" w:hAnsi="宋体" w:cs="宋体"/>
          <w:color w:val="auto"/>
          <w:szCs w:val="24"/>
          <w:highlight w:val="none"/>
        </w:rPr>
        <w:t>。</w:t>
      </w:r>
    </w:p>
    <w:p w14:paraId="0560039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23.2竞争性磋商文件和竞争性磋商响应文件是评审的依据。在评审中，不得改变竞争性磋商文件中规定的评审标准、方法和成交条件。</w:t>
      </w:r>
    </w:p>
    <w:p w14:paraId="09ED7D6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5DCDE2A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23.4如果供应商在澄清规定期限内，未能答复或拒绝答复磋商小组提出的澄清要求，将由磋商小组根据其竞争性磋商响应文件按最大风险进行评审。</w:t>
      </w:r>
    </w:p>
    <w:p w14:paraId="13A8C06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23.5磋商过程中的实质性变动：</w:t>
      </w:r>
    </w:p>
    <w:p w14:paraId="394604D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3514371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23.5.2对竞争性磋商文件做出的实质性变动是磋商文件的有效组成部分，磋商小组应当及时以书面形式通知所有参加磋商的供应商。</w:t>
      </w:r>
    </w:p>
    <w:p w14:paraId="4AB278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23.6竞争性磋商响应文件的初审（含资格性检查和符合性检查）</w:t>
      </w:r>
    </w:p>
    <w:p w14:paraId="5C141E5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23.6.1磋商小组将审查竞争性磋商响应文件是否完整、资格证明文件是否齐全，磋商保证金是否合格、有无计算上的错误等。</w:t>
      </w:r>
    </w:p>
    <w:p w14:paraId="45921A5B">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23.6.2计算错误将按以下方法更正：</w:t>
      </w:r>
    </w:p>
    <w:p w14:paraId="19A6A9E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2E838D9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（2）磋商响应文件的大写金额和小写金额不一致的，以大写金额为准；</w:t>
      </w:r>
    </w:p>
    <w:p w14:paraId="5BF93EF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（3）单价金额小数点或者百分比有明显错位的，以单独密封的报价一览表的总价为准，并修改单价；</w:t>
      </w:r>
    </w:p>
    <w:p w14:paraId="2749A0A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（4）总价金额与按单价汇总金额不一致的，以单价金额计算结果为准。</w:t>
      </w:r>
    </w:p>
    <w:p w14:paraId="6F99B6D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按上述修正的顺序和方法调整的报价应对供应商具有约束力。如果供应商不接受修正后的价格，其响应文件将按无效响应处理。</w:t>
      </w:r>
    </w:p>
    <w:p w14:paraId="3C7903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23.6.3对于竞争性磋商响应文件中明显的标点符号错误或不构成实质性偏差的不正规、不一致或不规则，采购人可以接受。</w:t>
      </w:r>
    </w:p>
    <w:p w14:paraId="4121109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1C85A4D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23.6.5实质上没有响应竞争性磋商文件要求的磋商将被拒绝。供应商不得通过修正或撤销不合要求的偏离从而使其磋商成为实质性响应的磋商。</w:t>
      </w:r>
      <w:r>
        <w:rPr>
          <w:rFonts w:hint="eastAsia" w:hAnsi="宋体" w:cs="宋体"/>
          <w:b/>
          <w:bCs/>
          <w:color w:val="auto"/>
          <w:szCs w:val="24"/>
          <w:highlight w:val="none"/>
        </w:rPr>
        <w:t>如发现下列情况之一的，其磋商将构成非实质性响应，按无效磋商处理：</w:t>
      </w:r>
    </w:p>
    <w:p w14:paraId="3058CF40">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1）没有按照竞争性磋商文件要求提供的竞争性磋商响应文件或竞争性磋商响应文件构成有重大缺项；</w:t>
      </w:r>
    </w:p>
    <w:p w14:paraId="5C13D539">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2）竞争性磋商响应文件未按竞争性磋商文件要求密封、签署、盖章的；</w:t>
      </w:r>
    </w:p>
    <w:p w14:paraId="70939F8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3）供应商未提交有效的磋商保证金或金额不足的、磋商保证金形式不符合竞争性磋商文件要求的；</w:t>
      </w:r>
    </w:p>
    <w:p w14:paraId="647876C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4）资格证明文件不全的或无效的，或不符合国家规定的；</w:t>
      </w:r>
    </w:p>
    <w:p w14:paraId="39F18A5F">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5）竞争性磋商响应文件无供应商公章、无法定代表人签字或签字人无法定代表人有效委托书的；</w:t>
      </w:r>
    </w:p>
    <w:p w14:paraId="13220E69">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6）</w:t>
      </w:r>
      <w:r>
        <w:rPr>
          <w:rFonts w:hint="eastAsia" w:hAnsi="宋体" w:cs="宋体"/>
          <w:b/>
          <w:bCs/>
          <w:color w:val="auto"/>
          <w:spacing w:val="-6"/>
          <w:szCs w:val="24"/>
          <w:highlight w:val="none"/>
        </w:rPr>
        <w:t>无磋商有效期或有效期达不到竞争性磋商文件要求的</w:t>
      </w:r>
      <w:r>
        <w:rPr>
          <w:rFonts w:hint="eastAsia" w:hAnsi="宋体" w:cs="宋体"/>
          <w:b/>
          <w:bCs/>
          <w:color w:val="auto"/>
          <w:szCs w:val="24"/>
          <w:highlight w:val="none"/>
        </w:rPr>
        <w:t>；</w:t>
      </w:r>
    </w:p>
    <w:p w14:paraId="698DF9A6">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7）供应商在同一份竞争性磋商响应文件中，有两个或多个报价的；</w:t>
      </w:r>
    </w:p>
    <w:p w14:paraId="4F465DF1">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8）存在有重大缺漏项和重大偏离的；</w:t>
      </w:r>
    </w:p>
    <w:p w14:paraId="1C8C044D">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7355132C">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10）磋商总报价低于成本或者高于竞争性磋商文件公布的采购预算的。</w:t>
      </w:r>
    </w:p>
    <w:p w14:paraId="79B5A6E2">
      <w:pPr>
        <w:pStyle w:val="19"/>
        <w:spacing w:before="0" w:beforeAutospacing="0" w:after="0" w:afterAutospacing="0" w:line="500" w:lineRule="exact"/>
        <w:ind w:firstLine="482" w:firstLineChars="200"/>
        <w:jc w:val="both"/>
        <w:rPr>
          <w:rFonts w:cs="宋体"/>
          <w:b/>
          <w:bCs/>
          <w:color w:val="auto"/>
          <w:highlight w:val="none"/>
        </w:rPr>
      </w:pPr>
      <w:r>
        <w:rPr>
          <w:rFonts w:hint="eastAsia" w:cs="宋体"/>
          <w:b/>
          <w:bCs/>
          <w:color w:val="auto"/>
          <w:highlight w:val="none"/>
        </w:rPr>
        <w:t>11）竞争性磋商响应文件含有采购人不能接受的附加条件的；</w:t>
      </w:r>
    </w:p>
    <w:p w14:paraId="6FAD219E">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12）竞争性磋商响应文件不符合法律法规要求的；</w:t>
      </w:r>
    </w:p>
    <w:p w14:paraId="5B59D88F">
      <w:pPr>
        <w:pStyle w:val="19"/>
        <w:spacing w:before="0" w:beforeAutospacing="0" w:after="0" w:afterAutospacing="0" w:line="500" w:lineRule="exact"/>
        <w:ind w:firstLine="482" w:firstLineChars="200"/>
        <w:jc w:val="both"/>
        <w:rPr>
          <w:rFonts w:cs="宋体"/>
          <w:color w:val="auto"/>
          <w:highlight w:val="none"/>
        </w:rPr>
      </w:pPr>
      <w:r>
        <w:rPr>
          <w:rFonts w:hint="eastAsia" w:cs="宋体"/>
          <w:b/>
          <w:bCs/>
          <w:color w:val="auto"/>
          <w:highlight w:val="none"/>
        </w:rPr>
        <w:t>13）供应商被列入失信被执行人、重大税收违法案件当事人名单、政府采购严重违法失信行为记录名单及其他不符合《中华人民共和国政府采购法》第二十二条规定条件。</w:t>
      </w:r>
    </w:p>
    <w:p w14:paraId="715251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23.7竞争性磋商响应文件的详细评审</w:t>
      </w:r>
    </w:p>
    <w:p w14:paraId="6950583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23.7.1磋商小组将按照本须知第22.6.4条规定，只对确定为实质性响应竞争性磋商文件要求的磋商响应文件进行详细评审。</w:t>
      </w:r>
    </w:p>
    <w:p w14:paraId="342EBB9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23.7.2详细评审按照“供应商须知前附表”的评审方法进行。</w:t>
      </w:r>
    </w:p>
    <w:p w14:paraId="70AE23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23.8成交候选人的确定</w:t>
      </w:r>
    </w:p>
    <w:p w14:paraId="2E8A21F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磋商小组完成评审后，向采购人提出书面评审，并推荐1-3名成交候选人，标明排列顺序。</w:t>
      </w:r>
    </w:p>
    <w:p w14:paraId="1B3237CE">
      <w:pPr>
        <w:spacing w:line="360" w:lineRule="auto"/>
        <w:rPr>
          <w:rFonts w:hAnsi="宋体" w:cs="宋体"/>
          <w:b/>
          <w:color w:val="auto"/>
          <w:szCs w:val="24"/>
          <w:highlight w:val="none"/>
        </w:rPr>
      </w:pPr>
      <w:r>
        <w:rPr>
          <w:rFonts w:hint="eastAsia" w:hAnsi="宋体" w:cs="宋体"/>
          <w:b/>
          <w:color w:val="auto"/>
          <w:szCs w:val="24"/>
          <w:highlight w:val="none"/>
        </w:rPr>
        <w:t>24．评审过程的保密</w:t>
      </w:r>
    </w:p>
    <w:p w14:paraId="73D1F99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磋商小组成员和与评审活动有关的工作人员不得泄露有关竞争性磋商响应文件的评审和比较、成交候选人的推荐以及与评审有关的其他情况。</w:t>
      </w:r>
    </w:p>
    <w:p w14:paraId="5FABAAEA">
      <w:pPr>
        <w:jc w:val="left"/>
        <w:rPr>
          <w:rFonts w:hAnsi="宋体" w:cs="宋体"/>
          <w:b/>
          <w:color w:val="auto"/>
          <w:szCs w:val="24"/>
          <w:highlight w:val="none"/>
        </w:rPr>
      </w:pPr>
      <w:r>
        <w:rPr>
          <w:rFonts w:hint="eastAsia" w:hAnsi="宋体" w:cs="宋体"/>
          <w:b/>
          <w:color w:val="auto"/>
          <w:szCs w:val="24"/>
          <w:highlight w:val="none"/>
        </w:rPr>
        <w:t>25．评审方法</w:t>
      </w:r>
    </w:p>
    <w:p w14:paraId="31C79E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荐1-3名成交候选人。</w:t>
      </w:r>
    </w:p>
    <w:p w14:paraId="0AA06E22">
      <w:pPr>
        <w:keepNext/>
        <w:keepLines/>
        <w:spacing w:beforeLines="100" w:afterLines="50" w:line="360" w:lineRule="auto"/>
        <w:jc w:val="center"/>
        <w:outlineLvl w:val="2"/>
        <w:rPr>
          <w:rFonts w:hAnsi="宋体" w:cs="宋体"/>
          <w:b/>
          <w:color w:val="auto"/>
          <w:sz w:val="32"/>
          <w:szCs w:val="32"/>
          <w:highlight w:val="none"/>
        </w:rPr>
      </w:pPr>
      <w:bookmarkStart w:id="73" w:name="_Toc29146"/>
      <w:bookmarkStart w:id="74" w:name="_Toc24420"/>
      <w:bookmarkStart w:id="75" w:name="_Toc15100"/>
      <w:bookmarkStart w:id="76" w:name="_Toc5273"/>
      <w:bookmarkStart w:id="77" w:name="_Toc7759"/>
      <w:bookmarkStart w:id="78" w:name="_Toc29694"/>
      <w:r>
        <w:rPr>
          <w:rFonts w:hint="eastAsia" w:hAnsi="宋体" w:cs="宋体"/>
          <w:b/>
          <w:color w:val="auto"/>
          <w:sz w:val="32"/>
          <w:szCs w:val="32"/>
          <w:highlight w:val="none"/>
        </w:rPr>
        <w:t>六.成交、通知与签约</w:t>
      </w:r>
      <w:bookmarkEnd w:id="73"/>
      <w:bookmarkEnd w:id="74"/>
      <w:bookmarkEnd w:id="75"/>
      <w:bookmarkEnd w:id="76"/>
      <w:bookmarkEnd w:id="77"/>
      <w:bookmarkEnd w:id="78"/>
    </w:p>
    <w:p w14:paraId="0AB47BBD">
      <w:pPr>
        <w:spacing w:line="360" w:lineRule="auto"/>
        <w:rPr>
          <w:rFonts w:hAnsi="宋体" w:cs="宋体"/>
          <w:b/>
          <w:color w:val="auto"/>
          <w:szCs w:val="24"/>
          <w:highlight w:val="none"/>
        </w:rPr>
      </w:pPr>
      <w:r>
        <w:rPr>
          <w:rFonts w:hint="eastAsia" w:hAnsi="宋体" w:cs="宋体"/>
          <w:b/>
          <w:color w:val="auto"/>
          <w:szCs w:val="24"/>
          <w:highlight w:val="none"/>
        </w:rPr>
        <w:t>26．成交程序</w:t>
      </w:r>
    </w:p>
    <w:p w14:paraId="6247C12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26.1磋商小组根据评审方法的规定对供应商进行评审排序，推荐1-3名成交候选人，作为评审结果。评审结果由全体磋商小组成员签字确认。</w:t>
      </w:r>
    </w:p>
    <w:p w14:paraId="675DB37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26.2采购人根据磋商报告中推荐的成交候选人排列顺序，确定排名第一的为成交供应商。</w:t>
      </w:r>
    </w:p>
    <w:p w14:paraId="40B65E7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41C0C7B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26.4采购人也可以授权磋商小组评审后直接确定成交供应商。</w:t>
      </w:r>
    </w:p>
    <w:p w14:paraId="19692BB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26.5成交供应商确定之后，成交结果将在财政部门指定的政府采购信息发布媒体上公告。</w:t>
      </w:r>
    </w:p>
    <w:p w14:paraId="27AE075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26.6供应商或者其他利害关系人对评审结果有异议的，应当在法律规定的时间内提出。</w:t>
      </w:r>
    </w:p>
    <w:p w14:paraId="77687630">
      <w:pPr>
        <w:spacing w:line="360" w:lineRule="auto"/>
        <w:rPr>
          <w:rFonts w:hAnsi="宋体" w:cs="宋体"/>
          <w:b/>
          <w:color w:val="auto"/>
          <w:szCs w:val="24"/>
          <w:highlight w:val="none"/>
        </w:rPr>
      </w:pPr>
      <w:r>
        <w:rPr>
          <w:rFonts w:hint="eastAsia" w:hAnsi="宋体" w:cs="宋体"/>
          <w:b/>
          <w:color w:val="auto"/>
          <w:szCs w:val="24"/>
          <w:highlight w:val="none"/>
        </w:rPr>
        <w:t>27．成交通知</w:t>
      </w:r>
    </w:p>
    <w:p w14:paraId="6634FE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27.1采购代理机构向成交供应商发出《成交通知书》。</w:t>
      </w:r>
      <w:r>
        <w:rPr>
          <w:rFonts w:hint="eastAsia" w:hAnsi="宋体" w:cs="宋体"/>
          <w:b/>
          <w:bCs/>
          <w:color w:val="auto"/>
          <w:szCs w:val="24"/>
          <w:highlight w:val="none"/>
        </w:rPr>
        <w:t>成交供应商领取成交通知书时须携带法定代表人授权书及加盖单位公章的被授权人身份证复印件。</w:t>
      </w:r>
    </w:p>
    <w:p w14:paraId="1B418F7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27.2成交通知书对采购人和成交供应商具有同等法律效力。成交通知书发出之后，采购人改变成交结果，或者成交供应商放弃成交，应当承担相应的法律责任。</w:t>
      </w:r>
    </w:p>
    <w:p w14:paraId="799407AC">
      <w:pPr>
        <w:spacing w:line="360" w:lineRule="auto"/>
        <w:rPr>
          <w:rFonts w:hAnsi="宋体" w:cs="宋体"/>
          <w:b/>
          <w:color w:val="auto"/>
          <w:szCs w:val="24"/>
          <w:highlight w:val="none"/>
        </w:rPr>
      </w:pPr>
      <w:r>
        <w:rPr>
          <w:rFonts w:hint="eastAsia" w:hAnsi="宋体" w:cs="宋体"/>
          <w:b/>
          <w:color w:val="auto"/>
          <w:szCs w:val="24"/>
          <w:highlight w:val="none"/>
        </w:rPr>
        <w:t>28. 采购合同的签订</w:t>
      </w:r>
    </w:p>
    <w:p w14:paraId="408CA2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28.1采购人应当自成交通知书发出之日起</w:t>
      </w:r>
      <w:r>
        <w:rPr>
          <w:rFonts w:hint="eastAsia" w:hAnsi="宋体" w:cs="宋体"/>
          <w:color w:val="auto"/>
          <w:szCs w:val="24"/>
          <w:highlight w:val="none"/>
          <w:lang w:val="en-US" w:eastAsia="zh-CN"/>
        </w:rPr>
        <w:t>二十五</w:t>
      </w:r>
      <w:r>
        <w:rPr>
          <w:rFonts w:hint="eastAsia" w:hAnsi="宋体" w:cs="宋体"/>
          <w:color w:val="auto"/>
          <w:szCs w:val="24"/>
          <w:highlight w:val="none"/>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B15A2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28.2采购人自采购合同签订之日起七个工作日内，将采购合同副本报同级人民政府财政部门备案。</w:t>
      </w:r>
    </w:p>
    <w:p w14:paraId="78D82F4B">
      <w:pPr>
        <w:spacing w:line="360" w:lineRule="auto"/>
        <w:rPr>
          <w:rFonts w:hAnsi="宋体" w:cs="宋体"/>
          <w:b/>
          <w:color w:val="auto"/>
          <w:szCs w:val="24"/>
          <w:highlight w:val="none"/>
        </w:rPr>
      </w:pPr>
      <w:r>
        <w:rPr>
          <w:rFonts w:hint="eastAsia" w:hAnsi="宋体" w:cs="宋体"/>
          <w:b/>
          <w:color w:val="auto"/>
          <w:szCs w:val="24"/>
          <w:highlight w:val="none"/>
        </w:rPr>
        <w:t>29．成交代理服务费</w:t>
      </w:r>
      <w:r>
        <w:rPr>
          <w:rFonts w:hint="eastAsia" w:hAnsi="宋体" w:cs="宋体"/>
          <w:color w:val="auto"/>
          <w:szCs w:val="24"/>
          <w:highlight w:val="none"/>
        </w:rPr>
        <w:t xml:space="preserve"> </w:t>
      </w:r>
    </w:p>
    <w:p w14:paraId="231934D0">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参照《国家计委关于印发&lt;招标代理服务收费管理暂行办法&gt;的通知》（计价格[2002]1980号）规定收取，本项目招标代理服务费定额收取3000.00元。成交供应商在领取成交通知书前，须向采购代理机构一次性支付代理服务费。</w:t>
      </w:r>
    </w:p>
    <w:p w14:paraId="0CBBC891">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p w14:paraId="2E319217">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代理服务费转账账户：</w:t>
      </w:r>
    </w:p>
    <w:p w14:paraId="19A3D154">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1、采购代理机构开户名称: 陕西至诚项目管理集团有限公司</w:t>
      </w:r>
    </w:p>
    <w:p w14:paraId="4F10F33C">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2、开户行名称：中国建设银行股份有限公司西安高新技术产业开发区支行</w:t>
      </w:r>
    </w:p>
    <w:p w14:paraId="6D8EC207">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3、账号：61050192090000002152。</w:t>
      </w:r>
    </w:p>
    <w:p w14:paraId="6B0D706E">
      <w:pPr>
        <w:numPr>
          <w:ilvl w:val="0"/>
          <w:numId w:val="2"/>
        </w:numPr>
        <w:spacing w:line="600" w:lineRule="exact"/>
        <w:rPr>
          <w:rFonts w:hAnsi="宋体" w:cs="宋体"/>
          <w:b/>
          <w:bCs/>
          <w:color w:val="auto"/>
          <w:szCs w:val="24"/>
          <w:highlight w:val="none"/>
        </w:rPr>
      </w:pPr>
      <w:r>
        <w:rPr>
          <w:rFonts w:hint="eastAsia" w:hAnsi="宋体" w:cs="宋体"/>
          <w:b/>
          <w:bCs/>
          <w:color w:val="auto"/>
          <w:szCs w:val="24"/>
          <w:highlight w:val="none"/>
        </w:rPr>
        <w:t>质疑</w:t>
      </w:r>
    </w:p>
    <w:p w14:paraId="4B45F489">
      <w:pPr>
        <w:spacing w:line="500" w:lineRule="exact"/>
        <w:ind w:right="12" w:firstLine="480"/>
        <w:rPr>
          <w:rFonts w:hAnsi="宋体" w:cs="宋体"/>
          <w:color w:val="auto"/>
          <w:szCs w:val="24"/>
          <w:highlight w:val="none"/>
        </w:rPr>
      </w:pPr>
      <w:r>
        <w:rPr>
          <w:rFonts w:hint="eastAsia" w:hAnsi="宋体" w:cs="宋体"/>
          <w:color w:val="auto"/>
          <w:szCs w:val="24"/>
          <w:highlight w:val="none"/>
        </w:rPr>
        <w:t>30.1供应商认为磋商文件、采购过程、成交结果使自己的权益受到损害的，可以在知道或者应知其权益受到损害之日起7个工作日内，以书面形式向采购人、采购代理机构提出质疑。</w:t>
      </w:r>
    </w:p>
    <w:p w14:paraId="78B2289F">
      <w:pPr>
        <w:spacing w:line="500" w:lineRule="exact"/>
        <w:ind w:right="12" w:firstLine="480"/>
        <w:rPr>
          <w:rStyle w:val="25"/>
          <w:rFonts w:hAnsi="宋体" w:cs="宋体"/>
          <w:bCs w:val="0"/>
          <w:color w:val="auto"/>
          <w:szCs w:val="24"/>
          <w:highlight w:val="none"/>
          <w:shd w:val="clear" w:color="auto" w:fill="FFFFFF"/>
        </w:rPr>
      </w:pPr>
      <w:r>
        <w:rPr>
          <w:rFonts w:hint="eastAsia" w:hAnsi="宋体" w:cs="宋体"/>
          <w:color w:val="auto"/>
          <w:szCs w:val="24"/>
          <w:highlight w:val="none"/>
        </w:rPr>
        <w:t>30.2供应商必须在法定质疑期内一次性提出针对同一采购程序环节的质疑。</w:t>
      </w:r>
    </w:p>
    <w:p w14:paraId="1E44F10C">
      <w:pPr>
        <w:spacing w:line="500" w:lineRule="exact"/>
        <w:ind w:left="3" w:firstLine="518" w:firstLineChars="216"/>
        <w:rPr>
          <w:rStyle w:val="25"/>
          <w:rFonts w:hAnsi="宋体" w:cs="宋体"/>
          <w:b w:val="0"/>
          <w:color w:val="auto"/>
          <w:szCs w:val="24"/>
          <w:highlight w:val="none"/>
          <w:shd w:val="clear" w:color="auto" w:fill="FFFFFF"/>
        </w:rPr>
      </w:pPr>
      <w:r>
        <w:rPr>
          <w:rStyle w:val="25"/>
          <w:rFonts w:hint="eastAsia" w:hAnsi="宋体" w:cs="宋体"/>
          <w:b w:val="0"/>
          <w:color w:val="auto"/>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85C91B3">
      <w:pPr>
        <w:spacing w:line="500" w:lineRule="exact"/>
        <w:ind w:left="3" w:firstLine="518" w:firstLineChars="216"/>
        <w:rPr>
          <w:rStyle w:val="25"/>
          <w:rFonts w:hAnsi="宋体" w:cs="宋体"/>
          <w:b w:val="0"/>
          <w:color w:val="auto"/>
          <w:szCs w:val="24"/>
          <w:highlight w:val="none"/>
          <w:shd w:val="clear" w:color="auto" w:fill="FFFFFF"/>
        </w:rPr>
      </w:pPr>
      <w:r>
        <w:rPr>
          <w:rStyle w:val="25"/>
          <w:rFonts w:hint="eastAsia" w:hAnsi="宋体" w:cs="宋体"/>
          <w:b w:val="0"/>
          <w:color w:val="auto"/>
          <w:szCs w:val="24"/>
          <w:highlight w:val="none"/>
          <w:shd w:val="clear" w:color="auto" w:fill="FFFFFF"/>
        </w:rPr>
        <w:t>30.4以联合体形式参加政府采购活动的，其质疑应当由组成联合体的所有供应商共同提出。</w:t>
      </w:r>
    </w:p>
    <w:p w14:paraId="5131905E">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30.5供应商提出质疑应当提交质疑函和必要的证明材料。质疑函应当包括下列内容：</w:t>
      </w:r>
    </w:p>
    <w:p w14:paraId="56588463">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30.5.1供应商的姓名或者名称、地址、邮编、联系人及联系电话；</w:t>
      </w:r>
    </w:p>
    <w:p w14:paraId="5331BEE6">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30.5.2质疑项目的名称、编号；</w:t>
      </w:r>
    </w:p>
    <w:p w14:paraId="6814B3D5">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30.5.3具体、明确的质疑事项和与质疑事项相关的请求；</w:t>
      </w:r>
    </w:p>
    <w:p w14:paraId="01A0F197">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30.5.4事实依据；</w:t>
      </w:r>
    </w:p>
    <w:p w14:paraId="200C348A">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30.5.5必要的法律依据；</w:t>
      </w:r>
    </w:p>
    <w:p w14:paraId="0559B8B6">
      <w:pPr>
        <w:spacing w:line="500" w:lineRule="exact"/>
        <w:ind w:right="12" w:firstLine="480" w:firstLineChars="200"/>
        <w:rPr>
          <w:rStyle w:val="25"/>
          <w:rFonts w:hAnsi="宋体" w:cs="宋体"/>
          <w:b w:val="0"/>
          <w:color w:val="auto"/>
          <w:szCs w:val="24"/>
          <w:highlight w:val="none"/>
          <w:shd w:val="clear" w:color="auto" w:fill="FFFFFF"/>
        </w:rPr>
      </w:pPr>
      <w:r>
        <w:rPr>
          <w:rFonts w:hint="eastAsia" w:hAnsi="宋体" w:cs="宋体"/>
          <w:color w:val="auto"/>
          <w:szCs w:val="24"/>
          <w:highlight w:val="none"/>
        </w:rPr>
        <w:t>30.5.6提出质疑的日期。</w:t>
      </w:r>
    </w:p>
    <w:p w14:paraId="12BB8839">
      <w:pPr>
        <w:widowControl/>
        <w:spacing w:line="360" w:lineRule="auto"/>
        <w:ind w:firstLine="480" w:firstLineChars="200"/>
        <w:rPr>
          <w:rFonts w:hAnsi="宋体" w:cs="宋体"/>
          <w:color w:val="auto"/>
          <w:highlight w:val="none"/>
        </w:rPr>
      </w:pPr>
      <w:r>
        <w:rPr>
          <w:rFonts w:hint="eastAsia" w:hAnsi="宋体" w:cs="宋体"/>
          <w:color w:val="auto"/>
          <w:highlight w:val="none"/>
        </w:rPr>
        <w:t>30.6有下列情形之一的，属于无效质疑，采购代理机构和采购人不予受理：</w:t>
      </w:r>
    </w:p>
    <w:p w14:paraId="22BB598E">
      <w:pPr>
        <w:widowControl/>
        <w:spacing w:line="360" w:lineRule="auto"/>
        <w:ind w:firstLine="480" w:firstLineChars="200"/>
        <w:rPr>
          <w:rFonts w:hAnsi="宋体" w:cs="宋体"/>
          <w:color w:val="auto"/>
          <w:highlight w:val="none"/>
        </w:rPr>
      </w:pPr>
      <w:r>
        <w:rPr>
          <w:rFonts w:hint="eastAsia" w:hAnsi="宋体" w:cs="宋体"/>
          <w:color w:val="auto"/>
          <w:highlight w:val="none"/>
        </w:rPr>
        <w:t>30.6.1质疑供应商不是参与本次政府采购项目的供应商；</w:t>
      </w:r>
    </w:p>
    <w:p w14:paraId="58075677">
      <w:pPr>
        <w:widowControl/>
        <w:spacing w:line="360" w:lineRule="auto"/>
        <w:ind w:firstLine="480" w:firstLineChars="200"/>
        <w:rPr>
          <w:rFonts w:hAnsi="宋体" w:cs="宋体"/>
          <w:color w:val="auto"/>
          <w:highlight w:val="none"/>
        </w:rPr>
      </w:pPr>
      <w:r>
        <w:rPr>
          <w:rFonts w:hint="eastAsia" w:hAnsi="宋体" w:cs="宋体"/>
          <w:color w:val="auto"/>
          <w:highlight w:val="none"/>
        </w:rPr>
        <w:t>30.6.2质疑供应商与质疑事项不存在利害关系的；</w:t>
      </w:r>
    </w:p>
    <w:p w14:paraId="23E33EA5">
      <w:pPr>
        <w:widowControl/>
        <w:spacing w:line="360" w:lineRule="auto"/>
        <w:ind w:firstLine="480" w:firstLineChars="200"/>
        <w:rPr>
          <w:rFonts w:hAnsi="宋体" w:cs="宋体"/>
          <w:color w:val="auto"/>
          <w:highlight w:val="none"/>
        </w:rPr>
      </w:pPr>
      <w:r>
        <w:rPr>
          <w:rFonts w:hint="eastAsia" w:hAnsi="宋体" w:cs="宋体"/>
          <w:color w:val="auto"/>
          <w:highlight w:val="none"/>
        </w:rPr>
        <w:t>30.6.3未在法定期限内提出质疑的；</w:t>
      </w:r>
    </w:p>
    <w:p w14:paraId="536720BB">
      <w:pPr>
        <w:widowControl/>
        <w:spacing w:line="360" w:lineRule="auto"/>
        <w:ind w:firstLine="480" w:firstLineChars="200"/>
        <w:rPr>
          <w:rFonts w:hAnsi="宋体" w:cs="宋体"/>
          <w:color w:val="auto"/>
          <w:highlight w:val="none"/>
        </w:rPr>
      </w:pPr>
      <w:r>
        <w:rPr>
          <w:rFonts w:hint="eastAsia" w:hAnsi="宋体" w:cs="宋体"/>
          <w:color w:val="auto"/>
          <w:highlight w:val="none"/>
        </w:rPr>
        <w:t>30.6.4质疑未以书面形式提出，或质疑函主要内容构成不完整的；</w:t>
      </w:r>
    </w:p>
    <w:p w14:paraId="4651AB30">
      <w:pPr>
        <w:widowControl/>
        <w:spacing w:line="360" w:lineRule="auto"/>
        <w:ind w:firstLine="480" w:firstLineChars="200"/>
        <w:rPr>
          <w:rFonts w:hAnsi="宋体" w:cs="宋体"/>
          <w:color w:val="auto"/>
          <w:highlight w:val="none"/>
        </w:rPr>
      </w:pPr>
      <w:r>
        <w:rPr>
          <w:rFonts w:hint="eastAsia" w:hAnsi="宋体" w:cs="宋体"/>
          <w:color w:val="auto"/>
          <w:highlight w:val="none"/>
        </w:rPr>
        <w:t>30.6.5应当提交授权书而未提交的；</w:t>
      </w:r>
    </w:p>
    <w:p w14:paraId="29FD2410">
      <w:pPr>
        <w:widowControl/>
        <w:spacing w:line="360" w:lineRule="auto"/>
        <w:ind w:firstLine="480" w:firstLineChars="200"/>
        <w:rPr>
          <w:rFonts w:hAnsi="宋体" w:cs="宋体"/>
          <w:color w:val="auto"/>
          <w:highlight w:val="none"/>
        </w:rPr>
      </w:pPr>
      <w:r>
        <w:rPr>
          <w:rFonts w:hint="eastAsia" w:hAnsi="宋体" w:cs="宋体"/>
          <w:color w:val="auto"/>
          <w:highlight w:val="none"/>
        </w:rPr>
        <w:t>30.6.6以非法手段取得证据、材料的；</w:t>
      </w:r>
    </w:p>
    <w:p w14:paraId="292100D2">
      <w:pPr>
        <w:widowControl/>
        <w:spacing w:line="360" w:lineRule="auto"/>
        <w:ind w:firstLine="480" w:firstLineChars="200"/>
        <w:rPr>
          <w:rFonts w:hAnsi="宋体" w:cs="宋体"/>
          <w:color w:val="auto"/>
          <w:highlight w:val="none"/>
        </w:rPr>
      </w:pPr>
      <w:r>
        <w:rPr>
          <w:rFonts w:hint="eastAsia" w:hAnsi="宋体" w:cs="宋体"/>
          <w:color w:val="auto"/>
          <w:highlight w:val="none"/>
        </w:rPr>
        <w:t>30.6.7质疑答复后，同一质疑人就同一事项或同一采购程序环节再次提出质疑的；</w:t>
      </w:r>
    </w:p>
    <w:p w14:paraId="5ABFDDE9">
      <w:pPr>
        <w:widowControl/>
        <w:spacing w:line="360" w:lineRule="auto"/>
        <w:ind w:firstLine="480" w:firstLineChars="200"/>
        <w:rPr>
          <w:rFonts w:hAnsi="宋体" w:cs="宋体"/>
          <w:color w:val="auto"/>
          <w:highlight w:val="none"/>
        </w:rPr>
      </w:pPr>
      <w:r>
        <w:rPr>
          <w:rFonts w:hint="eastAsia" w:hAnsi="宋体" w:cs="宋体"/>
          <w:color w:val="auto"/>
          <w:highlight w:val="none"/>
        </w:rPr>
        <w:t>30.6.8不符合法律、法规、规章和政府采购监管机构规定的其他条件的。</w:t>
      </w:r>
    </w:p>
    <w:p w14:paraId="61BD182B">
      <w:pPr>
        <w:widowControl/>
        <w:spacing w:line="360" w:lineRule="auto"/>
        <w:ind w:firstLine="480" w:firstLineChars="200"/>
        <w:rPr>
          <w:rFonts w:hAnsi="宋体" w:cs="宋体"/>
          <w:color w:val="auto"/>
          <w:highlight w:val="none"/>
        </w:rPr>
      </w:pPr>
      <w:r>
        <w:rPr>
          <w:rFonts w:hint="eastAsia" w:hAnsi="宋体" w:cs="宋体"/>
          <w:color w:val="auto"/>
          <w:highlight w:val="none"/>
        </w:rPr>
        <w:t>30.7质疑答复</w:t>
      </w:r>
    </w:p>
    <w:p w14:paraId="654F04C9">
      <w:pPr>
        <w:widowControl/>
        <w:spacing w:line="360" w:lineRule="auto"/>
        <w:ind w:firstLine="480" w:firstLineChars="200"/>
        <w:rPr>
          <w:rFonts w:hAnsi="宋体" w:cs="宋体"/>
          <w:color w:val="auto"/>
          <w:highlight w:val="none"/>
        </w:rPr>
      </w:pPr>
      <w:r>
        <w:rPr>
          <w:rFonts w:hint="eastAsia" w:hAnsi="宋体" w:cs="宋体"/>
          <w:color w:val="auto"/>
          <w:highlight w:val="none"/>
        </w:rPr>
        <w:t>30.7.1采购人或采购代理机构在收到质疑函后7个工作日内作出答复，并以书面形式通知质疑供应商和其他有关供应商。</w:t>
      </w:r>
    </w:p>
    <w:p w14:paraId="2DC51516">
      <w:pPr>
        <w:spacing w:line="360" w:lineRule="auto"/>
        <w:rPr>
          <w:rFonts w:hAnsi="宋体" w:cs="宋体"/>
          <w:b/>
          <w:color w:val="auto"/>
          <w:szCs w:val="24"/>
          <w:highlight w:val="none"/>
        </w:rPr>
      </w:pPr>
      <w:r>
        <w:rPr>
          <w:rFonts w:hint="eastAsia" w:hAnsi="宋体" w:cs="宋体"/>
          <w:b/>
          <w:color w:val="auto"/>
          <w:szCs w:val="24"/>
          <w:highlight w:val="none"/>
        </w:rPr>
        <w:t>31.其他</w:t>
      </w:r>
    </w:p>
    <w:p w14:paraId="724483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531C508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17CE158A">
      <w:pPr>
        <w:spacing w:line="360" w:lineRule="auto"/>
        <w:ind w:firstLine="480" w:firstLineChars="200"/>
        <w:jc w:val="left"/>
        <w:rPr>
          <w:rFonts w:hAnsi="宋体" w:cs="宋体"/>
          <w:color w:val="auto"/>
          <w:szCs w:val="24"/>
          <w:highlight w:val="none"/>
        </w:rPr>
      </w:pPr>
      <w:r>
        <w:rPr>
          <w:rFonts w:hint="eastAsia" w:hAnsi="宋体" w:cs="宋体"/>
          <w:color w:val="auto"/>
          <w:szCs w:val="24"/>
          <w:highlight w:val="none"/>
        </w:rPr>
        <w:t>31.3采用竞争性磋商采购方式采购的政府购买服务项目（含政府和社会资本合作项目），</w:t>
      </w:r>
      <w:r>
        <w:rPr>
          <w:rFonts w:hint="eastAsia" w:hAnsi="宋体" w:cs="宋体"/>
          <w:color w:val="auto"/>
          <w:highlight w:val="none"/>
        </w:rPr>
        <w:t>采购过程中符合要求的供应商</w:t>
      </w:r>
      <w:r>
        <w:rPr>
          <w:rFonts w:hint="eastAsia" w:hAnsi="宋体" w:cs="宋体"/>
          <w:color w:val="auto"/>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D33F824">
      <w:pPr>
        <w:spacing w:line="360" w:lineRule="auto"/>
        <w:ind w:firstLine="480" w:firstLineChars="200"/>
        <w:rPr>
          <w:rFonts w:hAnsi="宋体" w:cs="宋体"/>
          <w:color w:val="auto"/>
          <w:highlight w:val="none"/>
        </w:rPr>
      </w:pPr>
      <w:r>
        <w:rPr>
          <w:rFonts w:hint="eastAsia" w:hAnsi="宋体" w:cs="宋体"/>
          <w:color w:val="auto"/>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79" w:name="_Toc363474023"/>
    </w:p>
    <w:p w14:paraId="0A08DA7C">
      <w:pPr>
        <w:pStyle w:val="2"/>
        <w:numPr>
          <w:ilvl w:val="0"/>
          <w:numId w:val="0"/>
        </w:numPr>
        <w:jc w:val="center"/>
        <w:rPr>
          <w:rFonts w:ascii="宋体" w:eastAsia="宋体" w:cs="宋体"/>
          <w:color w:val="auto"/>
          <w:highlight w:val="none"/>
        </w:rPr>
      </w:pPr>
      <w:bookmarkStart w:id="80" w:name="_Toc423973074"/>
      <w:bookmarkStart w:id="81" w:name="_Toc403077645"/>
      <w:bookmarkStart w:id="82" w:name="_Toc25783"/>
      <w:r>
        <w:rPr>
          <w:rFonts w:hint="eastAsia" w:ascii="宋体" w:eastAsia="宋体" w:cs="宋体"/>
          <w:bCs/>
          <w:color w:val="auto"/>
          <w:sz w:val="36"/>
          <w:szCs w:val="36"/>
          <w:highlight w:val="none"/>
        </w:rPr>
        <w:br w:type="page"/>
      </w:r>
      <w:bookmarkStart w:id="83" w:name="_Toc22973"/>
      <w:bookmarkStart w:id="84" w:name="_Toc18077"/>
      <w:r>
        <w:rPr>
          <w:rFonts w:hint="eastAsia" w:ascii="宋体" w:eastAsia="宋体" w:cs="宋体"/>
          <w:bCs/>
          <w:color w:val="auto"/>
          <w:sz w:val="36"/>
          <w:szCs w:val="36"/>
          <w:highlight w:val="none"/>
          <w:lang w:val="en-US" w:eastAsia="zh-CN"/>
        </w:rPr>
        <w:t>第三章</w:t>
      </w:r>
      <w:r>
        <w:rPr>
          <w:rFonts w:hint="eastAsia" w:ascii="宋体" w:eastAsia="宋体" w:cs="宋体"/>
          <w:bCs/>
          <w:color w:val="auto"/>
          <w:sz w:val="36"/>
          <w:szCs w:val="36"/>
          <w:highlight w:val="none"/>
        </w:rPr>
        <w:t xml:space="preserve">  </w:t>
      </w:r>
      <w:bookmarkStart w:id="85" w:name="_Toc9687"/>
      <w:r>
        <w:rPr>
          <w:rFonts w:hint="eastAsia" w:ascii="宋体" w:eastAsia="宋体" w:cs="宋体"/>
          <w:bCs/>
          <w:color w:val="auto"/>
          <w:sz w:val="36"/>
          <w:szCs w:val="36"/>
          <w:highlight w:val="none"/>
        </w:rPr>
        <w:t>评审方法</w:t>
      </w:r>
      <w:bookmarkEnd w:id="83"/>
      <w:bookmarkEnd w:id="84"/>
      <w:bookmarkEnd w:id="85"/>
    </w:p>
    <w:p w14:paraId="54A0580A">
      <w:pPr>
        <w:spacing w:line="360" w:lineRule="auto"/>
        <w:outlineLvl w:val="1"/>
        <w:rPr>
          <w:rFonts w:hAnsi="宋体" w:cs="宋体"/>
          <w:b/>
          <w:color w:val="auto"/>
          <w:szCs w:val="24"/>
          <w:highlight w:val="none"/>
        </w:rPr>
      </w:pPr>
      <w:bookmarkStart w:id="86" w:name="_Toc26649"/>
      <w:bookmarkStart w:id="87" w:name="_Toc23762"/>
      <w:bookmarkStart w:id="88" w:name="_Toc6555"/>
      <w:bookmarkStart w:id="89" w:name="_Toc7988"/>
      <w:bookmarkStart w:id="90" w:name="_Toc28665"/>
      <w:bookmarkStart w:id="91" w:name="_Toc23722"/>
      <w:bookmarkStart w:id="92" w:name="_Toc32051"/>
      <w:r>
        <w:rPr>
          <w:rFonts w:hint="eastAsia" w:hAnsi="宋体" w:cs="宋体"/>
          <w:b/>
          <w:color w:val="auto"/>
          <w:szCs w:val="24"/>
          <w:highlight w:val="none"/>
        </w:rPr>
        <w:t>一、评审方法</w:t>
      </w:r>
      <w:bookmarkEnd w:id="86"/>
      <w:bookmarkEnd w:id="87"/>
      <w:bookmarkEnd w:id="88"/>
      <w:bookmarkEnd w:id="89"/>
      <w:bookmarkEnd w:id="90"/>
      <w:bookmarkEnd w:id="91"/>
      <w:bookmarkEnd w:id="92"/>
    </w:p>
    <w:p w14:paraId="6F03D154">
      <w:pPr>
        <w:spacing w:line="500" w:lineRule="exact"/>
        <w:ind w:firstLine="520" w:firstLineChars="217"/>
        <w:rPr>
          <w:rFonts w:hAnsi="宋体" w:cs="宋体"/>
          <w:color w:val="auto"/>
          <w:spacing w:val="4"/>
          <w:szCs w:val="24"/>
          <w:highlight w:val="none"/>
        </w:rPr>
      </w:pPr>
      <w:r>
        <w:rPr>
          <w:rFonts w:hint="eastAsia" w:hAnsi="宋体" w:cs="宋体"/>
          <w:color w:val="auto"/>
          <w:szCs w:val="24"/>
          <w:highlight w:val="none"/>
        </w:rPr>
        <w:t>按照《中华人民共和国政府采购法》及实施条例和关于印发《政府采购竞争性磋商采购方式管理暂行办法》的通知（财库【2014】214号）</w:t>
      </w:r>
      <w:r>
        <w:rPr>
          <w:rFonts w:hint="eastAsia" w:hAnsi="宋体" w:cs="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241B5FAF">
      <w:pPr>
        <w:spacing w:line="500" w:lineRule="exact"/>
        <w:outlineLvl w:val="1"/>
        <w:rPr>
          <w:rFonts w:hAnsi="宋体" w:cs="宋体"/>
          <w:b/>
          <w:color w:val="auto"/>
          <w:spacing w:val="4"/>
          <w:szCs w:val="24"/>
          <w:highlight w:val="none"/>
        </w:rPr>
      </w:pPr>
      <w:bookmarkStart w:id="93" w:name="_Toc27615"/>
      <w:bookmarkStart w:id="94" w:name="_Toc20714"/>
      <w:bookmarkStart w:id="95" w:name="_Toc23145"/>
      <w:bookmarkStart w:id="96" w:name="_Toc20625"/>
      <w:bookmarkStart w:id="97" w:name="_Toc2374"/>
      <w:bookmarkStart w:id="98" w:name="_Toc24881"/>
      <w:bookmarkStart w:id="99" w:name="_Toc27029"/>
      <w:r>
        <w:rPr>
          <w:rFonts w:hint="eastAsia" w:hAnsi="宋体" w:cs="宋体"/>
          <w:b/>
          <w:color w:val="auto"/>
          <w:spacing w:val="4"/>
          <w:szCs w:val="24"/>
          <w:highlight w:val="none"/>
        </w:rPr>
        <w:t>二、评审程序</w:t>
      </w:r>
      <w:bookmarkEnd w:id="93"/>
      <w:bookmarkEnd w:id="94"/>
      <w:bookmarkEnd w:id="95"/>
      <w:bookmarkEnd w:id="96"/>
      <w:bookmarkEnd w:id="97"/>
      <w:bookmarkEnd w:id="98"/>
      <w:bookmarkEnd w:id="99"/>
    </w:p>
    <w:p w14:paraId="749BD7B8">
      <w:pPr>
        <w:tabs>
          <w:tab w:val="left" w:pos="0"/>
        </w:tabs>
        <w:adjustRightInd w:val="0"/>
        <w:snapToGrid w:val="0"/>
        <w:spacing w:line="500" w:lineRule="exact"/>
        <w:ind w:firstLine="470" w:firstLineChars="196"/>
        <w:rPr>
          <w:rFonts w:hAnsi="宋体" w:cs="宋体"/>
          <w:color w:val="auto"/>
          <w:highlight w:val="none"/>
        </w:rPr>
      </w:pPr>
      <w:r>
        <w:rPr>
          <w:rFonts w:hint="eastAsia" w:hAnsi="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42482F17">
      <w:pPr>
        <w:numPr>
          <w:ilvl w:val="0"/>
          <w:numId w:val="3"/>
        </w:numPr>
        <w:spacing w:line="500" w:lineRule="exact"/>
        <w:ind w:firstLine="498" w:firstLineChars="200"/>
        <w:rPr>
          <w:rFonts w:hAnsi="宋体" w:cs="宋体"/>
          <w:b/>
          <w:bCs/>
          <w:color w:val="auto"/>
          <w:spacing w:val="4"/>
          <w:szCs w:val="24"/>
          <w:highlight w:val="none"/>
        </w:rPr>
      </w:pPr>
      <w:r>
        <w:rPr>
          <w:rFonts w:hint="eastAsia" w:hAnsi="宋体" w:cs="宋体"/>
          <w:b/>
          <w:bCs/>
          <w:color w:val="auto"/>
          <w:spacing w:val="4"/>
          <w:szCs w:val="24"/>
          <w:highlight w:val="none"/>
        </w:rPr>
        <w:t>对磋商响应文件的初审：</w:t>
      </w:r>
    </w:p>
    <w:p w14:paraId="468563AA">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1.1资格性审查。</w:t>
      </w:r>
      <w:r>
        <w:rPr>
          <w:rFonts w:hint="eastAsia" w:hAnsi="宋体" w:cs="宋体"/>
          <w:color w:val="auto"/>
          <w:highlight w:val="none"/>
          <w:lang w:val="en-US" w:eastAsia="zh-CN"/>
        </w:rPr>
        <w:t>采购人或采购代理机构</w:t>
      </w:r>
      <w:r>
        <w:rPr>
          <w:rFonts w:hint="eastAsia" w:hAnsi="宋体" w:cs="宋体"/>
          <w:color w:val="auto"/>
          <w:highlight w:val="none"/>
        </w:rPr>
        <w:t>将依据磋商响应文件，按照磋商文件第二章供应商须知前附表12.1条所述资格要求进行资格性审查，如果供应商不满足磋商文件所规定的资格要求或提供资格证明文件不全,将被视为未实质性响应磋商文件。</w:t>
      </w:r>
    </w:p>
    <w:p w14:paraId="609A94C7">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1.2符合性审查。</w:t>
      </w:r>
      <w:r>
        <w:rPr>
          <w:rFonts w:hint="eastAsia" w:hAnsi="宋体" w:cs="宋体"/>
          <w:color w:val="auto"/>
          <w:highlight w:val="none"/>
        </w:rPr>
        <w:t>磋商小组从磋商响应文件的完整性、有效性和对磋商文件的响应程度进行审查，以确定其是否对磋商文件实质性内容作出响应。</w:t>
      </w:r>
    </w:p>
    <w:p w14:paraId="3B894B91">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1.2.1竞争性磋商响应文件的完整性。竞争性磋商响应文件构成是否有重大缺项，是否按照竞争性磋商文件要求的格式编写竞争性磋商响应文件。</w:t>
      </w:r>
    </w:p>
    <w:p w14:paraId="3C281654">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1.2.2竞争性磋商响应文件的有效性。竞争性磋商响应文件的签署、加盖印章是否合格、有效；提供的各种证明文件、数据、资料是否真实、有效。</w:t>
      </w:r>
    </w:p>
    <w:p w14:paraId="46BCFF41">
      <w:pPr>
        <w:spacing w:line="500" w:lineRule="exact"/>
        <w:ind w:firstLine="496" w:firstLineChars="200"/>
        <w:rPr>
          <w:rFonts w:hAnsi="宋体" w:cs="宋体"/>
          <w:color w:val="auto"/>
          <w:szCs w:val="24"/>
          <w:highlight w:val="none"/>
        </w:rPr>
      </w:pPr>
      <w:r>
        <w:rPr>
          <w:rFonts w:hint="eastAsia" w:hAnsi="宋体" w:cs="宋体"/>
          <w:bCs/>
          <w:color w:val="auto"/>
          <w:spacing w:val="4"/>
          <w:szCs w:val="24"/>
          <w:highlight w:val="none"/>
        </w:rPr>
        <w:t>1.2.3竞争性磋商</w:t>
      </w:r>
      <w:r>
        <w:rPr>
          <w:rFonts w:hint="eastAsia" w:hAnsi="宋体" w:cs="宋体"/>
          <w:color w:val="auto"/>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42A57B3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1.2.4报价是否超过采购预算。</w:t>
      </w:r>
    </w:p>
    <w:p w14:paraId="17B7698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1.2.5</w:t>
      </w:r>
      <w:r>
        <w:rPr>
          <w:rFonts w:hint="eastAsia" w:hAnsi="宋体" w:cs="宋体"/>
          <w:szCs w:val="24"/>
          <w:highlight w:val="none"/>
          <w:lang w:val="en-US" w:eastAsia="zh-CN"/>
        </w:rPr>
        <w:t>异常低价审查：</w:t>
      </w:r>
      <w:r>
        <w:rPr>
          <w:rFonts w:hint="eastAsia" w:ascii="宋体" w:hAnsi="宋体" w:eastAsia="宋体" w:cs="宋体"/>
          <w:szCs w:val="24"/>
          <w:highlight w:val="none"/>
        </w:rPr>
        <w:t>在评标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w:t>
      </w:r>
    </w:p>
    <w:p w14:paraId="22DB3537">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②投标（响应）报价低于通过符合性审查的次低报价供应商投标（响应）报价50%的，即投标（响应）报价&lt;通过符合性审查的次低报价供应商投标（响应）报价×50%；</w:t>
      </w:r>
    </w:p>
    <w:p w14:paraId="64D36B3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③投标（响应）报价低于采购项目最高限价45%的，即投标（响应）报价&lt;采购项目最高限价×45%；</w:t>
      </w:r>
    </w:p>
    <w:p w14:paraId="41EFB06C">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④评审委员会基于专业判断，认为供应商报价过低，有可能影响产品质量或者不能诚信履约的其他情形。</w:t>
      </w:r>
    </w:p>
    <w:p w14:paraId="621099A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025EF25">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9C31024">
      <w:pPr>
        <w:spacing w:afterLines="50" w:line="500" w:lineRule="exact"/>
        <w:ind w:firstLine="482" w:firstLineChars="200"/>
        <w:rPr>
          <w:rFonts w:hAnsi="宋体" w:cs="宋体"/>
          <w:b/>
          <w:color w:val="auto"/>
          <w:highlight w:val="none"/>
        </w:rPr>
      </w:pPr>
      <w:r>
        <w:rPr>
          <w:rFonts w:hint="eastAsia" w:hAnsi="宋体" w:cs="宋体"/>
          <w:b/>
          <w:color w:val="auto"/>
          <w:highlight w:val="none"/>
        </w:rPr>
        <w:t>2、磋商响应文件的澄清</w:t>
      </w:r>
    </w:p>
    <w:p w14:paraId="66BE5529">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25069FA1">
      <w:pPr>
        <w:spacing w:line="500" w:lineRule="exact"/>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4FBC21D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3、磋商：</w:t>
      </w:r>
      <w:r>
        <w:rPr>
          <w:rFonts w:hint="eastAsia" w:hAnsi="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他内容。实质性变动得内容，需经采购人代表确认。</w:t>
      </w:r>
    </w:p>
    <w:p w14:paraId="1CE6A32C">
      <w:pPr>
        <w:pStyle w:val="9"/>
        <w:ind w:firstLine="482"/>
        <w:rPr>
          <w:color w:val="auto"/>
          <w:kern w:val="0"/>
          <w:highlight w:val="none"/>
        </w:rPr>
      </w:pPr>
      <w:r>
        <w:rPr>
          <w:rFonts w:hint="eastAsia"/>
          <w:b/>
          <w:bCs/>
          <w:color w:val="auto"/>
          <w:highlight w:val="none"/>
        </w:rPr>
        <w:t>4、综合评审：</w:t>
      </w:r>
      <w:r>
        <w:rPr>
          <w:rFonts w:hint="eastAsia"/>
          <w:color w:val="auto"/>
          <w:kern w:val="0"/>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62F42C04">
      <w:pPr>
        <w:spacing w:line="500" w:lineRule="exact"/>
        <w:jc w:val="left"/>
        <w:outlineLvl w:val="1"/>
        <w:rPr>
          <w:rFonts w:hAnsi="宋体" w:cs="宋体"/>
          <w:b/>
          <w:color w:val="auto"/>
          <w:szCs w:val="24"/>
          <w:highlight w:val="none"/>
        </w:rPr>
      </w:pPr>
      <w:bookmarkStart w:id="100" w:name="_Toc19221"/>
      <w:bookmarkStart w:id="101" w:name="_Toc7905"/>
      <w:bookmarkStart w:id="102" w:name="_Toc30804"/>
      <w:bookmarkStart w:id="103" w:name="_Toc24776"/>
      <w:bookmarkStart w:id="104" w:name="_Toc17111"/>
      <w:bookmarkStart w:id="105" w:name="_Toc5555"/>
      <w:bookmarkStart w:id="106" w:name="_Toc4428"/>
      <w:r>
        <w:rPr>
          <w:rFonts w:hint="eastAsia" w:hAnsi="宋体" w:cs="宋体"/>
          <w:b/>
          <w:color w:val="auto"/>
          <w:szCs w:val="24"/>
          <w:highlight w:val="none"/>
        </w:rPr>
        <w:t>三、政策性扣减</w:t>
      </w:r>
      <w:bookmarkEnd w:id="100"/>
      <w:bookmarkEnd w:id="101"/>
      <w:bookmarkEnd w:id="102"/>
      <w:bookmarkEnd w:id="103"/>
      <w:bookmarkEnd w:id="104"/>
      <w:bookmarkEnd w:id="105"/>
      <w:bookmarkEnd w:id="106"/>
    </w:p>
    <w:p w14:paraId="2622355B">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1政策性扣减范围</w:t>
      </w:r>
    </w:p>
    <w:p w14:paraId="4D880E7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1.1供应商符合小型、微型企业或监狱企业、残疾人福利性单位条件的，其磋商报价价格评审时将按相应比例进行扣减。</w:t>
      </w:r>
    </w:p>
    <w:p w14:paraId="75A4F3A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1.2依照《政府采购促进中小企业发展管理办法》（财库〔2020〕46号）的规定，小型、微型企业应当同时符合以下条件：</w:t>
      </w:r>
    </w:p>
    <w:p w14:paraId="2D8904B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1.2.1符合中小企业划分标准（中小企业划分标准是指国务院有关部门根据企业从业人员、营业收入、资产总额等指标制定的中小企业划型标准（工信部联企业〔2011〕300号））。</w:t>
      </w:r>
    </w:p>
    <w:p w14:paraId="5D162CA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1.2.2提供本企业制造的货物、承担的工程或者服务，或者提供其他中小企业制造的货物，不包括提供或使用大型企业注册商标的货物。</w:t>
      </w:r>
    </w:p>
    <w:p w14:paraId="76E40DD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1.2.3小型、微型企业提供中型企业制造的货物的，视同为中型企业；小型、微型、中型企业提供大型企业制造的货物的，视同为大型企业。</w:t>
      </w:r>
    </w:p>
    <w:p w14:paraId="0503367E">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采购人拟采购产品属于优先采购节能环境标志产品范围的，应当优先采购节能环境标志产品，节能产品以财政部国家发展改革委关于调整公布第十七期节能产品政府采购清单所列产品为准。环保产品以财政部环境保护部关于调整公布第十五期环境标志产品政府采购清单所列产品为准。</w:t>
      </w:r>
    </w:p>
    <w:p w14:paraId="6E33268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1.3.1“节能产品政府采购清单”：符合政府采购优先采购政策的，所投产品属于“节能产品政府采购清单”中品目的产品，需提供最新一期“节能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625D8D50">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1.3.2 “环境标志产品政府采购清单”：所投产品属于“环境标志产品政府采购清单”中品目的产品，需提供最新一期“环境标志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2A3F1981">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518AC175">
      <w:pPr>
        <w:spacing w:line="500" w:lineRule="exact"/>
        <w:ind w:firstLine="600" w:firstLineChars="250"/>
        <w:rPr>
          <w:rFonts w:hAnsi="宋体" w:cs="宋体"/>
          <w:color w:val="auto"/>
          <w:szCs w:val="24"/>
          <w:highlight w:val="none"/>
        </w:rPr>
      </w:pPr>
      <w:r>
        <w:rPr>
          <w:rFonts w:hint="eastAsia" w:hAnsi="宋体" w:cs="宋体"/>
          <w:color w:val="auto"/>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249881B4">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2、政策性扣减方式：</w:t>
      </w:r>
    </w:p>
    <w:p w14:paraId="37DE5FE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2.1供应商为非联合体参与磋商的情况：</w:t>
      </w:r>
    </w:p>
    <w:p w14:paraId="244AA55E">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2.1.1在磋商最终报价的基础上，小型企业或达到小型企业划分标准的监狱企业（或残疾人福利性单位），按“磋商最终报价×10%”进行扣减；</w:t>
      </w:r>
    </w:p>
    <w:p w14:paraId="30EB5EF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2.1.2在磋商最终报价的基础上，注册资金在十五万元以上的微型企业或注册资金在十五万元以上达到微型企业划分标准的监狱企业（或残疾人福利性单位），按“磋商最终报价×10%”进行扣减；</w:t>
      </w:r>
    </w:p>
    <w:p w14:paraId="2A8EC0F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2.1.3在磋商最终报价的基础上，注册资金在十五万元以下的微型企业或注册资金在十五万元以下达到微型企业划分标准的监狱企业（或残疾人福利性单位），按“磋商最终报价×10%”进行扣减。</w:t>
      </w:r>
    </w:p>
    <w:p w14:paraId="1479697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2.2供应商为联合体参与磋商且联合协议中约定小型或微型企业的协议合同金额占到联合体协议合同总金额30％以上的情况：</w:t>
      </w:r>
    </w:p>
    <w:p w14:paraId="1AE8C4EB">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2.2.1在磋商最终报价的基础上，与小型企业或达到小型企业划分标准的监狱企业（或残疾人福利性单位）联合的，按“磋商最终报价×2%”进行扣减；</w:t>
      </w:r>
    </w:p>
    <w:p w14:paraId="3C4810A1">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2.2.2在磋商最终报价的基础上，与微型企业或达到微型企业划分标准的监狱企业（或残疾人福利性单位）联合的，按“磋商最终报价×3%”进行扣减。</w:t>
      </w:r>
    </w:p>
    <w:p w14:paraId="05522DB7">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2.2.3在磋商最终报价的基础上，同时与小型、微型企业或达到小型、微型企业划分标准的监狱企业（或残疾人福利性单位）组成两家以上的联合体的，仅按照“磋商最终报价×3%”进行扣减。不累计扣减。</w:t>
      </w:r>
    </w:p>
    <w:p w14:paraId="673AEA19">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2.3供应商享受支持中小型企业发展政策优惠的，可以同时享受节能、环境标志产品优先采购政策。</w:t>
      </w:r>
    </w:p>
    <w:p w14:paraId="725B1A15">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2.3.1单个合同项为单一产品的，所投产品为节能、环境标志产品的在磋商最终报价的基础上，按“磋商最终报价×6%”进行扣减；</w:t>
      </w:r>
    </w:p>
    <w:p w14:paraId="7636F42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2.3.2单个合同项为多种产品的，所投产品为节能、环境标志产品报价占到总报价30％以上的，在磋商最终报价的基础上，按“磋商最终报价×3%”进行扣减；在磋商最终报价时须对此类产品单独分项报价，计算出小计及占总价的百分比，未提供节能、环境标志产品报价明细表及1.3.1和1.3.2条规定的证明材料，在评审时不享受政府采购优惠政策。</w:t>
      </w:r>
    </w:p>
    <w:p w14:paraId="7BAE006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3、成交价格=成交供应商的有效磋商报价。</w:t>
      </w:r>
    </w:p>
    <w:p w14:paraId="68421BBD">
      <w:pPr>
        <w:spacing w:line="360" w:lineRule="auto"/>
        <w:ind w:firstLine="498" w:firstLineChars="200"/>
        <w:jc w:val="center"/>
        <w:outlineLvl w:val="1"/>
        <w:rPr>
          <w:rFonts w:hint="eastAsia" w:hAnsi="宋体" w:cs="宋体"/>
          <w:b/>
          <w:color w:val="auto"/>
          <w:szCs w:val="24"/>
          <w:highlight w:val="none"/>
        </w:rPr>
      </w:pPr>
      <w:r>
        <w:rPr>
          <w:rFonts w:hint="eastAsia" w:hAnsi="宋体" w:cs="宋体"/>
          <w:b/>
          <w:color w:val="auto"/>
          <w:spacing w:val="4"/>
          <w:szCs w:val="24"/>
          <w:highlight w:val="none"/>
        </w:rPr>
        <w:br w:type="page"/>
      </w:r>
      <w:bookmarkStart w:id="107" w:name="_Toc14745"/>
      <w:bookmarkStart w:id="108" w:name="_Toc12174"/>
      <w:bookmarkStart w:id="109" w:name="_Toc13330"/>
      <w:bookmarkStart w:id="110" w:name="_Toc23630"/>
      <w:bookmarkStart w:id="111" w:name="_Toc4223"/>
      <w:bookmarkStart w:id="112" w:name="_Toc28532"/>
      <w:bookmarkStart w:id="113" w:name="_Toc25458"/>
      <w:r>
        <w:rPr>
          <w:rFonts w:hint="eastAsia" w:hAnsi="宋体" w:cs="宋体"/>
          <w:b/>
          <w:color w:val="auto"/>
          <w:spacing w:val="4"/>
          <w:szCs w:val="24"/>
          <w:highlight w:val="none"/>
        </w:rPr>
        <w:t>四、</w:t>
      </w:r>
      <w:r>
        <w:rPr>
          <w:rFonts w:hint="eastAsia" w:hAnsi="宋体" w:cs="宋体"/>
          <w:b/>
          <w:color w:val="auto"/>
          <w:szCs w:val="24"/>
          <w:highlight w:val="none"/>
        </w:rPr>
        <w:t>评审要素和分值分解表</w:t>
      </w:r>
      <w:bookmarkEnd w:id="107"/>
      <w:bookmarkEnd w:id="108"/>
      <w:bookmarkEnd w:id="109"/>
      <w:bookmarkEnd w:id="110"/>
      <w:bookmarkEnd w:id="111"/>
      <w:bookmarkEnd w:id="112"/>
      <w:bookmarkEnd w:id="113"/>
    </w:p>
    <w:tbl>
      <w:tblPr>
        <w:tblStyle w:val="22"/>
        <w:tblW w:w="9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550"/>
        <w:gridCol w:w="1450"/>
        <w:gridCol w:w="500"/>
        <w:gridCol w:w="700"/>
        <w:gridCol w:w="5826"/>
      </w:tblGrid>
      <w:tr w14:paraId="351ED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blHeader/>
        </w:trPr>
        <w:tc>
          <w:tcPr>
            <w:tcW w:w="550" w:type="dxa"/>
            <w:tcBorders>
              <w:top w:val="single" w:color="7F7F7F" w:sz="4" w:space="0"/>
              <w:left w:val="single" w:color="7F7F7F" w:sz="4" w:space="0"/>
              <w:bottom w:val="single" w:color="7F7F7F" w:sz="4" w:space="0"/>
              <w:right w:val="single" w:color="7F7F7F" w:sz="4" w:space="0"/>
            </w:tcBorders>
            <w:shd w:val="clear" w:color="auto" w:fill="DCE6F1"/>
            <w:tcMar>
              <w:top w:w="60" w:type="dxa"/>
              <w:left w:w="100" w:type="dxa"/>
              <w:bottom w:w="60" w:type="dxa"/>
              <w:right w:w="100" w:type="dxa"/>
            </w:tcMar>
            <w:vAlign w:val="center"/>
          </w:tcPr>
          <w:p w14:paraId="4C85BE02">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序号</w:t>
            </w:r>
          </w:p>
        </w:tc>
        <w:tc>
          <w:tcPr>
            <w:tcW w:w="1450" w:type="dxa"/>
            <w:tcBorders>
              <w:top w:val="single" w:color="7F7F7F" w:sz="4" w:space="0"/>
              <w:left w:val="single" w:color="7F7F7F" w:sz="4" w:space="0"/>
              <w:bottom w:val="single" w:color="7F7F7F" w:sz="4" w:space="0"/>
              <w:right w:val="single" w:color="7F7F7F" w:sz="4" w:space="0"/>
            </w:tcBorders>
            <w:shd w:val="clear" w:color="auto" w:fill="DCE6F1"/>
            <w:tcMar>
              <w:top w:w="60" w:type="dxa"/>
              <w:left w:w="100" w:type="dxa"/>
              <w:bottom w:w="60" w:type="dxa"/>
              <w:right w:w="100" w:type="dxa"/>
            </w:tcMar>
            <w:vAlign w:val="center"/>
          </w:tcPr>
          <w:p w14:paraId="170171F8">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评分因素</w:t>
            </w:r>
          </w:p>
        </w:tc>
        <w:tc>
          <w:tcPr>
            <w:tcW w:w="500" w:type="dxa"/>
            <w:tcBorders>
              <w:top w:val="single" w:color="7F7F7F" w:sz="4" w:space="0"/>
              <w:left w:val="single" w:color="7F7F7F" w:sz="4" w:space="0"/>
              <w:bottom w:val="single" w:color="7F7F7F" w:sz="4" w:space="0"/>
              <w:right w:val="single" w:color="7F7F7F" w:sz="4" w:space="0"/>
            </w:tcBorders>
            <w:shd w:val="clear" w:color="auto" w:fill="DCE6F1"/>
            <w:tcMar>
              <w:top w:w="60" w:type="dxa"/>
              <w:left w:w="100" w:type="dxa"/>
              <w:bottom w:w="60" w:type="dxa"/>
              <w:right w:w="100" w:type="dxa"/>
            </w:tcMar>
            <w:vAlign w:val="center"/>
          </w:tcPr>
          <w:p w14:paraId="03FBF6A7">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分值</w:t>
            </w:r>
          </w:p>
        </w:tc>
        <w:tc>
          <w:tcPr>
            <w:tcW w:w="700" w:type="dxa"/>
            <w:tcBorders>
              <w:top w:val="single" w:color="7F7F7F" w:sz="4" w:space="0"/>
              <w:left w:val="single" w:color="7F7F7F" w:sz="4" w:space="0"/>
              <w:bottom w:val="single" w:color="7F7F7F" w:sz="4" w:space="0"/>
              <w:right w:val="single" w:color="7F7F7F" w:sz="4" w:space="0"/>
            </w:tcBorders>
            <w:shd w:val="clear" w:color="auto" w:fill="DCE6F1"/>
            <w:tcMar>
              <w:top w:w="60" w:type="dxa"/>
              <w:left w:w="100" w:type="dxa"/>
              <w:bottom w:w="60" w:type="dxa"/>
              <w:right w:w="100" w:type="dxa"/>
            </w:tcMar>
            <w:vAlign w:val="center"/>
          </w:tcPr>
          <w:p w14:paraId="71A1A283">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计分方式</w:t>
            </w:r>
          </w:p>
        </w:tc>
        <w:tc>
          <w:tcPr>
            <w:tcW w:w="5826" w:type="dxa"/>
            <w:tcBorders>
              <w:top w:val="single" w:color="7F7F7F" w:sz="4" w:space="0"/>
              <w:left w:val="single" w:color="7F7F7F" w:sz="4" w:space="0"/>
              <w:bottom w:val="single" w:color="7F7F7F" w:sz="4" w:space="0"/>
              <w:right w:val="single" w:color="7F7F7F" w:sz="4" w:space="0"/>
            </w:tcBorders>
            <w:shd w:val="clear" w:color="auto" w:fill="DCE6F1"/>
            <w:tcMar>
              <w:top w:w="60" w:type="dxa"/>
              <w:left w:w="100" w:type="dxa"/>
              <w:bottom w:w="60" w:type="dxa"/>
              <w:right w:w="100" w:type="dxa"/>
            </w:tcMar>
            <w:vAlign w:val="center"/>
          </w:tcPr>
          <w:p w14:paraId="0C84B1B5">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评审内容与评分标准</w:t>
            </w:r>
          </w:p>
        </w:tc>
      </w:tr>
      <w:tr w14:paraId="0C74F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7C1BC547">
            <w:pPr>
              <w:spacing w:after="40" w:line="280" w:lineRule="auto"/>
              <w:jc w:val="center"/>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1</w:t>
            </w:r>
          </w:p>
        </w:tc>
        <w:tc>
          <w:tcPr>
            <w:tcW w:w="14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2D526217">
            <w:pPr>
              <w:spacing w:after="40" w:line="280" w:lineRule="auto"/>
              <w:jc w:val="center"/>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价格评审</w:t>
            </w:r>
          </w:p>
        </w:tc>
        <w:tc>
          <w:tcPr>
            <w:tcW w:w="5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07C7F75A">
            <w:pPr>
              <w:spacing w:after="40" w:line="280" w:lineRule="auto"/>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15</w:t>
            </w:r>
          </w:p>
        </w:tc>
        <w:tc>
          <w:tcPr>
            <w:tcW w:w="7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2AD2FD4D">
            <w:pPr>
              <w:spacing w:after="40" w:line="280" w:lineRule="auto"/>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客观计分</w:t>
            </w:r>
          </w:p>
        </w:tc>
        <w:tc>
          <w:tcPr>
            <w:tcW w:w="5826"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042A7382">
            <w:pPr>
              <w:spacing w:after="40" w:line="280" w:lineRule="auto"/>
              <w:jc w:val="lef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满足磋商文件商务及技术要求且最后报价最低的供应商的价格为磋商基准价，其价格分为满分。</w:t>
            </w:r>
          </w:p>
          <w:p w14:paraId="4AD2ACCD">
            <w:pPr>
              <w:spacing w:after="40" w:line="280" w:lineRule="auto"/>
              <w:jc w:val="lef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报价得分=（磋商基准价/最后磋商报价）*价格分值</w:t>
            </w:r>
          </w:p>
        </w:tc>
      </w:tr>
      <w:tr w14:paraId="0CE24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0E7E5FF0">
            <w:pPr>
              <w:spacing w:after="40" w:line="28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val="0"/>
                <w:bCs w:val="0"/>
                <w:sz w:val="24"/>
                <w:szCs w:val="24"/>
                <w:lang w:val="en-US" w:eastAsia="zh-CN"/>
              </w:rPr>
              <w:t>2</w:t>
            </w:r>
          </w:p>
        </w:tc>
        <w:tc>
          <w:tcPr>
            <w:tcW w:w="14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3C81ADC8">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设计成果与技术文件交付清单完整性</w:t>
            </w:r>
          </w:p>
        </w:tc>
        <w:tc>
          <w:tcPr>
            <w:tcW w:w="5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2A6BFFD7">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5</w:t>
            </w:r>
          </w:p>
        </w:tc>
        <w:tc>
          <w:tcPr>
            <w:tcW w:w="7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200473C5">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客观计分</w:t>
            </w:r>
          </w:p>
        </w:tc>
        <w:tc>
          <w:tcPr>
            <w:tcW w:w="5826"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430AEEFF">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逐项核验，提供该项成果并出具书面交付承诺的得1分，未提供或承诺内容不明确的不得分。共5项，满分5分：</w:t>
            </w:r>
          </w:p>
          <w:p w14:paraId="6A8FB9A6">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① 全套三视图（正视、侧视、背视，含比例与尺寸标注）；</w:t>
            </w:r>
          </w:p>
          <w:p w14:paraId="1DF8C15F">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② 分层设计源文件（可编辑格式，如AI/PSD/CDR等，非仅导出图片）；</w:t>
            </w:r>
          </w:p>
          <w:p w14:paraId="30B70E27">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③ 工艺图/工艺施工图（含刺绣针法、配色色号、开版尺寸、缝制工艺说明）；</w:t>
            </w:r>
          </w:p>
          <w:p w14:paraId="110B43F0">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④ 五类产品效果图（30cm公仔、45cm公仔、7cm钥匙扣、成人玩偶服、成人玩偶头套各不少于1张）；</w:t>
            </w:r>
          </w:p>
          <w:p w14:paraId="55462362">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⑤ 知识产权归属承诺书（成果著作权、使用权验收后归西安市儿童医院独家永久所有，不商用、不复用、不转借第三方）及后期技术指导承诺函。</w:t>
            </w:r>
          </w:p>
          <w:p w14:paraId="73844CD8">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注：第⑤项承诺内容有保留、附加条件或限定使用范围的，本项不得分。</w:t>
            </w:r>
          </w:p>
        </w:tc>
      </w:tr>
      <w:tr w14:paraId="3BD24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359B71AB">
            <w:pPr>
              <w:spacing w:after="40" w:line="28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val="0"/>
                <w:bCs w:val="0"/>
                <w:sz w:val="24"/>
                <w:szCs w:val="24"/>
                <w:lang w:val="en-US" w:eastAsia="zh-CN"/>
              </w:rPr>
              <w:t>3</w:t>
            </w:r>
          </w:p>
        </w:tc>
        <w:tc>
          <w:tcPr>
            <w:tcW w:w="14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1C68609F">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材质工艺参数量化响应</w:t>
            </w:r>
          </w:p>
        </w:tc>
        <w:tc>
          <w:tcPr>
            <w:tcW w:w="5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1231318A">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8</w:t>
            </w:r>
          </w:p>
        </w:tc>
        <w:tc>
          <w:tcPr>
            <w:tcW w:w="7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4DDD5271">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客观计分</w:t>
            </w:r>
          </w:p>
        </w:tc>
        <w:tc>
          <w:tcPr>
            <w:tcW w:w="5826"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50D2B195">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下列8项参数，每项在响应文件中载明具体数值（或品牌、规格型号）并注明执行/检测标准的，得1分；仅表述为“优质”“高档”“符合国家标准”等笼统描述、未给出可核验数值的，该项不得分。满分8分：</w:t>
            </w:r>
          </w:p>
          <w:p w14:paraId="643A08AD">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① 30cm、45cm公仔面料成分及克重（g/㎡）；</w:t>
            </w:r>
          </w:p>
          <w:p w14:paraId="26C59728">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② 填充物材质及填充克重（g）或饱满度量化指标；</w:t>
            </w:r>
          </w:p>
          <w:p w14:paraId="6DF8FA6E">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③ 刺绣工艺参数（针距，单位：针/cm）及绣线材质；</w:t>
            </w:r>
          </w:p>
          <w:p w14:paraId="6C8C7044">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④ 45cm公仔加厚耐磨面料抗晒抗老化指标（耐光色牢度等级）；</w:t>
            </w:r>
          </w:p>
          <w:p w14:paraId="5987C6CD">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⑤ 钥匙扣亚克力板材厚度（mm）及表面硬度指标；</w:t>
            </w:r>
          </w:p>
          <w:p w14:paraId="7A238023">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⑥ 钥匙扣PVC腕带环保指标（重金属、邻苯二甲酸酯限量及检测依据）；</w:t>
            </w:r>
          </w:p>
          <w:p w14:paraId="1E254976">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⑦ 成人玩偶服面料成分、克重（g/㎡）及抗皱、透气量化指标；</w:t>
            </w:r>
          </w:p>
          <w:p w14:paraId="4A1A7D12">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⑧ 成人玩偶头套毛绒面料克重（g/㎡）、PP棉填充克重（g）及头套整体重量（g）。</w:t>
            </w:r>
          </w:p>
        </w:tc>
      </w:tr>
      <w:tr w14:paraId="15DAE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2F887938">
            <w:pPr>
              <w:spacing w:after="40" w:line="28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val="0"/>
                <w:bCs w:val="0"/>
                <w:sz w:val="24"/>
                <w:szCs w:val="24"/>
                <w:lang w:val="en-US" w:eastAsia="zh-CN"/>
              </w:rPr>
              <w:t>4</w:t>
            </w:r>
          </w:p>
        </w:tc>
        <w:tc>
          <w:tcPr>
            <w:tcW w:w="14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0E00C8A4">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安全标准与检测报告</w:t>
            </w:r>
          </w:p>
        </w:tc>
        <w:tc>
          <w:tcPr>
            <w:tcW w:w="5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63D777B1">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5</w:t>
            </w:r>
          </w:p>
        </w:tc>
        <w:tc>
          <w:tcPr>
            <w:tcW w:w="7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504D8B1B">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客观计分</w:t>
            </w:r>
          </w:p>
        </w:tc>
        <w:tc>
          <w:tcPr>
            <w:tcW w:w="5826"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37C64C3F">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按五类产品分别计分，每类产品满分1分，合计5分。计分口径：</w:t>
            </w:r>
          </w:p>
          <w:p w14:paraId="2413F695">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（1）已提供该类产品近1年内由具备CMA或CNAS资质检测机构出具的检测报告的，得1分；</w:t>
            </w:r>
          </w:p>
          <w:p w14:paraId="773F935F">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（2）尚未取得报告，但出具书面承诺（成交后送检、报告随批量货一并交付、检测费用已包含在报价内）的，得0.5分；</w:t>
            </w:r>
          </w:p>
          <w:p w14:paraId="1C7A408A">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（3）既无报告也无承诺的，不得分。</w:t>
            </w:r>
          </w:p>
          <w:p w14:paraId="6694E016">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五类产品及适用标准：① 30cm公仔——GB 31701婴幼儿及儿童纺织产品A类；② 45cm公仔——GB 31701 A类；③ 7cm钥匙扣——亚克力无气泡裂纹、PVC腕带环保无毒（重金属、邻苯二甲酸酯限量）；④ 成人玩偶服——成人穿戴安全（甲醛、pH值、可分解致癌芳香胺染料等）；⑤ 成人玩偶头套——成人穿戴安全（同上）。</w:t>
            </w:r>
          </w:p>
        </w:tc>
      </w:tr>
      <w:tr w14:paraId="172ED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43467D5F">
            <w:pPr>
              <w:spacing w:after="40" w:line="28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val="0"/>
                <w:bCs w:val="0"/>
                <w:sz w:val="24"/>
                <w:szCs w:val="24"/>
                <w:lang w:val="en-US" w:eastAsia="zh-CN"/>
              </w:rPr>
              <w:t>5</w:t>
            </w:r>
          </w:p>
        </w:tc>
        <w:tc>
          <w:tcPr>
            <w:tcW w:w="14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2CF6AD64">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打样与质量保障量化承诺</w:t>
            </w:r>
          </w:p>
        </w:tc>
        <w:tc>
          <w:tcPr>
            <w:tcW w:w="5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06677007">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7</w:t>
            </w:r>
          </w:p>
        </w:tc>
        <w:tc>
          <w:tcPr>
            <w:tcW w:w="7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1CE71335">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客观计分</w:t>
            </w:r>
          </w:p>
        </w:tc>
        <w:tc>
          <w:tcPr>
            <w:tcW w:w="5826"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1FCF5CBA">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按响应文件中载明的书面承诺逐项核验计分，满分7分：</w:t>
            </w:r>
          </w:p>
          <w:p w14:paraId="04766302">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① 承诺全品类免费打样（含效果图、尺寸图、工艺施工图），打样费用包干、无额外收费——1分；</w:t>
            </w:r>
          </w:p>
          <w:p w14:paraId="665F91B2">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② 承诺批量生产前提供五类产品实物样品、样衣供院方审核确认——2分；部分产品未承诺提供的，每缺一类扣0.5分，扣完为止；</w:t>
            </w:r>
          </w:p>
          <w:p w14:paraId="347B6030">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③ 承诺打样周期，并载明自院方书面定稿之日起完成实物打样的具体天数——1分；仅承诺打样但未载明具体天数的，得0.5分；</w:t>
            </w:r>
          </w:p>
          <w:p w14:paraId="3832E4C1">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④ 承诺批量成品与院方确认样品在材质、配色、工艺、尺寸上完全一致，无降级替代——2分；</w:t>
            </w:r>
          </w:p>
          <w:p w14:paraId="2F43A174">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⑤ 承诺批量成品存在瑕疵、偏差、降级问题的无条件免费重做更换，并认可院方拒收不合格产品的权利——1分。</w:t>
            </w:r>
          </w:p>
          <w:p w14:paraId="78136220">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注：承诺须加盖供应商公章，不得设置“视情况”“原则上”等模糊限定；相关费用须承诺已包含在报价内。</w:t>
            </w:r>
          </w:p>
        </w:tc>
      </w:tr>
      <w:tr w14:paraId="4A88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530CA58D">
            <w:pPr>
              <w:spacing w:after="40" w:line="280" w:lineRule="auto"/>
              <w:jc w:val="center"/>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6</w:t>
            </w:r>
          </w:p>
        </w:tc>
        <w:tc>
          <w:tcPr>
            <w:tcW w:w="14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126B3E4B">
            <w:pPr>
              <w:spacing w:after="40" w:line="280" w:lineRule="auto"/>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同类履约业绩</w:t>
            </w:r>
          </w:p>
        </w:tc>
        <w:tc>
          <w:tcPr>
            <w:tcW w:w="5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0F397228">
            <w:pPr>
              <w:spacing w:after="40" w:line="28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8</w:t>
            </w:r>
          </w:p>
        </w:tc>
        <w:tc>
          <w:tcPr>
            <w:tcW w:w="7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47A29409">
            <w:pPr>
              <w:spacing w:after="40" w:line="280" w:lineRule="auto"/>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客观计分</w:t>
            </w:r>
          </w:p>
        </w:tc>
        <w:tc>
          <w:tcPr>
            <w:tcW w:w="5826"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6BB94068">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评审内容：近2年（自响应文件递交截止时间往前推算24个月）内，供应商承担的文创IP衍生品定制、毛绒玩具/玩偶定制、文创服饰（玩偶服、演出服等）定制类项目业绩。</w:t>
            </w:r>
          </w:p>
          <w:p w14:paraId="0A12779B">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计分规则：</w:t>
            </w:r>
          </w:p>
          <w:p w14:paraId="408834F1">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（1）每提供1份符合要求的业绩合同得1.5分，本小项满分6分；</w:t>
            </w:r>
          </w:p>
          <w:p w14:paraId="371FFEEB">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（2）上述业绩中，每有1份为医院、医疗机构或其他儿童相关机构的文创IP定制业绩，另加1分，本小项满分2分；</w:t>
            </w:r>
          </w:p>
          <w:p w14:paraId="409D5DB4">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（3）两项合计满分8分。</w:t>
            </w:r>
          </w:p>
          <w:p w14:paraId="0EBF73B3">
            <w:pPr>
              <w:spacing w:after="40" w:line="280" w:lineRule="auto"/>
              <w:jc w:val="lef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证明材料：须提供合同关键页（含项目名称、服务或产品内容、金额、签订日期、双方盖章页）复印件并加盖供应商公章；提供成交通知书的，须与合同同时提供。业绩时间以合同签订日期为准。材料不齐、关键要素缺失或无法辨识的，该份业绩不予计分。同一项目不得重复计分。</w:t>
            </w:r>
          </w:p>
        </w:tc>
      </w:tr>
      <w:tr w14:paraId="43815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33D0D765">
            <w:pPr>
              <w:spacing w:after="40" w:line="280" w:lineRule="auto"/>
              <w:jc w:val="center"/>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7</w:t>
            </w:r>
          </w:p>
        </w:tc>
        <w:tc>
          <w:tcPr>
            <w:tcW w:w="14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79E01A59">
            <w:pPr>
              <w:spacing w:after="40" w:line="280" w:lineRule="auto"/>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项目团队配置</w:t>
            </w:r>
          </w:p>
        </w:tc>
        <w:tc>
          <w:tcPr>
            <w:tcW w:w="5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119FF8CD">
            <w:pPr>
              <w:spacing w:after="40" w:line="28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6</w:t>
            </w:r>
          </w:p>
        </w:tc>
        <w:tc>
          <w:tcPr>
            <w:tcW w:w="7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675CAFDE">
            <w:pPr>
              <w:spacing w:after="40" w:line="280" w:lineRule="auto"/>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客观计分</w:t>
            </w:r>
          </w:p>
        </w:tc>
        <w:tc>
          <w:tcPr>
            <w:tcW w:w="5826"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60CDBDCC">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按下列4项逐项核验，提供证明材料并满足要求的得对应分值，满分6分：</w:t>
            </w:r>
          </w:p>
          <w:p w14:paraId="644F737B">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① 设置固定专属对接人，出具书面承诺（工作日2小时内响应需求、全程同步项目进度、人员调整提前报备交接）——2分；</w:t>
            </w:r>
          </w:p>
          <w:p w14:paraId="742F304C">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② 配备资深文创IP设计师，提供个人简历、儿童文创或玩偶定制同类项目经历证明及在职/聘用关系证明——2分；</w:t>
            </w:r>
          </w:p>
          <w:p w14:paraId="16726E7B">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③ 配备专职质量管控人员，提供岗位设置、任职人员及职责说明——1分；</w:t>
            </w:r>
          </w:p>
          <w:p w14:paraId="474EDFE0">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④ 提供项目团队分工表，设计、打样、生产、品控、配送、售后各环节均有专人负责、权责清晰——1分。</w:t>
            </w:r>
          </w:p>
          <w:p w14:paraId="4D0FF7AC">
            <w:pPr>
              <w:spacing w:after="40" w:line="280" w:lineRule="auto"/>
              <w:jc w:val="lef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注：材料不齐或无法体现对应要求的，该小项不予计分。</w:t>
            </w:r>
          </w:p>
        </w:tc>
      </w:tr>
      <w:tr w14:paraId="4DADC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2D485F39">
            <w:pPr>
              <w:spacing w:after="40" w:line="280" w:lineRule="auto"/>
              <w:jc w:val="center"/>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8</w:t>
            </w:r>
          </w:p>
        </w:tc>
        <w:tc>
          <w:tcPr>
            <w:tcW w:w="14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1BF3D98E">
            <w:pPr>
              <w:spacing w:after="40" w:line="280" w:lineRule="auto"/>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售后服务量化承诺</w:t>
            </w:r>
          </w:p>
        </w:tc>
        <w:tc>
          <w:tcPr>
            <w:tcW w:w="5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5F0F7437">
            <w:pPr>
              <w:spacing w:after="40" w:line="28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6</w:t>
            </w:r>
          </w:p>
        </w:tc>
        <w:tc>
          <w:tcPr>
            <w:tcW w:w="7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007FF16C">
            <w:pPr>
              <w:spacing w:after="40" w:line="280" w:lineRule="auto"/>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客观计分</w:t>
            </w:r>
          </w:p>
        </w:tc>
        <w:tc>
          <w:tcPr>
            <w:tcW w:w="5826"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4F135E62">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按响应文件中载明的书面量化承诺分档计分，满分6分：</w:t>
            </w:r>
          </w:p>
          <w:p w14:paraId="48E2D4DD">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① 售后响应时效（满分2分）：承诺接到院方通知后2小时内响应，得2分；4小时内响应，得1分；超过4小时或未作出明确承诺，得0分；</w:t>
            </w:r>
          </w:p>
          <w:p w14:paraId="5D0FA767">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② 返修、补发、更换完成周期（满分2分）：承诺自接到通知起7个自然日内完成，得2分；15个自然日内完成，得1分；超过15个自然日或未承诺，得0分；</w:t>
            </w:r>
          </w:p>
          <w:p w14:paraId="09C75134">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③ 免费质保期延长（满分2分）：在1年质保期基础上，承诺免费延长6个月及以上，得2分；延长3个月，得1分；未承诺延长，得0分。</w:t>
            </w:r>
          </w:p>
          <w:p w14:paraId="033CFAD6">
            <w:pPr>
              <w:spacing w:after="40" w:line="280" w:lineRule="auto"/>
              <w:jc w:val="lef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注：承诺须加盖供应商公章，且不得设置“视情况”“原则上”等模糊限定；延长质保期所发生的费用须承诺已包含在报价内。</w:t>
            </w:r>
          </w:p>
        </w:tc>
      </w:tr>
      <w:tr w14:paraId="3159B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588FBC33">
            <w:pPr>
              <w:spacing w:after="40" w:line="28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val="0"/>
                <w:bCs w:val="0"/>
                <w:sz w:val="24"/>
                <w:szCs w:val="24"/>
                <w:lang w:val="en-US" w:eastAsia="zh-CN"/>
              </w:rPr>
              <w:t>9</w:t>
            </w:r>
          </w:p>
        </w:tc>
        <w:tc>
          <w:tcPr>
            <w:tcW w:w="14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0F9D8C0D">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IP形象还原与设计方案</w:t>
            </w:r>
          </w:p>
        </w:tc>
        <w:tc>
          <w:tcPr>
            <w:tcW w:w="5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661B93B9">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15</w:t>
            </w:r>
          </w:p>
        </w:tc>
        <w:tc>
          <w:tcPr>
            <w:tcW w:w="7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31DBFB11">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主观评分</w:t>
            </w:r>
          </w:p>
        </w:tc>
        <w:tc>
          <w:tcPr>
            <w:tcW w:w="5826"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1EC17470">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评审要素：① 对医院原创IP形象“童趣治愈、柔和安全”风格的理解与还原思路；② 7cm、30cm、45cm及成人尺码四类尺寸的精准缩放技术方案与五官、身形核心比例统一性；③ 细节、配色、风格与医院视觉体系的贴合度；④ 效果图、尺寸图、工艺图的设计表现力；⑤ 方案调整响应机制（不限合理修改次数、限时出具优化方案直至院方书面定稿）。</w:t>
            </w:r>
          </w:p>
          <w:p w14:paraId="58182E69">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完整性（5分）：上述5项要素全部涉及且无缺项，得5分；缺1项，得3分；缺2项，得1分；缺3项及以上或未提供的，得0分。</w:t>
            </w:r>
          </w:p>
          <w:p w14:paraId="29F8EF91">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可实施性（5分）：方案技术路径清晰、缩放比例与工艺做法具体可执行，且载明出图时限与修改响应时限，得5分；方案较具体但缺关键做法或未载明时限，得3分；仅有原则性表述、无法据以执行，得0分。</w:t>
            </w:r>
          </w:p>
          <w:p w14:paraId="05C04572">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针对性（5分）：紧密结合医院原创IP形象特征与五类非标产品差异提出针对性设计思路，得5分；部分结合本项目特征，得3分；照搬通用模板、与本项目IP及产品无关，得0分。</w:t>
            </w:r>
          </w:p>
        </w:tc>
      </w:tr>
      <w:tr w14:paraId="0FFCC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31170989">
            <w:pPr>
              <w:spacing w:after="40" w:line="28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val="0"/>
                <w:bCs w:val="0"/>
                <w:sz w:val="24"/>
                <w:szCs w:val="24"/>
                <w:lang w:val="en-US" w:eastAsia="zh-CN"/>
              </w:rPr>
              <w:t>10</w:t>
            </w:r>
          </w:p>
        </w:tc>
        <w:tc>
          <w:tcPr>
            <w:tcW w:w="14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69EE5EF5">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生产组织与质量管控方案</w:t>
            </w:r>
          </w:p>
        </w:tc>
        <w:tc>
          <w:tcPr>
            <w:tcW w:w="5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0BF3FE8D">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9</w:t>
            </w:r>
          </w:p>
        </w:tc>
        <w:tc>
          <w:tcPr>
            <w:tcW w:w="7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33D8644A">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主观评分</w:t>
            </w:r>
          </w:p>
        </w:tc>
        <w:tc>
          <w:tcPr>
            <w:tcW w:w="5826"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239AD354">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评审要素：① 收到中标通知书后25个工作日内完成全套效果图、尺寸图、工艺图设计并通过院方定稿的进度安排；② 打样—院方确认—批量生产—配送安装全流程节点安排与责任分工；③ 质量管控措施（过程检验、出厂检验、批次一致性、成品尺寸与配色偏差控制）；④ 延期、缺料、质量偏差、补货重做等风险的应急预案。</w:t>
            </w:r>
          </w:p>
          <w:p w14:paraId="5A8A35B7">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完整性（3分）：上述4项要素全部涉及且无缺项，得3分；缺1项，得2分；缺2项及以上或未提供的，得0分。</w:t>
            </w:r>
          </w:p>
          <w:p w14:paraId="5DE4AAFD">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可实施性（3分）：进度计划细化到周或日、关键节点责任到人、质量管控与应急措施有具体做法，得3分；仅有大致时间节点、措施笼统，得1.5分；无进度计划或计划明显不可行，得0分。</w:t>
            </w:r>
          </w:p>
          <w:p w14:paraId="713CDC6E">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针对性（3分）：针对IP还原精度控制、多尺寸比例一致性、25个工作日工期压缩等本项目关键难点提出专项措施，得3分；部分针对，得1.5分；通用性描述、未触及本项目难点，得0分。</w:t>
            </w:r>
          </w:p>
        </w:tc>
      </w:tr>
      <w:tr w14:paraId="552D4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0D04A90C">
            <w:pPr>
              <w:spacing w:after="40" w:line="28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val="0"/>
                <w:bCs w:val="0"/>
                <w:sz w:val="24"/>
                <w:szCs w:val="24"/>
                <w:lang w:val="en-US" w:eastAsia="zh-CN"/>
              </w:rPr>
              <w:t>11</w:t>
            </w:r>
          </w:p>
        </w:tc>
        <w:tc>
          <w:tcPr>
            <w:tcW w:w="14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33A28213">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配送安装及场地清理方案</w:t>
            </w:r>
          </w:p>
        </w:tc>
        <w:tc>
          <w:tcPr>
            <w:tcW w:w="5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77F8CA0B">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6</w:t>
            </w:r>
          </w:p>
        </w:tc>
        <w:tc>
          <w:tcPr>
            <w:tcW w:w="7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57600110">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主观评分</w:t>
            </w:r>
          </w:p>
        </w:tc>
        <w:tc>
          <w:tcPr>
            <w:tcW w:w="5826"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57CB1D47">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评审要素：① 五类产品分类防护包装方案；② 配送至院内指定点位、到货逐件清点核验的安排；③ 门诊大厅、活动区等陈列点位的安装摆放方案；④ 院内设施防护（防划伤、防污染）措施；⑤ 包装垃圾与杂物全额清运、工完场清并经院方查验合格后完工的闭环安排。</w:t>
            </w:r>
          </w:p>
          <w:p w14:paraId="0F1E45A3">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完整性（2分）：上述5项要素全部涉及且无缺项，得2分；缺1至2项，得1分；缺3项及以上或未提供的，得0分。</w:t>
            </w:r>
          </w:p>
          <w:p w14:paraId="1708D4F8">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可实施性（2分）：措施具体、责任明确、清点核验与清运查验形成明确闭环，得2分；措施笼统但基本可行，得1分；措施缺失或无法执行，得0分。</w:t>
            </w:r>
          </w:p>
          <w:p w14:paraId="4BA2E65B">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针对性（2分）：结合门诊大厅、活动区等具体点位及患儿密集、需保护院内设施的实际环境提出措施，得2分；部分结合，得1分；通用表述、未体现医院现场特点，得0分。</w:t>
            </w:r>
          </w:p>
        </w:tc>
      </w:tr>
      <w:tr w14:paraId="19110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4816A6D5">
            <w:pPr>
              <w:spacing w:after="40" w:line="28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w:t>
            </w:r>
          </w:p>
        </w:tc>
        <w:tc>
          <w:tcPr>
            <w:tcW w:w="145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0512E2B5">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售后服务方案、台账追溯与项目重难点应对</w:t>
            </w:r>
          </w:p>
        </w:tc>
        <w:tc>
          <w:tcPr>
            <w:tcW w:w="5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596A269E">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10</w:t>
            </w:r>
          </w:p>
        </w:tc>
        <w:tc>
          <w:tcPr>
            <w:tcW w:w="700"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1AF70D9A">
            <w:pPr>
              <w:spacing w:after="40" w:line="2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主观评分</w:t>
            </w:r>
          </w:p>
        </w:tc>
        <w:tc>
          <w:tcPr>
            <w:tcW w:w="5826" w:type="dxa"/>
            <w:tcBorders>
              <w:top w:val="single" w:color="7F7F7F" w:sz="4" w:space="0"/>
              <w:left w:val="single" w:color="7F7F7F" w:sz="4" w:space="0"/>
              <w:bottom w:val="single" w:color="7F7F7F" w:sz="4" w:space="0"/>
              <w:right w:val="single" w:color="7F7F7F" w:sz="4" w:space="0"/>
            </w:tcBorders>
            <w:tcMar>
              <w:top w:w="60" w:type="dxa"/>
              <w:left w:w="100" w:type="dxa"/>
              <w:bottom w:w="60" w:type="dxa"/>
              <w:right w:w="100" w:type="dxa"/>
            </w:tcMar>
            <w:vAlign w:val="center"/>
          </w:tcPr>
          <w:p w14:paraId="6B16D3FD">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评审要素：① 自验收合格当日起1年内五类产品全程免费维修、补发、更换承诺的完整性（毛绒公仔非人为掉毛、开线、脱绣、变形、破损；钥匙扣非人为开裂、掉色、腕带断裂、配件脱落；玩偶服与玩偶头套非人为开线、破损、配饰脱落、版型变形）；② 专属售后对接人设置与售后台账建立、全程可追溯机制；③ 紧急问题优先加急处理预案与响应流程；④ 项目重难点分析（IP还原精度、多尺寸比例一致性、儿童安全合规、25工作日工期压缩、院内施工防护与患儿密集环境作业）；⑤ 针对院方IP后续衍生开发、复用优化的后期技术指导方案。</w:t>
            </w:r>
          </w:p>
          <w:p w14:paraId="60E2D455">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完整性（4分）：上述5项要素全部涉及且无缺项，得4分；缺1项，得3分；缺2项，得2分；缺3项及以上或未提供的，得0分。</w:t>
            </w:r>
          </w:p>
          <w:p w14:paraId="6B019ED2">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可实施性（3分）：售后流程、台账记录与追溯机制、加急处理流程具体明确、有责任人与处理时限，得3分；有机制但缺乏流程或时限，得1.5分；仅有承诺而无落实措施，得0分。</w:t>
            </w:r>
          </w:p>
          <w:p w14:paraId="514502DA">
            <w:pPr>
              <w:spacing w:after="40" w:line="2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针对性（3分）：紧扣儿童医院使用场景与五类产品各自的质量风险点提出措施，重难点分析切中本项目实际，得3分；部分结合，得1.5分；通用模板、未体现本项目特点，得0分。</w:t>
            </w:r>
          </w:p>
        </w:tc>
      </w:tr>
    </w:tbl>
    <w:p w14:paraId="349E0ED8">
      <w:pPr>
        <w:spacing w:line="360" w:lineRule="auto"/>
        <w:ind w:firstLine="480" w:firstLineChars="200"/>
        <w:jc w:val="left"/>
        <w:rPr>
          <w:rFonts w:hint="eastAsia" w:hAnsi="宋体" w:cs="宋体"/>
          <w:color w:val="auto"/>
          <w:szCs w:val="24"/>
          <w:highlight w:val="none"/>
        </w:rPr>
      </w:pPr>
      <w:r>
        <w:rPr>
          <w:rFonts w:hint="eastAsia" w:hAnsi="宋体" w:cs="宋体"/>
          <w:color w:val="auto"/>
          <w:szCs w:val="24"/>
          <w:highlight w:val="none"/>
        </w:rPr>
        <w:t>评价和比较以磋商响应文件为依据，从“价格评审”、“</w:t>
      </w:r>
      <w:r>
        <w:rPr>
          <w:rFonts w:hint="eastAsia" w:hAnsi="宋体" w:cs="宋体"/>
          <w:color w:val="auto"/>
          <w:szCs w:val="24"/>
          <w:highlight w:val="none"/>
          <w:lang w:val="en-US" w:eastAsia="zh-CN"/>
        </w:rPr>
        <w:t>技术方案</w:t>
      </w:r>
      <w:r>
        <w:rPr>
          <w:rFonts w:hint="eastAsia" w:hAnsi="宋体" w:cs="宋体"/>
          <w:color w:val="auto"/>
          <w:szCs w:val="24"/>
          <w:highlight w:val="none"/>
        </w:rPr>
        <w:t>”、“</w:t>
      </w:r>
      <w:r>
        <w:rPr>
          <w:rFonts w:hint="eastAsia" w:hAnsi="宋体" w:cs="宋体"/>
          <w:color w:val="auto"/>
          <w:szCs w:val="24"/>
          <w:highlight w:val="none"/>
          <w:lang w:val="en-US" w:eastAsia="zh-CN"/>
        </w:rPr>
        <w:t>履约能力</w:t>
      </w:r>
      <w:r>
        <w:rPr>
          <w:rFonts w:hint="eastAsia" w:hAnsi="宋体" w:cs="宋体"/>
          <w:color w:val="auto"/>
          <w:szCs w:val="24"/>
          <w:highlight w:val="none"/>
        </w:rPr>
        <w:t>”等方面进行评审并按照百分制进行赋分。</w:t>
      </w:r>
    </w:p>
    <w:p w14:paraId="4DD9CFC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评价和比较以磋商响应文件为依据，进行评审并按照百分制进行赋分。</w:t>
      </w:r>
    </w:p>
    <w:p w14:paraId="6F76C401">
      <w:pPr>
        <w:spacing w:line="460" w:lineRule="exact"/>
        <w:rPr>
          <w:rFonts w:hAnsi="宋体" w:cs="宋体"/>
          <w:b/>
          <w:color w:val="auto"/>
          <w:spacing w:val="4"/>
          <w:sz w:val="28"/>
          <w:szCs w:val="24"/>
          <w:highlight w:val="none"/>
        </w:rPr>
      </w:pPr>
      <w:r>
        <w:rPr>
          <w:rFonts w:hint="eastAsia" w:hAnsi="宋体" w:cs="宋体"/>
          <w:b/>
          <w:color w:val="auto"/>
          <w:spacing w:val="4"/>
          <w:sz w:val="28"/>
          <w:szCs w:val="24"/>
          <w:highlight w:val="none"/>
        </w:rPr>
        <w:t>五、定标：</w:t>
      </w:r>
    </w:p>
    <w:p w14:paraId="4F6D5DBD">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1、评标结果由</w:t>
      </w:r>
      <w:r>
        <w:rPr>
          <w:rFonts w:hint="eastAsia" w:hAnsi="宋体" w:cs="宋体"/>
          <w:color w:val="auto"/>
          <w:szCs w:val="24"/>
          <w:highlight w:val="none"/>
        </w:rPr>
        <w:t>磋商小组</w:t>
      </w:r>
      <w:r>
        <w:rPr>
          <w:rFonts w:hint="eastAsia" w:hAnsi="宋体" w:cs="宋体"/>
          <w:color w:val="auto"/>
          <w:spacing w:val="4"/>
          <w:szCs w:val="24"/>
          <w:highlight w:val="none"/>
        </w:rPr>
        <w:t>全体</w:t>
      </w:r>
      <w:r>
        <w:rPr>
          <w:rFonts w:hint="eastAsia" w:hAnsi="宋体" w:cs="宋体"/>
          <w:color w:val="auto"/>
          <w:szCs w:val="24"/>
          <w:highlight w:val="none"/>
        </w:rPr>
        <w:t>成员</w:t>
      </w:r>
      <w:r>
        <w:rPr>
          <w:rFonts w:hint="eastAsia" w:hAnsi="宋体" w:cs="宋体"/>
          <w:color w:val="auto"/>
          <w:spacing w:val="4"/>
          <w:szCs w:val="24"/>
          <w:highlight w:val="none"/>
        </w:rPr>
        <w:t>签字确认。</w:t>
      </w:r>
    </w:p>
    <w:p w14:paraId="13F7A836">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2、采购人根据评标报告中推荐的成交候选人排列顺序确定供应商，以复函通知招标代理机构。</w:t>
      </w:r>
    </w:p>
    <w:p w14:paraId="48696715">
      <w:pPr>
        <w:pStyle w:val="17"/>
        <w:spacing w:line="360" w:lineRule="auto"/>
        <w:ind w:left="0" w:leftChars="0" w:firstLine="0" w:firstLineChars="0"/>
        <w:rPr>
          <w:rFonts w:cs="宋体"/>
          <w:b/>
          <w:color w:val="auto"/>
          <w:sz w:val="24"/>
          <w:szCs w:val="24"/>
          <w:highlight w:val="none"/>
        </w:rPr>
      </w:pPr>
      <w:r>
        <w:rPr>
          <w:rFonts w:hint="eastAsia" w:cs="宋体"/>
          <w:b/>
          <w:color w:val="auto"/>
          <w:sz w:val="24"/>
          <w:szCs w:val="24"/>
          <w:highlight w:val="none"/>
        </w:rPr>
        <w:br w:type="page"/>
      </w:r>
    </w:p>
    <w:p w14:paraId="4EDB189C">
      <w:pPr>
        <w:pStyle w:val="2"/>
        <w:jc w:val="center"/>
        <w:rPr>
          <w:rFonts w:ascii="宋体" w:eastAsia="宋体" w:cs="宋体"/>
          <w:bCs/>
          <w:color w:val="auto"/>
          <w:sz w:val="36"/>
          <w:szCs w:val="36"/>
          <w:highlight w:val="none"/>
        </w:rPr>
      </w:pPr>
      <w:bookmarkStart w:id="114" w:name="_Toc28741"/>
      <w:bookmarkStart w:id="115" w:name="_Toc10029"/>
      <w:bookmarkStart w:id="116" w:name="_Toc8788"/>
      <w:r>
        <w:rPr>
          <w:rFonts w:hint="eastAsia" w:ascii="宋体" w:eastAsia="宋体" w:cs="宋体"/>
          <w:bCs/>
          <w:color w:val="auto"/>
          <w:sz w:val="36"/>
          <w:szCs w:val="36"/>
          <w:highlight w:val="none"/>
        </w:rPr>
        <w:t>第四章  合同条款及格式</w:t>
      </w:r>
      <w:bookmarkEnd w:id="80"/>
      <w:bookmarkEnd w:id="81"/>
      <w:bookmarkEnd w:id="82"/>
      <w:bookmarkEnd w:id="114"/>
      <w:bookmarkEnd w:id="115"/>
      <w:bookmarkEnd w:id="116"/>
    </w:p>
    <w:p w14:paraId="534FA0C1">
      <w:pPr>
        <w:tabs>
          <w:tab w:val="left" w:pos="210"/>
          <w:tab w:val="left" w:pos="525"/>
        </w:tabs>
        <w:spacing w:line="360" w:lineRule="auto"/>
        <w:jc w:val="center"/>
        <w:outlineLvl w:val="1"/>
        <w:rPr>
          <w:rFonts w:hAnsi="宋体" w:cs="宋体"/>
          <w:color w:val="auto"/>
          <w:sz w:val="32"/>
          <w:szCs w:val="32"/>
          <w:highlight w:val="none"/>
        </w:rPr>
      </w:pPr>
      <w:bookmarkStart w:id="117" w:name="_Toc20005"/>
      <w:bookmarkStart w:id="118" w:name="_Toc23705"/>
      <w:bookmarkStart w:id="119" w:name="_Toc24218"/>
      <w:bookmarkStart w:id="120" w:name="_Toc32476"/>
      <w:bookmarkStart w:id="121" w:name="_Toc9717"/>
      <w:bookmarkStart w:id="122" w:name="_Toc3424"/>
      <w:bookmarkStart w:id="123" w:name="_Toc26300"/>
      <w:r>
        <w:rPr>
          <w:rFonts w:hint="eastAsia" w:hAnsi="宋体" w:cs="宋体"/>
          <w:b/>
          <w:bCs/>
          <w:color w:val="auto"/>
          <w:sz w:val="32"/>
          <w:szCs w:val="32"/>
          <w:highlight w:val="none"/>
        </w:rPr>
        <w:t>合同前附表</w:t>
      </w:r>
      <w:bookmarkEnd w:id="117"/>
      <w:bookmarkEnd w:id="118"/>
      <w:bookmarkEnd w:id="119"/>
      <w:bookmarkEnd w:id="120"/>
      <w:bookmarkEnd w:id="121"/>
      <w:bookmarkEnd w:id="122"/>
      <w:bookmarkEnd w:id="123"/>
    </w:p>
    <w:p w14:paraId="545D4F3B">
      <w:pPr>
        <w:rPr>
          <w:rFonts w:hAnsi="宋体" w:cs="宋体"/>
          <w:color w:val="auto"/>
          <w:highlight w:val="none"/>
        </w:rPr>
      </w:pPr>
    </w:p>
    <w:p w14:paraId="735DCC63">
      <w:pPr>
        <w:rPr>
          <w:rFonts w:hAnsi="宋体" w:cs="宋体"/>
          <w:color w:val="auto"/>
          <w:szCs w:val="24"/>
          <w:highlight w:val="none"/>
        </w:rPr>
      </w:pPr>
      <w:r>
        <w:rPr>
          <w:rFonts w:hint="eastAsia" w:hAnsi="宋体" w:cs="宋体"/>
          <w:color w:val="auto"/>
          <w:szCs w:val="24"/>
          <w:highlight w:val="none"/>
        </w:rPr>
        <w:t>本表是对合同条款的具体补充和修改，如有矛盾，应以本资料表为准。</w:t>
      </w:r>
    </w:p>
    <w:tbl>
      <w:tblPr>
        <w:tblStyle w:val="2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12"/>
        <w:gridCol w:w="8440"/>
      </w:tblGrid>
      <w:tr w14:paraId="60181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65D53542">
            <w:pPr>
              <w:spacing w:line="360" w:lineRule="auto"/>
              <w:jc w:val="center"/>
              <w:rPr>
                <w:rFonts w:hAnsi="宋体" w:cs="宋体"/>
                <w:color w:val="auto"/>
                <w:sz w:val="22"/>
                <w:szCs w:val="22"/>
                <w:highlight w:val="none"/>
              </w:rPr>
            </w:pPr>
            <w:r>
              <w:rPr>
                <w:rFonts w:hint="eastAsia" w:hAnsi="宋体" w:cs="宋体"/>
                <w:color w:val="auto"/>
                <w:sz w:val="22"/>
                <w:szCs w:val="22"/>
                <w:highlight w:val="none"/>
              </w:rPr>
              <w:t>条款号</w:t>
            </w:r>
          </w:p>
        </w:tc>
        <w:tc>
          <w:tcPr>
            <w:tcW w:w="8440" w:type="dxa"/>
            <w:vAlign w:val="center"/>
          </w:tcPr>
          <w:p w14:paraId="230CB97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内      容</w:t>
            </w:r>
          </w:p>
        </w:tc>
      </w:tr>
      <w:tr w14:paraId="19CE6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4DAA6E8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1</w:t>
            </w:r>
          </w:p>
        </w:tc>
        <w:tc>
          <w:tcPr>
            <w:tcW w:w="8440" w:type="dxa"/>
            <w:vAlign w:val="center"/>
          </w:tcPr>
          <w:p w14:paraId="7425C9C2">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采购人名称：</w:t>
            </w:r>
            <w:r>
              <w:rPr>
                <w:rFonts w:hint="eastAsia" w:hAnsi="宋体" w:cs="宋体"/>
                <w:color w:val="auto"/>
                <w:sz w:val="22"/>
                <w:szCs w:val="22"/>
                <w:highlight w:val="none"/>
                <w:lang w:eastAsia="zh-CN"/>
              </w:rPr>
              <w:t>西安市儿童医院</w:t>
            </w:r>
          </w:p>
          <w:p w14:paraId="3CBA9BD3">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地      址：</w:t>
            </w:r>
            <w:r>
              <w:rPr>
                <w:rFonts w:hint="eastAsia" w:hAnsi="宋体" w:cs="宋体"/>
                <w:color w:val="auto"/>
                <w:sz w:val="22"/>
                <w:szCs w:val="22"/>
                <w:highlight w:val="none"/>
                <w:lang w:eastAsia="zh-CN"/>
              </w:rPr>
              <w:t>西安市莲湖区西举院巷69号</w:t>
            </w:r>
          </w:p>
          <w:p w14:paraId="2D253657">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项目名称：</w:t>
            </w:r>
            <w:r>
              <w:rPr>
                <w:rFonts w:hint="eastAsia" w:hAnsi="宋体" w:cs="宋体"/>
                <w:color w:val="auto"/>
                <w:sz w:val="22"/>
                <w:szCs w:val="22"/>
                <w:highlight w:val="none"/>
                <w:lang w:eastAsia="zh-CN"/>
              </w:rPr>
              <w:t>吉祥物衍生品制作项目(三次)</w:t>
            </w:r>
          </w:p>
        </w:tc>
      </w:tr>
      <w:tr w14:paraId="43A4A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7448F80C">
            <w:pPr>
              <w:spacing w:line="360" w:lineRule="auto"/>
              <w:jc w:val="center"/>
              <w:rPr>
                <w:rFonts w:hAnsi="宋体" w:cs="宋体"/>
                <w:color w:val="auto"/>
                <w:sz w:val="22"/>
                <w:szCs w:val="22"/>
                <w:highlight w:val="none"/>
              </w:rPr>
            </w:pPr>
            <w:r>
              <w:rPr>
                <w:rFonts w:hint="eastAsia" w:hAnsi="宋体" w:cs="宋体"/>
                <w:color w:val="auto"/>
                <w:sz w:val="22"/>
                <w:szCs w:val="22"/>
                <w:highlight w:val="none"/>
              </w:rPr>
              <w:t>2</w:t>
            </w:r>
          </w:p>
        </w:tc>
        <w:tc>
          <w:tcPr>
            <w:tcW w:w="8440" w:type="dxa"/>
            <w:vAlign w:val="center"/>
          </w:tcPr>
          <w:p w14:paraId="4604D0A2">
            <w:pPr>
              <w:spacing w:line="360" w:lineRule="auto"/>
              <w:rPr>
                <w:rFonts w:hint="default" w:hAnsi="宋体" w:eastAsia="宋体" w:cs="宋体"/>
                <w:color w:val="auto"/>
                <w:sz w:val="22"/>
                <w:szCs w:val="22"/>
                <w:highlight w:val="none"/>
                <w:lang w:val="en-US" w:eastAsia="zh-CN"/>
              </w:rPr>
            </w:pPr>
            <w:r>
              <w:rPr>
                <w:rFonts w:hint="eastAsia" w:hAnsi="宋体" w:cs="宋体"/>
                <w:color w:val="auto"/>
                <w:sz w:val="22"/>
                <w:szCs w:val="22"/>
                <w:highlight w:val="none"/>
              </w:rPr>
              <w:t>项目实施地点：</w:t>
            </w:r>
            <w:r>
              <w:rPr>
                <w:rFonts w:hint="eastAsia" w:hAnsi="宋体" w:cs="宋体"/>
                <w:color w:val="auto"/>
                <w:sz w:val="22"/>
                <w:szCs w:val="22"/>
                <w:highlight w:val="none"/>
                <w:lang w:val="en-US" w:eastAsia="zh-CN"/>
              </w:rPr>
              <w:t>采购人指定地点</w:t>
            </w:r>
          </w:p>
        </w:tc>
      </w:tr>
      <w:tr w14:paraId="41874E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317C5F4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3</w:t>
            </w:r>
          </w:p>
        </w:tc>
        <w:tc>
          <w:tcPr>
            <w:tcW w:w="8440" w:type="dxa"/>
            <w:vAlign w:val="center"/>
          </w:tcPr>
          <w:p w14:paraId="35848137">
            <w:pPr>
              <w:pStyle w:val="7"/>
              <w:ind w:firstLine="0" w:firstLineChars="0"/>
              <w:rPr>
                <w:rFonts w:hint="eastAsia" w:hAnsi="宋体" w:eastAsia="宋体" w:cs="宋体"/>
                <w:color w:val="auto"/>
                <w:sz w:val="20"/>
                <w:szCs w:val="22"/>
                <w:highlight w:val="none"/>
                <w:lang w:val="en-US" w:eastAsia="zh-CN"/>
              </w:rPr>
            </w:pPr>
            <w:r>
              <w:rPr>
                <w:rFonts w:hint="eastAsia" w:ascii="宋体" w:hAnsi="宋体" w:cs="宋体"/>
                <w:color w:val="auto"/>
                <w:sz w:val="22"/>
                <w:szCs w:val="22"/>
                <w:highlight w:val="none"/>
              </w:rPr>
              <w:t>服务期限：收到中标通知书后25个工作日内完成全套产品效果图、尺寸图、工艺图设计并通过院方定稿，后续按约定周期完成打样、生产、配送、安装全流程交付</w:t>
            </w:r>
            <w:r>
              <w:rPr>
                <w:rFonts w:hint="eastAsia" w:ascii="宋体" w:hAnsi="宋体" w:cs="宋体"/>
                <w:color w:val="auto"/>
                <w:sz w:val="22"/>
                <w:szCs w:val="22"/>
                <w:highlight w:val="none"/>
                <w:lang w:eastAsia="zh-CN"/>
              </w:rPr>
              <w:t>。</w:t>
            </w:r>
          </w:p>
        </w:tc>
      </w:tr>
      <w:tr w14:paraId="42B00D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5F5D66E7">
            <w:pPr>
              <w:spacing w:line="360" w:lineRule="auto"/>
              <w:jc w:val="center"/>
              <w:rPr>
                <w:rFonts w:hAnsi="宋体" w:cs="宋体"/>
                <w:color w:val="auto"/>
                <w:sz w:val="22"/>
                <w:szCs w:val="22"/>
                <w:highlight w:val="none"/>
              </w:rPr>
            </w:pPr>
            <w:r>
              <w:rPr>
                <w:rFonts w:hint="eastAsia" w:hAnsi="宋体" w:cs="宋体"/>
                <w:color w:val="auto"/>
                <w:sz w:val="22"/>
                <w:szCs w:val="22"/>
                <w:highlight w:val="none"/>
              </w:rPr>
              <w:t>4</w:t>
            </w:r>
          </w:p>
        </w:tc>
        <w:tc>
          <w:tcPr>
            <w:tcW w:w="8440" w:type="dxa"/>
            <w:vAlign w:val="center"/>
          </w:tcPr>
          <w:p w14:paraId="6A9CC273">
            <w:pPr>
              <w:spacing w:line="360" w:lineRule="auto"/>
              <w:rPr>
                <w:rFonts w:hAnsi="宋体" w:cs="宋体"/>
                <w:b/>
                <w:color w:val="auto"/>
                <w:sz w:val="22"/>
                <w:szCs w:val="22"/>
                <w:highlight w:val="none"/>
              </w:rPr>
            </w:pPr>
            <w:r>
              <w:rPr>
                <w:rFonts w:hint="eastAsia" w:hAnsi="宋体" w:cs="宋体"/>
                <w:b/>
                <w:color w:val="auto"/>
                <w:sz w:val="22"/>
                <w:szCs w:val="22"/>
                <w:highlight w:val="none"/>
              </w:rPr>
              <w:t>付款：</w:t>
            </w:r>
          </w:p>
          <w:p w14:paraId="0247E17D">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1.合同总价即成交价，不受市场价变化或实际工作量变化的影响。供应商应在磋商报价表中标明完成本次磋商所要求的全部服务的所有费用。</w:t>
            </w:r>
          </w:p>
          <w:p w14:paraId="0B171F78">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2.付款方式和程序：</w:t>
            </w:r>
          </w:p>
          <w:p w14:paraId="746F0C34">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2.1由采购人负责结算，在付款前，供应商必须开具全额发票给采购人（附详细清单）。</w:t>
            </w:r>
          </w:p>
          <w:p w14:paraId="1D7F835B">
            <w:pPr>
              <w:spacing w:line="360" w:lineRule="auto"/>
              <w:ind w:firstLine="440" w:firstLineChars="200"/>
              <w:rPr>
                <w:rFonts w:hint="eastAsia" w:hAnsi="宋体" w:cs="宋体"/>
                <w:color w:val="auto"/>
                <w:sz w:val="22"/>
                <w:szCs w:val="22"/>
                <w:highlight w:val="none"/>
              </w:rPr>
            </w:pPr>
            <w:r>
              <w:rPr>
                <w:rFonts w:hint="eastAsia" w:hAnsi="宋体" w:cs="宋体"/>
                <w:color w:val="auto"/>
                <w:sz w:val="22"/>
                <w:szCs w:val="22"/>
                <w:highlight w:val="none"/>
              </w:rPr>
              <w:t>2.2付款方式：</w:t>
            </w:r>
          </w:p>
          <w:p w14:paraId="3627868C">
            <w:pPr>
              <w:spacing w:line="360" w:lineRule="auto"/>
              <w:ind w:firstLine="480" w:firstLineChars="200"/>
              <w:rPr>
                <w:rFonts w:hAnsi="宋体" w:cs="宋体"/>
                <w:color w:val="auto"/>
                <w:sz w:val="22"/>
                <w:szCs w:val="22"/>
                <w:highlight w:val="none"/>
              </w:rPr>
            </w:pPr>
            <w:r>
              <w:rPr>
                <w:rFonts w:hint="eastAsia" w:ascii="宋体" w:hAnsi="宋体" w:eastAsia="宋体" w:cs="宋体"/>
                <w:sz w:val="24"/>
                <w:szCs w:val="24"/>
                <w:highlight w:val="none"/>
              </w:rPr>
              <w:t>验收合格</w:t>
            </w:r>
            <w:r>
              <w:rPr>
                <w:rFonts w:hint="eastAsia" w:ascii="宋体" w:hAnsi="宋体" w:eastAsia="宋体" w:cs="宋体"/>
                <w:sz w:val="24"/>
                <w:szCs w:val="24"/>
                <w:highlight w:val="none"/>
                <w:lang w:eastAsia="zh-CN"/>
              </w:rPr>
              <w:t>后</w:t>
            </w:r>
            <w:r>
              <w:rPr>
                <w:rFonts w:hint="eastAsia" w:ascii="宋体" w:hAnsi="宋体" w:eastAsia="宋体" w:cs="宋体"/>
                <w:sz w:val="24"/>
                <w:szCs w:val="24"/>
                <w:highlight w:val="none"/>
                <w:lang w:val="en-US" w:eastAsia="zh-CN"/>
              </w:rPr>
              <w:t>20个工作日内</w:t>
            </w:r>
            <w:r>
              <w:rPr>
                <w:rFonts w:hint="eastAsia" w:ascii="宋体" w:hAnsi="宋体" w:eastAsia="宋体" w:cs="宋体"/>
                <w:sz w:val="24"/>
                <w:szCs w:val="24"/>
                <w:highlight w:val="none"/>
                <w:lang w:eastAsia="zh-CN"/>
              </w:rPr>
              <w:t>按照</w:t>
            </w:r>
            <w:r>
              <w:rPr>
                <w:rFonts w:hint="eastAsia" w:ascii="宋体" w:hAnsi="宋体" w:eastAsia="宋体" w:cs="宋体"/>
                <w:sz w:val="24"/>
                <w:szCs w:val="24"/>
                <w:highlight w:val="none"/>
              </w:rPr>
              <w:t>中标单价</w:t>
            </w:r>
            <w:r>
              <w:rPr>
                <w:rFonts w:hint="eastAsia" w:ascii="宋体" w:hAnsi="宋体" w:eastAsia="宋体" w:cs="宋体"/>
                <w:kern w:val="2"/>
                <w:sz w:val="24"/>
                <w:szCs w:val="24"/>
                <w:highlight w:val="none"/>
              </w:rPr>
              <w:t>及实际验收合格数量</w:t>
            </w:r>
            <w:r>
              <w:rPr>
                <w:rFonts w:hint="eastAsia" w:ascii="宋体" w:hAnsi="宋体" w:eastAsia="宋体" w:cs="宋体"/>
                <w:sz w:val="24"/>
                <w:szCs w:val="24"/>
                <w:highlight w:val="none"/>
                <w:lang w:eastAsia="zh-CN"/>
              </w:rPr>
              <w:t>进行</w:t>
            </w:r>
            <w:r>
              <w:rPr>
                <w:rFonts w:hint="eastAsia" w:ascii="宋体" w:hAnsi="宋体" w:eastAsia="宋体" w:cs="宋体"/>
                <w:sz w:val="24"/>
                <w:szCs w:val="24"/>
                <w:highlight w:val="none"/>
              </w:rPr>
              <w:t>据实结算</w:t>
            </w:r>
            <w:r>
              <w:rPr>
                <w:rFonts w:hint="eastAsia" w:ascii="宋体" w:hAnsi="宋体" w:eastAsia="宋体" w:cs="宋体"/>
                <w:sz w:val="24"/>
                <w:szCs w:val="24"/>
                <w:highlight w:val="none"/>
                <w:lang w:eastAsia="zh-CN"/>
              </w:rPr>
              <w:t>，</w:t>
            </w:r>
            <w:r>
              <w:rPr>
                <w:rFonts w:hint="eastAsia" w:ascii="宋体" w:hAnsi="宋体" w:eastAsia="宋体" w:cs="宋体"/>
                <w:kern w:val="2"/>
                <w:sz w:val="24"/>
                <w:szCs w:val="24"/>
                <w:highlight w:val="none"/>
              </w:rPr>
              <w:t>甲方一次性支付实际结算费用总额的</w:t>
            </w:r>
            <w:r>
              <w:rPr>
                <w:rFonts w:hint="eastAsia" w:ascii="宋体" w:hAnsi="宋体" w:eastAsia="宋体" w:cs="宋体"/>
                <w:kern w:val="2"/>
                <w:sz w:val="24"/>
                <w:szCs w:val="24"/>
                <w:highlight w:val="none"/>
                <w:lang w:val="en-US" w:eastAsia="zh-CN"/>
              </w:rPr>
              <w:t>97</w:t>
            </w:r>
            <w:r>
              <w:rPr>
                <w:rFonts w:ascii="宋体" w:hAnsi="宋体" w:eastAsia="宋体" w:cs="宋体"/>
                <w:kern w:val="2"/>
                <w:sz w:val="24"/>
                <w:szCs w:val="24"/>
                <w:highlight w:val="none"/>
              </w:rPr>
              <w:t>%</w:t>
            </w:r>
            <w:r>
              <w:rPr>
                <w:rFonts w:hint="eastAsia" w:ascii="宋体" w:hAnsi="宋体" w:eastAsia="宋体" w:cs="宋体"/>
                <w:kern w:val="2"/>
                <w:sz w:val="24"/>
                <w:szCs w:val="24"/>
                <w:highlight w:val="none"/>
              </w:rPr>
              <w:t>，留存</w:t>
            </w:r>
            <w:r>
              <w:rPr>
                <w:rFonts w:hint="eastAsia" w:ascii="宋体" w:hAnsi="宋体" w:eastAsia="宋体" w:cs="宋体"/>
                <w:kern w:val="2"/>
                <w:sz w:val="24"/>
                <w:szCs w:val="24"/>
                <w:highlight w:val="none"/>
                <w:lang w:val="en-US" w:eastAsia="zh-CN"/>
              </w:rPr>
              <w:t>3</w:t>
            </w:r>
            <w:r>
              <w:rPr>
                <w:rFonts w:ascii="宋体" w:hAnsi="宋体" w:eastAsia="宋体" w:cs="宋体"/>
                <w:kern w:val="2"/>
                <w:sz w:val="24"/>
                <w:szCs w:val="24"/>
                <w:highlight w:val="none"/>
              </w:rPr>
              <w:t>%</w:t>
            </w:r>
            <w:r>
              <w:rPr>
                <w:rFonts w:hint="eastAsia" w:ascii="宋体" w:hAnsi="宋体" w:eastAsia="宋体" w:cs="宋体"/>
                <w:kern w:val="2"/>
                <w:sz w:val="24"/>
                <w:szCs w:val="24"/>
                <w:highlight w:val="none"/>
              </w:rPr>
              <w:t>作为尾款，质保期</w:t>
            </w:r>
            <w:r>
              <w:rPr>
                <w:rFonts w:hint="eastAsia" w:ascii="宋体" w:hAnsi="宋体" w:eastAsia="宋体" w:cs="宋体"/>
                <w:kern w:val="2"/>
                <w:sz w:val="24"/>
                <w:szCs w:val="24"/>
                <w:highlight w:val="none"/>
                <w:lang w:val="en-US" w:eastAsia="zh-CN"/>
              </w:rPr>
              <w:t>1年</w:t>
            </w:r>
            <w:r>
              <w:rPr>
                <w:rFonts w:hint="eastAsia" w:ascii="宋体" w:hAnsi="宋体" w:eastAsia="宋体" w:cs="宋体"/>
                <w:kern w:val="2"/>
                <w:sz w:val="24"/>
                <w:szCs w:val="24"/>
                <w:highlight w:val="none"/>
              </w:rPr>
              <w:t>满后无质量问题免息付清</w:t>
            </w:r>
            <w:r>
              <w:rPr>
                <w:rFonts w:hint="eastAsia" w:ascii="宋体" w:hAnsi="宋体" w:eastAsia="宋体" w:cs="宋体"/>
                <w:sz w:val="24"/>
                <w:szCs w:val="24"/>
                <w:highlight w:val="none"/>
              </w:rPr>
              <w:t>，总价款不超20万元预算上限</w:t>
            </w:r>
            <w:r>
              <w:rPr>
                <w:rFonts w:hint="eastAsia" w:hAnsi="宋体" w:cs="宋体"/>
                <w:color w:val="auto"/>
                <w:sz w:val="22"/>
                <w:szCs w:val="22"/>
                <w:highlight w:val="none"/>
              </w:rPr>
              <w:t>（具体以签订合同为准）。</w:t>
            </w:r>
          </w:p>
          <w:p w14:paraId="11EE0127">
            <w:pPr>
              <w:spacing w:line="360" w:lineRule="auto"/>
              <w:ind w:firstLine="442" w:firstLineChars="200"/>
              <w:rPr>
                <w:rFonts w:hAnsi="宋体" w:cs="宋体"/>
                <w:color w:val="auto"/>
                <w:sz w:val="22"/>
                <w:szCs w:val="22"/>
                <w:highlight w:val="none"/>
              </w:rPr>
            </w:pPr>
            <w:r>
              <w:rPr>
                <w:rFonts w:hint="eastAsia" w:hAnsi="宋体" w:cs="宋体"/>
                <w:b/>
                <w:color w:val="auto"/>
                <w:sz w:val="22"/>
                <w:szCs w:val="22"/>
                <w:highlight w:val="none"/>
              </w:rPr>
              <w:t>2.3支付方式：银行转账</w:t>
            </w:r>
          </w:p>
        </w:tc>
      </w:tr>
      <w:tr w14:paraId="5A276D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07D15F05">
            <w:pPr>
              <w:spacing w:line="360" w:lineRule="auto"/>
              <w:jc w:val="center"/>
              <w:rPr>
                <w:rFonts w:hAnsi="宋体" w:cs="宋体"/>
                <w:color w:val="auto"/>
                <w:sz w:val="22"/>
                <w:szCs w:val="22"/>
                <w:highlight w:val="none"/>
              </w:rPr>
            </w:pPr>
            <w:r>
              <w:rPr>
                <w:rFonts w:hint="eastAsia" w:hAnsi="宋体" w:cs="宋体"/>
                <w:color w:val="auto"/>
                <w:sz w:val="22"/>
                <w:szCs w:val="22"/>
                <w:highlight w:val="none"/>
              </w:rPr>
              <w:t>5</w:t>
            </w:r>
          </w:p>
        </w:tc>
        <w:tc>
          <w:tcPr>
            <w:tcW w:w="8440" w:type="dxa"/>
            <w:vAlign w:val="center"/>
          </w:tcPr>
          <w:p w14:paraId="7FC41AE5">
            <w:pPr>
              <w:spacing w:line="360" w:lineRule="auto"/>
              <w:rPr>
                <w:rFonts w:hAnsi="宋体" w:cs="宋体"/>
                <w:b/>
                <w:color w:val="auto"/>
                <w:sz w:val="22"/>
                <w:szCs w:val="22"/>
                <w:highlight w:val="none"/>
              </w:rPr>
            </w:pPr>
            <w:r>
              <w:rPr>
                <w:rFonts w:hint="eastAsia" w:hAnsi="宋体" w:cs="宋体"/>
                <w:b/>
                <w:color w:val="auto"/>
                <w:sz w:val="22"/>
                <w:szCs w:val="22"/>
                <w:highlight w:val="none"/>
              </w:rPr>
              <w:t>服务支持：</w:t>
            </w:r>
          </w:p>
          <w:p w14:paraId="49B1D659">
            <w:pPr>
              <w:spacing w:line="360" w:lineRule="auto"/>
              <w:ind w:firstLine="440" w:firstLineChars="200"/>
              <w:jc w:val="left"/>
              <w:rPr>
                <w:rFonts w:hAnsi="宋体" w:cs="宋体"/>
                <w:color w:val="auto"/>
                <w:sz w:val="22"/>
                <w:szCs w:val="22"/>
                <w:highlight w:val="none"/>
              </w:rPr>
            </w:pPr>
            <w:r>
              <w:rPr>
                <w:rFonts w:hint="eastAsia" w:hAnsi="宋体" w:cs="宋体"/>
                <w:bCs/>
                <w:color w:val="auto"/>
                <w:sz w:val="22"/>
                <w:szCs w:val="22"/>
                <w:highlight w:val="none"/>
              </w:rPr>
              <w:t>供应商在项目实施过程中，质量保障人员、资源不足或者执行不力，给项目质量带来的风险超出采购人认定的允许范围时，采购人可终止本项目的合作并进行索赔。</w:t>
            </w:r>
          </w:p>
        </w:tc>
      </w:tr>
      <w:tr w14:paraId="3267A6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4CAB2C9F">
            <w:pPr>
              <w:spacing w:line="360" w:lineRule="auto"/>
              <w:jc w:val="center"/>
              <w:rPr>
                <w:rFonts w:hAnsi="宋体" w:cs="宋体"/>
                <w:color w:val="auto"/>
                <w:sz w:val="22"/>
                <w:szCs w:val="22"/>
                <w:highlight w:val="none"/>
              </w:rPr>
            </w:pPr>
            <w:r>
              <w:rPr>
                <w:rFonts w:hint="eastAsia" w:hAnsi="宋体" w:cs="宋体"/>
                <w:color w:val="auto"/>
                <w:sz w:val="22"/>
                <w:szCs w:val="22"/>
                <w:highlight w:val="none"/>
              </w:rPr>
              <w:t>6</w:t>
            </w:r>
          </w:p>
        </w:tc>
        <w:tc>
          <w:tcPr>
            <w:tcW w:w="8440" w:type="dxa"/>
            <w:vAlign w:val="center"/>
          </w:tcPr>
          <w:p w14:paraId="53C90ADF">
            <w:pPr>
              <w:spacing w:line="360" w:lineRule="auto"/>
              <w:rPr>
                <w:rFonts w:hAnsi="宋体" w:cs="宋体"/>
                <w:b/>
                <w:color w:val="auto"/>
                <w:sz w:val="22"/>
                <w:szCs w:val="22"/>
                <w:highlight w:val="none"/>
              </w:rPr>
            </w:pPr>
            <w:r>
              <w:rPr>
                <w:rFonts w:hint="eastAsia" w:hAnsi="宋体" w:cs="宋体"/>
                <w:b/>
                <w:color w:val="auto"/>
                <w:sz w:val="22"/>
                <w:szCs w:val="22"/>
                <w:highlight w:val="none"/>
              </w:rPr>
              <w:t>知识产权、专利权：</w:t>
            </w:r>
          </w:p>
          <w:p w14:paraId="011EEA6E">
            <w:pPr>
              <w:tabs>
                <w:tab w:val="left" w:pos="498"/>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供应商应对所提供的文稿及图像，已取得合法知识产权或其使用权，供应商应保证所提供的服务不会出现因第三方提出侵犯其版权、商标权或其他知识产权而引发法律或经济纠纷，否则由供应商负责解决并承担全部责任；如因此影响到采购人的正常使用，采购人有权单方解除本合同，供应商应无条件向采购人退回已收取的全部合同价款。</w:t>
            </w:r>
          </w:p>
        </w:tc>
      </w:tr>
      <w:tr w14:paraId="2DEA51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60" w:hRule="atLeast"/>
        </w:trPr>
        <w:tc>
          <w:tcPr>
            <w:tcW w:w="912" w:type="dxa"/>
            <w:vAlign w:val="center"/>
          </w:tcPr>
          <w:p w14:paraId="51DED298">
            <w:pPr>
              <w:spacing w:line="360" w:lineRule="auto"/>
              <w:jc w:val="center"/>
              <w:rPr>
                <w:rFonts w:hAnsi="宋体" w:cs="宋体"/>
                <w:color w:val="auto"/>
                <w:sz w:val="22"/>
                <w:szCs w:val="22"/>
                <w:highlight w:val="none"/>
              </w:rPr>
            </w:pPr>
            <w:r>
              <w:rPr>
                <w:rFonts w:hint="eastAsia" w:hAnsi="宋体" w:cs="宋体"/>
                <w:color w:val="auto"/>
                <w:sz w:val="22"/>
                <w:szCs w:val="22"/>
                <w:highlight w:val="none"/>
              </w:rPr>
              <w:t>7</w:t>
            </w:r>
          </w:p>
        </w:tc>
        <w:tc>
          <w:tcPr>
            <w:tcW w:w="8440" w:type="dxa"/>
            <w:vAlign w:val="center"/>
          </w:tcPr>
          <w:p w14:paraId="417F6DB1">
            <w:pPr>
              <w:spacing w:line="360" w:lineRule="auto"/>
              <w:rPr>
                <w:rFonts w:hAnsi="宋体" w:cs="宋体"/>
                <w:b/>
                <w:color w:val="auto"/>
                <w:sz w:val="22"/>
                <w:szCs w:val="22"/>
                <w:highlight w:val="none"/>
              </w:rPr>
            </w:pPr>
            <w:r>
              <w:rPr>
                <w:rFonts w:hint="eastAsia" w:hAnsi="宋体" w:cs="宋体"/>
                <w:b/>
                <w:color w:val="auto"/>
                <w:sz w:val="22"/>
                <w:szCs w:val="22"/>
                <w:highlight w:val="none"/>
              </w:rPr>
              <w:t>违约责任：</w:t>
            </w:r>
          </w:p>
          <w:p w14:paraId="11A3C416">
            <w:pPr>
              <w:tabs>
                <w:tab w:val="left" w:pos="152"/>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1、按《中华人民共和国民法典》中的相关条款执行。</w:t>
            </w:r>
          </w:p>
          <w:p w14:paraId="363EEA23">
            <w:pPr>
              <w:snapToGrid w:val="0"/>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 w:val="22"/>
                <w:szCs w:val="22"/>
                <w:highlight w:val="none"/>
              </w:rPr>
              <w:t>政府采购法》及相关法律法规对服务商的违法行为进行相应的处罚。</w:t>
            </w:r>
          </w:p>
        </w:tc>
      </w:tr>
      <w:tr w14:paraId="540CA0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3218D71C">
            <w:pPr>
              <w:spacing w:line="360" w:lineRule="auto"/>
              <w:jc w:val="center"/>
              <w:rPr>
                <w:rFonts w:hAnsi="宋体" w:cs="宋体"/>
                <w:color w:val="auto"/>
                <w:sz w:val="22"/>
                <w:szCs w:val="22"/>
                <w:highlight w:val="none"/>
              </w:rPr>
            </w:pPr>
            <w:r>
              <w:rPr>
                <w:rFonts w:hint="eastAsia" w:hAnsi="宋体" w:cs="宋体"/>
                <w:color w:val="auto"/>
                <w:sz w:val="22"/>
                <w:szCs w:val="22"/>
                <w:highlight w:val="none"/>
              </w:rPr>
              <w:t>8</w:t>
            </w:r>
          </w:p>
        </w:tc>
        <w:tc>
          <w:tcPr>
            <w:tcW w:w="8440" w:type="dxa"/>
            <w:vAlign w:val="center"/>
          </w:tcPr>
          <w:p w14:paraId="4EA77D40">
            <w:pPr>
              <w:spacing w:line="360" w:lineRule="auto"/>
              <w:rPr>
                <w:rFonts w:hAnsi="宋体" w:cs="宋体"/>
                <w:b/>
                <w:color w:val="auto"/>
                <w:sz w:val="22"/>
                <w:szCs w:val="22"/>
                <w:highlight w:val="none"/>
              </w:rPr>
            </w:pPr>
            <w:r>
              <w:rPr>
                <w:rFonts w:hint="eastAsia" w:hAnsi="宋体" w:cs="宋体"/>
                <w:b/>
                <w:color w:val="auto"/>
                <w:sz w:val="22"/>
                <w:szCs w:val="22"/>
                <w:highlight w:val="none"/>
              </w:rPr>
              <w:t>政府采购合同：</w:t>
            </w:r>
          </w:p>
          <w:p w14:paraId="580B0E61">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政府采购合同适用《中华人民共和国民法典》。采购人和供应商之间的权利和义务，应当按照平等、自愿的原则以合同方式约定。</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采购人可以委托采购代理机构代表其与供应商签订政府采购合同。由采购代理机构以采购人名义签订合同的，应当提交采购人的授权委托书，作为合同附件。</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采购人与中标、成交供应商应当在中标、成交通知书发出之日起</w:t>
            </w:r>
            <w:r>
              <w:rPr>
                <w:rFonts w:hint="eastAsia" w:hAnsi="宋体" w:cs="宋体"/>
                <w:color w:val="auto"/>
                <w:sz w:val="22"/>
                <w:szCs w:val="22"/>
                <w:highlight w:val="none"/>
                <w:lang w:val="en-US" w:eastAsia="zh-CN"/>
              </w:rPr>
              <w:t>二十五</w:t>
            </w:r>
            <w:r>
              <w:rPr>
                <w:rFonts w:hint="eastAsia" w:hAnsi="宋体" w:cs="宋体"/>
                <w:color w:val="auto"/>
                <w:sz w:val="22"/>
                <w:szCs w:val="22"/>
                <w:highlight w:val="none"/>
              </w:rPr>
              <w:t>日内，按照采购文件确定的事项签订政府采购合同。</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4B43C2F4">
            <w:pPr>
              <w:pStyle w:val="12"/>
              <w:spacing w:line="360" w:lineRule="auto"/>
              <w:ind w:firstLine="440" w:firstLineChars="200"/>
              <w:rPr>
                <w:rFonts w:hAnsi="宋体" w:cs="宋体"/>
                <w:color w:val="auto"/>
                <w:kern w:val="0"/>
                <w:sz w:val="22"/>
                <w:szCs w:val="22"/>
                <w:highlight w:val="none"/>
              </w:rPr>
            </w:pPr>
            <w:r>
              <w:rPr>
                <w:rFonts w:hint="eastAsia" w:hAnsi="宋体" w:cs="宋体"/>
                <w:color w:val="auto"/>
                <w:sz w:val="22"/>
                <w:szCs w:val="22"/>
                <w:highlight w:val="none"/>
              </w:rPr>
              <w:t>经采购人同意，中标、成交供应商可以依法采取分包方式履行合同。政府采购合同分包履行的，中标、成交供应商就采购项目和分包项目向采购人负责，分包供应商就分包项目承担责任。</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政府采购合同的双方当事人不得擅自变更、中止或者终止合同。</w:t>
            </w:r>
            <w:r>
              <w:rPr>
                <w:rFonts w:hint="eastAsia" w:hAnsi="宋体" w:cs="宋体"/>
                <w:color w:val="auto"/>
                <w:sz w:val="22"/>
                <w:szCs w:val="22"/>
                <w:highlight w:val="none"/>
              </w:rPr>
              <w:br w:type="textWrapping"/>
            </w:r>
            <w:r>
              <w:rPr>
                <w:rFonts w:hint="eastAsia" w:hAnsi="宋体" w:cs="宋体"/>
                <w:color w:val="auto"/>
                <w:sz w:val="22"/>
                <w:szCs w:val="22"/>
                <w:highlight w:val="none"/>
              </w:rPr>
              <w:t>政府采购合同继续履行将损害国家利益和社会公共利益的，双方当事人应当变更、中止或者终止合同。有过错的一方应当承担赔偿责任，双方都有过错的，各自承担相应的责任。</w:t>
            </w:r>
          </w:p>
        </w:tc>
      </w:tr>
    </w:tbl>
    <w:p w14:paraId="7C64B045">
      <w:pPr>
        <w:rPr>
          <w:rFonts w:hAnsi="宋体" w:cs="宋体"/>
          <w:color w:val="auto"/>
          <w:sz w:val="32"/>
          <w:highlight w:val="none"/>
        </w:rPr>
      </w:pPr>
      <w:bookmarkStart w:id="124" w:name="_Toc26595"/>
      <w:bookmarkStart w:id="125" w:name="_Toc19246"/>
      <w:bookmarkStart w:id="126" w:name="_Toc31520"/>
      <w:bookmarkStart w:id="127" w:name="_Toc423973075"/>
      <w:bookmarkStart w:id="128" w:name="_Toc19199"/>
      <w:bookmarkStart w:id="129" w:name="_Toc389582037"/>
      <w:bookmarkStart w:id="130" w:name="_Toc29888"/>
      <w:bookmarkStart w:id="131" w:name="_Toc4679"/>
      <w:bookmarkStart w:id="132" w:name="_Toc8333"/>
      <w:r>
        <w:rPr>
          <w:rFonts w:hint="eastAsia" w:hAnsi="宋体" w:cs="宋体"/>
          <w:b/>
          <w:bCs/>
          <w:color w:val="auto"/>
          <w:sz w:val="48"/>
          <w:szCs w:val="48"/>
          <w:highlight w:val="none"/>
        </w:rPr>
        <w:br w:type="page"/>
      </w:r>
    </w:p>
    <w:bookmarkEnd w:id="79"/>
    <w:bookmarkEnd w:id="124"/>
    <w:bookmarkEnd w:id="125"/>
    <w:bookmarkEnd w:id="126"/>
    <w:bookmarkEnd w:id="127"/>
    <w:bookmarkEnd w:id="128"/>
    <w:bookmarkEnd w:id="129"/>
    <w:bookmarkEnd w:id="130"/>
    <w:bookmarkEnd w:id="131"/>
    <w:bookmarkEnd w:id="132"/>
    <w:tbl>
      <w:tblPr>
        <w:tblStyle w:val="22"/>
        <w:tblW w:w="0" w:type="auto"/>
        <w:tblInd w:w="5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5"/>
      </w:tblGrid>
      <w:tr w14:paraId="08382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2295" w:type="dxa"/>
            <w:noWrap/>
          </w:tcPr>
          <w:p w14:paraId="763A671F">
            <w:pPr>
              <w:jc w:val="center"/>
              <w:rPr>
                <w:color w:val="auto"/>
                <w:sz w:val="30"/>
                <w:szCs w:val="30"/>
              </w:rPr>
            </w:pPr>
            <w:bookmarkStart w:id="133" w:name="_Toc6373"/>
            <w:bookmarkStart w:id="134" w:name="_Toc363474025"/>
            <w:bookmarkStart w:id="135" w:name="_Toc423973079"/>
            <w:bookmarkStart w:id="136" w:name="_Toc5084"/>
            <w:bookmarkStart w:id="137" w:name="_Toc403077646"/>
            <w:r>
              <w:rPr>
                <w:color w:val="auto"/>
                <w:sz w:val="30"/>
                <w:szCs w:val="30"/>
              </w:rPr>
              <w:drawing>
                <wp:anchor distT="0" distB="0" distL="114300" distR="114300" simplePos="0" relativeHeight="251659264" behindDoc="0" locked="0" layoutInCell="1" allowOverlap="1">
                  <wp:simplePos x="0" y="0"/>
                  <wp:positionH relativeFrom="column">
                    <wp:posOffset>3169920</wp:posOffset>
                  </wp:positionH>
                  <wp:positionV relativeFrom="paragraph">
                    <wp:posOffset>107950</wp:posOffset>
                  </wp:positionV>
                  <wp:extent cx="1857375" cy="600075"/>
                  <wp:effectExtent l="0" t="0" r="9525" b="9525"/>
                  <wp:wrapNone/>
                  <wp:docPr id="1" name="图片 2" descr="F:\9.各类PPT\1.儿童医院LOGO\儿童医院LOGO-2020.9.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F:\9.各类PPT\1.儿童医院LOGO\儿童医院LOGO-2020.9.16.png"/>
                          <pic:cNvPicPr>
                            <a:picLocks noChangeAspect="1"/>
                          </pic:cNvPicPr>
                        </pic:nvPicPr>
                        <pic:blipFill>
                          <a:blip r:embed="rId13"/>
                          <a:stretch>
                            <a:fillRect/>
                          </a:stretch>
                        </pic:blipFill>
                        <pic:spPr>
                          <a:xfrm>
                            <a:off x="0" y="0"/>
                            <a:ext cx="1857375" cy="600075"/>
                          </a:xfrm>
                          <a:prstGeom prst="rect">
                            <a:avLst/>
                          </a:prstGeom>
                          <a:noFill/>
                          <a:ln>
                            <a:noFill/>
                          </a:ln>
                        </pic:spPr>
                      </pic:pic>
                    </a:graphicData>
                  </a:graphic>
                </wp:anchor>
              </w:drawing>
            </w:r>
            <w:r>
              <w:rPr>
                <w:rFonts w:hint="eastAsia"/>
                <w:color w:val="auto"/>
                <w:sz w:val="30"/>
                <w:szCs w:val="30"/>
                <w:lang w:eastAsia="zh-CN"/>
              </w:rPr>
              <w:t>竞争性磋商</w:t>
            </w:r>
          </w:p>
        </w:tc>
      </w:tr>
    </w:tbl>
    <w:p w14:paraId="1132BBA7">
      <w:pPr>
        <w:rPr>
          <w:color w:val="auto"/>
          <w:sz w:val="30"/>
          <w:szCs w:val="30"/>
        </w:rPr>
      </w:pPr>
    </w:p>
    <w:p w14:paraId="009516C0">
      <w:pPr>
        <w:ind w:firstLine="1650" w:firstLineChars="550"/>
        <w:rPr>
          <w:color w:val="auto"/>
          <w:sz w:val="30"/>
          <w:szCs w:val="30"/>
        </w:rPr>
      </w:pPr>
    </w:p>
    <w:p w14:paraId="0D8079B4">
      <w:pPr>
        <w:ind w:firstLine="1650" w:firstLineChars="550"/>
        <w:rPr>
          <w:color w:val="auto"/>
          <w:sz w:val="30"/>
          <w:szCs w:val="30"/>
        </w:rPr>
      </w:pPr>
    </w:p>
    <w:p w14:paraId="5810A2B4">
      <w:pPr>
        <w:jc w:val="center"/>
        <w:rPr>
          <w:color w:val="auto"/>
          <w:sz w:val="48"/>
          <w:szCs w:val="48"/>
        </w:rPr>
      </w:pPr>
    </w:p>
    <w:p w14:paraId="12EEA984">
      <w:pPr>
        <w:spacing w:before="0" w:beforeAutospacing="0" w:after="0" w:afterAutospacing="0" w:line="510" w:lineRule="atLeast"/>
        <w:jc w:val="center"/>
        <w:outlineLvl w:val="9"/>
        <w:rPr>
          <w:rFonts w:cs="宋体"/>
          <w:b/>
          <w:bCs/>
          <w:color w:val="auto"/>
          <w:sz w:val="44"/>
          <w:szCs w:val="44"/>
        </w:rPr>
      </w:pPr>
      <w:bookmarkStart w:id="138" w:name="_Toc30038"/>
      <w:r>
        <w:rPr>
          <w:rFonts w:cs="宋体"/>
          <w:b/>
          <w:bCs/>
          <w:color w:val="auto"/>
          <w:sz w:val="44"/>
          <w:szCs w:val="44"/>
        </w:rPr>
        <w:t>西安市儿童医院</w:t>
      </w:r>
      <w:bookmarkEnd w:id="138"/>
    </w:p>
    <w:p w14:paraId="2C66D705">
      <w:pPr>
        <w:spacing w:before="0" w:beforeAutospacing="0" w:after="0" w:afterAutospacing="0" w:line="510" w:lineRule="atLeast"/>
        <w:jc w:val="center"/>
        <w:outlineLvl w:val="9"/>
        <w:rPr>
          <w:rFonts w:hint="eastAsia" w:eastAsia="宋体" w:cs="宋体"/>
          <w:b/>
          <w:bCs/>
          <w:color w:val="auto"/>
          <w:sz w:val="44"/>
          <w:szCs w:val="44"/>
          <w:lang w:eastAsia="zh-CN"/>
        </w:rPr>
      </w:pPr>
      <w:r>
        <w:rPr>
          <w:rFonts w:hint="eastAsia" w:cs="宋体"/>
          <w:b/>
          <w:bCs/>
          <w:color w:val="auto"/>
          <w:sz w:val="44"/>
          <w:szCs w:val="44"/>
          <w:lang w:val="en-US" w:eastAsia="zh-CN"/>
        </w:rPr>
        <w:t>吉祥物衍生品制作项目(三次)</w:t>
      </w:r>
    </w:p>
    <w:p w14:paraId="45BFC1AB">
      <w:pPr>
        <w:jc w:val="center"/>
        <w:rPr>
          <w:rFonts w:ascii="宋体" w:hAnsi="宋体" w:eastAsia="宋体" w:cs="宋体"/>
          <w:b/>
          <w:bCs/>
          <w:color w:val="auto"/>
          <w:sz w:val="44"/>
          <w:szCs w:val="44"/>
        </w:rPr>
      </w:pPr>
    </w:p>
    <w:p w14:paraId="64B195E7">
      <w:pPr>
        <w:jc w:val="center"/>
        <w:rPr>
          <w:b/>
          <w:bCs/>
          <w:color w:val="auto"/>
          <w:sz w:val="28"/>
          <w:szCs w:val="28"/>
        </w:rPr>
      </w:pPr>
    </w:p>
    <w:p w14:paraId="4175D198">
      <w:pPr>
        <w:ind w:firstLine="2951" w:firstLineChars="1050"/>
        <w:rPr>
          <w:b/>
          <w:bCs/>
          <w:color w:val="auto"/>
          <w:sz w:val="28"/>
          <w:szCs w:val="28"/>
        </w:rPr>
      </w:pPr>
    </w:p>
    <w:p w14:paraId="09576721">
      <w:pPr>
        <w:rPr>
          <w:color w:val="auto"/>
          <w:sz w:val="30"/>
          <w:szCs w:val="30"/>
        </w:rPr>
      </w:pPr>
    </w:p>
    <w:p w14:paraId="5FD9DAC2">
      <w:pPr>
        <w:pStyle w:val="9"/>
        <w:rPr>
          <w:color w:val="auto"/>
        </w:rPr>
      </w:pPr>
    </w:p>
    <w:p w14:paraId="0C61728D">
      <w:pPr>
        <w:pStyle w:val="9"/>
        <w:rPr>
          <w:color w:val="auto"/>
        </w:rPr>
      </w:pPr>
    </w:p>
    <w:p w14:paraId="31223AE2">
      <w:pPr>
        <w:rPr>
          <w:rFonts w:hint="eastAsia" w:ascii="仿宋_GB2312" w:eastAsia="仿宋_GB2312"/>
          <w:color w:val="auto"/>
          <w:sz w:val="30"/>
          <w:szCs w:val="30"/>
        </w:rPr>
      </w:pPr>
    </w:p>
    <w:p w14:paraId="0FDB6B5B">
      <w:pPr>
        <w:rPr>
          <w:rFonts w:hint="eastAsia" w:ascii="仿宋_GB2312" w:eastAsia="仿宋_GB2312"/>
          <w:color w:val="auto"/>
          <w:sz w:val="30"/>
          <w:szCs w:val="30"/>
        </w:rPr>
      </w:pPr>
      <w:r>
        <w:rPr>
          <w:rFonts w:hint="eastAsia" w:ascii="仿宋_GB2312" w:eastAsia="仿宋_GB2312"/>
          <w:color w:val="auto"/>
          <w:sz w:val="30"/>
          <w:szCs w:val="30"/>
        </w:rPr>
        <w:t>项目组织形式：部门集中采购</w:t>
      </w:r>
    </w:p>
    <w:p w14:paraId="787E5182">
      <w:pPr>
        <w:rPr>
          <w:rFonts w:hint="eastAsia" w:ascii="仿宋_GB2312" w:eastAsia="仿宋_GB2312"/>
          <w:color w:val="auto"/>
          <w:sz w:val="30"/>
          <w:szCs w:val="30"/>
        </w:rPr>
      </w:pPr>
      <w:r>
        <w:rPr>
          <w:rFonts w:hint="eastAsia" w:ascii="仿宋_GB2312" w:eastAsia="仿宋_GB2312"/>
          <w:color w:val="auto"/>
          <w:sz w:val="30"/>
          <w:szCs w:val="30"/>
        </w:rPr>
        <w:t>项目主办部门：宣传科</w:t>
      </w:r>
    </w:p>
    <w:p w14:paraId="7235C03B">
      <w:pPr>
        <w:rPr>
          <w:rFonts w:hint="eastAsia" w:ascii="仿宋_GB2312" w:eastAsia="仿宋_GB2312"/>
          <w:color w:val="auto"/>
          <w:sz w:val="30"/>
          <w:szCs w:val="30"/>
        </w:rPr>
      </w:pPr>
      <w:r>
        <w:rPr>
          <w:rFonts w:hint="eastAsia" w:ascii="仿宋_GB2312" w:eastAsia="仿宋_GB2312"/>
          <w:color w:val="auto"/>
          <w:sz w:val="30"/>
          <w:szCs w:val="30"/>
        </w:rPr>
        <w:t>甲        方：西安市儿童医院</w:t>
      </w:r>
    </w:p>
    <w:p w14:paraId="13406599">
      <w:pPr>
        <w:rPr>
          <w:rFonts w:hint="eastAsia" w:ascii="仿宋_GB2312" w:eastAsia="仿宋_GB2312"/>
          <w:color w:val="auto"/>
          <w:sz w:val="30"/>
          <w:szCs w:val="30"/>
        </w:rPr>
      </w:pPr>
      <w:r>
        <w:rPr>
          <w:rFonts w:hint="eastAsia" w:ascii="仿宋_GB2312" w:eastAsia="仿宋_GB2312"/>
          <w:color w:val="auto"/>
          <w:sz w:val="30"/>
          <w:szCs w:val="30"/>
        </w:rPr>
        <w:t>乙        方：</w:t>
      </w:r>
    </w:p>
    <w:p w14:paraId="0E15C2EE">
      <w:pPr>
        <w:rPr>
          <w:rFonts w:hint="eastAsia" w:ascii="仿宋_GB2312" w:eastAsia="仿宋_GB2312"/>
          <w:color w:val="auto"/>
          <w:sz w:val="30"/>
          <w:szCs w:val="30"/>
        </w:rPr>
      </w:pPr>
      <w:r>
        <w:rPr>
          <w:rFonts w:hint="eastAsia" w:ascii="仿宋_GB2312" w:eastAsia="仿宋_GB2312"/>
          <w:color w:val="auto"/>
          <w:sz w:val="30"/>
          <w:szCs w:val="30"/>
        </w:rPr>
        <w:t>签  订 地 点：西安市儿童医院</w:t>
      </w:r>
    </w:p>
    <w:p w14:paraId="777C1ABD">
      <w:pPr>
        <w:rPr>
          <w:rFonts w:hint="eastAsia" w:ascii="仿宋_GB2312" w:eastAsia="仿宋_GB2312"/>
          <w:color w:val="auto"/>
          <w:sz w:val="30"/>
          <w:szCs w:val="30"/>
        </w:rPr>
      </w:pPr>
      <w:r>
        <w:rPr>
          <w:rFonts w:hint="eastAsia" w:ascii="仿宋_GB2312" w:eastAsia="仿宋_GB2312"/>
          <w:color w:val="auto"/>
          <w:sz w:val="30"/>
          <w:szCs w:val="30"/>
        </w:rPr>
        <w:t>签  订 时 间： 202</w:t>
      </w:r>
      <w:r>
        <w:rPr>
          <w:rFonts w:hint="eastAsia" w:ascii="仿宋_GB2312" w:eastAsia="仿宋_GB2312"/>
          <w:color w:val="auto"/>
          <w:sz w:val="30"/>
          <w:szCs w:val="30"/>
          <w:lang w:val="en-US" w:eastAsia="zh-CN"/>
        </w:rPr>
        <w:t xml:space="preserve">6 </w:t>
      </w:r>
      <w:r>
        <w:rPr>
          <w:rFonts w:hint="eastAsia" w:ascii="仿宋_GB2312" w:eastAsia="仿宋_GB2312"/>
          <w:color w:val="auto"/>
          <w:sz w:val="30"/>
          <w:szCs w:val="30"/>
        </w:rPr>
        <w:t>年</w:t>
      </w:r>
      <w:r>
        <w:rPr>
          <w:rFonts w:hint="eastAsia" w:ascii="仿宋_GB2312" w:eastAsia="仿宋_GB2312"/>
          <w:color w:val="auto"/>
          <w:sz w:val="30"/>
          <w:szCs w:val="30"/>
          <w:lang w:val="en-US" w:eastAsia="zh-CN"/>
        </w:rPr>
        <w:t xml:space="preserve"> </w:t>
      </w:r>
      <w:r>
        <w:rPr>
          <w:rFonts w:hint="eastAsia" w:ascii="仿宋_GB2312" w:eastAsia="仿宋_GB2312"/>
          <w:color w:val="auto"/>
          <w:sz w:val="30"/>
          <w:szCs w:val="30"/>
        </w:rPr>
        <w:t>月</w:t>
      </w:r>
      <w:r>
        <w:rPr>
          <w:rFonts w:hint="eastAsia" w:ascii="仿宋_GB2312" w:eastAsia="仿宋_GB2312"/>
          <w:color w:val="auto"/>
          <w:sz w:val="30"/>
          <w:szCs w:val="30"/>
          <w:lang w:val="en-US" w:eastAsia="zh-CN"/>
        </w:rPr>
        <w:t xml:space="preserve"> </w:t>
      </w:r>
    </w:p>
    <w:p w14:paraId="5F554D47">
      <w:pPr>
        <w:adjustRightInd/>
        <w:snapToGrid/>
        <w:spacing w:after="0" w:line="480" w:lineRule="auto"/>
        <w:jc w:val="both"/>
        <w:rPr>
          <w:rFonts w:ascii="宋体" w:hAnsi="宋体" w:eastAsia="宋体" w:cs="宋体"/>
          <w:b/>
          <w:color w:val="auto"/>
          <w:kern w:val="2"/>
          <w:sz w:val="24"/>
          <w:szCs w:val="24"/>
        </w:rPr>
      </w:pPr>
    </w:p>
    <w:p w14:paraId="5D0713F5">
      <w:pPr>
        <w:adjustRightInd/>
        <w:snapToGrid/>
        <w:spacing w:after="0" w:line="480" w:lineRule="auto"/>
        <w:jc w:val="both"/>
        <w:rPr>
          <w:rFonts w:ascii="宋体" w:hAnsi="宋体" w:eastAsia="宋体" w:cs="宋体"/>
          <w:b/>
          <w:color w:val="auto"/>
          <w:kern w:val="2"/>
          <w:sz w:val="24"/>
          <w:szCs w:val="24"/>
        </w:rPr>
      </w:pPr>
    </w:p>
    <w:p w14:paraId="421BD2B4">
      <w:pPr>
        <w:adjustRightInd/>
        <w:snapToGrid/>
        <w:spacing w:after="0" w:line="480" w:lineRule="auto"/>
        <w:jc w:val="both"/>
        <w:rPr>
          <w:rFonts w:ascii="宋体" w:hAnsi="宋体" w:eastAsia="宋体" w:cs="宋体"/>
          <w:b/>
          <w:color w:val="auto"/>
          <w:kern w:val="2"/>
          <w:sz w:val="24"/>
          <w:szCs w:val="24"/>
        </w:rPr>
      </w:pPr>
    </w:p>
    <w:p w14:paraId="13F9E8BC">
      <w:pPr>
        <w:adjustRightInd/>
        <w:snapToGrid/>
        <w:spacing w:after="0" w:line="480" w:lineRule="auto"/>
        <w:jc w:val="both"/>
        <w:rPr>
          <w:rFonts w:hint="eastAsia" w:ascii="宋体" w:hAnsi="宋体" w:eastAsia="宋体" w:cs="宋体"/>
          <w:b/>
          <w:bCs/>
          <w:color w:val="auto"/>
          <w:kern w:val="2"/>
          <w:sz w:val="24"/>
          <w:szCs w:val="24"/>
        </w:rPr>
      </w:pPr>
    </w:p>
    <w:p w14:paraId="676A8B59">
      <w:pPr>
        <w:adjustRightInd/>
        <w:snapToGrid/>
        <w:spacing w:after="0" w:line="480" w:lineRule="auto"/>
        <w:jc w:val="both"/>
        <w:rPr>
          <w:rFonts w:ascii="宋体" w:hAnsi="宋体" w:eastAsia="宋体" w:cs="宋体"/>
          <w:b/>
          <w:bCs/>
          <w:color w:val="auto"/>
          <w:kern w:val="2"/>
          <w:sz w:val="24"/>
          <w:szCs w:val="24"/>
        </w:rPr>
      </w:pPr>
      <w:r>
        <w:rPr>
          <w:rFonts w:hint="eastAsia" w:ascii="宋体" w:hAnsi="宋体" w:eastAsia="宋体" w:cs="宋体"/>
          <w:b/>
          <w:bCs/>
          <w:color w:val="auto"/>
          <w:kern w:val="2"/>
          <w:sz w:val="24"/>
          <w:szCs w:val="24"/>
        </w:rPr>
        <w:t>甲方：西安市儿童医院</w:t>
      </w:r>
    </w:p>
    <w:p w14:paraId="3B46DAF8">
      <w:pPr>
        <w:adjustRightInd/>
        <w:snapToGrid/>
        <w:spacing w:after="0" w:line="480" w:lineRule="auto"/>
        <w:jc w:val="both"/>
        <w:rPr>
          <w:rFonts w:ascii="宋体" w:hAnsi="宋体" w:eastAsia="宋体" w:cs="宋体"/>
          <w:color w:val="auto"/>
          <w:kern w:val="2"/>
          <w:sz w:val="24"/>
          <w:szCs w:val="24"/>
        </w:rPr>
      </w:pPr>
      <w:r>
        <w:rPr>
          <w:rFonts w:hint="eastAsia" w:ascii="宋体" w:hAnsi="宋体" w:eastAsia="宋体" w:cs="宋体"/>
          <w:color w:val="auto"/>
          <w:kern w:val="2"/>
          <w:sz w:val="24"/>
          <w:szCs w:val="24"/>
        </w:rPr>
        <w:t>地址：西安市莲湖区西举院巷</w:t>
      </w:r>
      <w:r>
        <w:rPr>
          <w:rFonts w:ascii="宋体" w:hAnsi="宋体" w:eastAsia="宋体" w:cs="宋体"/>
          <w:color w:val="auto"/>
          <w:kern w:val="2"/>
          <w:sz w:val="24"/>
          <w:szCs w:val="24"/>
        </w:rPr>
        <w:t>69号</w:t>
      </w:r>
    </w:p>
    <w:p w14:paraId="3BC838DF">
      <w:pPr>
        <w:adjustRightInd/>
        <w:snapToGrid/>
        <w:spacing w:after="0" w:line="480" w:lineRule="auto"/>
        <w:jc w:val="both"/>
        <w:rPr>
          <w:rFonts w:hint="default"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联系人：</w:t>
      </w:r>
    </w:p>
    <w:p w14:paraId="37CF6D29">
      <w:pPr>
        <w:adjustRightInd/>
        <w:snapToGrid/>
        <w:spacing w:after="0" w:line="480" w:lineRule="auto"/>
        <w:jc w:val="both"/>
        <w:rPr>
          <w:rFonts w:ascii="宋体" w:hAnsi="宋体" w:eastAsia="宋体" w:cs="宋体"/>
          <w:b/>
          <w:bCs/>
          <w:color w:val="auto"/>
          <w:kern w:val="2"/>
          <w:sz w:val="24"/>
          <w:szCs w:val="24"/>
        </w:rPr>
      </w:pPr>
      <w:r>
        <w:rPr>
          <w:rFonts w:hint="eastAsia" w:ascii="宋体" w:hAnsi="宋体" w:eastAsia="宋体" w:cs="宋体"/>
          <w:b/>
          <w:bCs/>
          <w:color w:val="auto"/>
          <w:kern w:val="2"/>
          <w:sz w:val="24"/>
          <w:szCs w:val="24"/>
        </w:rPr>
        <w:t>乙方：</w:t>
      </w:r>
    </w:p>
    <w:p w14:paraId="4AB81423">
      <w:pPr>
        <w:adjustRightInd/>
        <w:snapToGrid/>
        <w:spacing w:after="0" w:line="480" w:lineRule="auto"/>
        <w:jc w:val="both"/>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地址：</w:t>
      </w:r>
    </w:p>
    <w:p w14:paraId="2B2901D9">
      <w:pPr>
        <w:adjustRightInd/>
        <w:snapToGrid/>
        <w:spacing w:after="0" w:line="480" w:lineRule="auto"/>
        <w:jc w:val="both"/>
        <w:rPr>
          <w:rFonts w:hint="default" w:asciiTheme="minorEastAsia" w:hAnsiTheme="minorEastAsia" w:eastAsiaTheme="minorEastAsia" w:cstheme="minorEastAsia"/>
          <w:color w:val="auto"/>
          <w:kern w:val="2"/>
          <w:sz w:val="24"/>
          <w:szCs w:val="24"/>
          <w:lang w:val="en-US" w:eastAsia="zh-CN"/>
        </w:rPr>
      </w:pPr>
      <w:r>
        <w:rPr>
          <w:rFonts w:hint="eastAsia" w:asciiTheme="minorEastAsia" w:hAnsiTheme="minorEastAsia" w:eastAsiaTheme="minorEastAsia" w:cstheme="minorEastAsia"/>
          <w:color w:val="auto"/>
          <w:kern w:val="2"/>
          <w:sz w:val="24"/>
          <w:szCs w:val="24"/>
          <w:lang w:val="en-US" w:eastAsia="zh-CN"/>
        </w:rPr>
        <w:t>联系人：</w:t>
      </w:r>
    </w:p>
    <w:p w14:paraId="5E2F8EDF">
      <w:pPr>
        <w:adjustRightInd/>
        <w:snapToGrid/>
        <w:spacing w:after="0" w:line="480" w:lineRule="auto"/>
        <w:ind w:firstLine="480" w:firstLineChars="200"/>
        <w:jc w:val="both"/>
        <w:rPr>
          <w:rFonts w:ascii="宋体" w:hAnsi="宋体" w:eastAsia="宋体" w:cs="宋体"/>
          <w:color w:val="auto"/>
          <w:kern w:val="2"/>
          <w:sz w:val="24"/>
          <w:szCs w:val="24"/>
        </w:rPr>
      </w:pPr>
      <w:r>
        <w:rPr>
          <w:rFonts w:hint="eastAsia" w:ascii="宋体" w:hAnsi="宋体" w:eastAsia="宋体" w:cs="宋体"/>
          <w:color w:val="auto"/>
          <w:kern w:val="2"/>
          <w:sz w:val="24"/>
          <w:szCs w:val="24"/>
        </w:rPr>
        <w:t>甲乙双方根据《中华人民共和国招标投标法》及实施条例《中华人民共和国民法典》等有关法律法规和相关规定</w:t>
      </w:r>
      <w:r>
        <w:rPr>
          <w:rFonts w:ascii="宋体" w:hAnsi="宋体" w:eastAsia="宋体" w:cs="宋体"/>
          <w:color w:val="auto"/>
          <w:kern w:val="2"/>
          <w:sz w:val="24"/>
          <w:szCs w:val="24"/>
        </w:rPr>
        <w:t xml:space="preserve">, </w:t>
      </w:r>
      <w:r>
        <w:rPr>
          <w:rFonts w:hint="eastAsia" w:ascii="宋体" w:hAnsi="宋体" w:eastAsia="宋体" w:cs="宋体"/>
          <w:color w:val="auto"/>
          <w:kern w:val="2"/>
          <w:sz w:val="24"/>
          <w:szCs w:val="24"/>
        </w:rPr>
        <w:t>经友好协商</w:t>
      </w:r>
      <w:r>
        <w:rPr>
          <w:rFonts w:ascii="宋体" w:hAnsi="宋体" w:eastAsia="宋体" w:cs="宋体"/>
          <w:color w:val="auto"/>
          <w:kern w:val="2"/>
          <w:sz w:val="24"/>
          <w:szCs w:val="24"/>
        </w:rPr>
        <w:t>,就</w:t>
      </w:r>
      <w:r>
        <w:rPr>
          <w:rFonts w:hint="eastAsia" w:hAnsi="宋体" w:cs="宋体"/>
          <w:color w:val="auto"/>
          <w:kern w:val="2"/>
          <w:sz w:val="24"/>
          <w:szCs w:val="24"/>
          <w:lang w:eastAsia="zh-CN"/>
        </w:rPr>
        <w:t>吉祥物衍生品制作项目(三次)</w:t>
      </w:r>
      <w:r>
        <w:rPr>
          <w:rFonts w:ascii="宋体" w:hAnsi="宋体" w:eastAsia="宋体" w:cs="宋体"/>
          <w:color w:val="auto"/>
          <w:kern w:val="2"/>
          <w:sz w:val="24"/>
          <w:szCs w:val="24"/>
        </w:rPr>
        <w:t>达成如下协议:</w:t>
      </w:r>
    </w:p>
    <w:p w14:paraId="1C16FAC0">
      <w:pPr>
        <w:numPr>
          <w:ilvl w:val="255"/>
          <w:numId w:val="0"/>
        </w:numPr>
        <w:adjustRightInd/>
        <w:snapToGrid/>
        <w:spacing w:after="0" w:line="480" w:lineRule="auto"/>
        <w:ind w:left="0" w:firstLine="0"/>
        <w:jc w:val="both"/>
        <w:rPr>
          <w:rFonts w:ascii="宋体" w:hAnsi="宋体" w:eastAsia="宋体" w:cs="宋体"/>
          <w:b/>
          <w:bCs/>
          <w:color w:val="auto"/>
          <w:kern w:val="2"/>
          <w:sz w:val="24"/>
          <w:szCs w:val="24"/>
        </w:rPr>
      </w:pPr>
      <w:r>
        <w:rPr>
          <w:rFonts w:hint="eastAsia" w:ascii="宋体" w:hAnsi="宋体" w:eastAsia="宋体" w:cs="宋体"/>
          <w:b/>
          <w:bCs/>
          <w:color w:val="auto"/>
          <w:kern w:val="2"/>
          <w:sz w:val="24"/>
          <w:szCs w:val="24"/>
        </w:rPr>
        <w:t>一、合同标的物内容及单价</w:t>
      </w:r>
    </w:p>
    <w:p w14:paraId="5F5101AC">
      <w:pPr>
        <w:numPr>
          <w:ilvl w:val="255"/>
          <w:numId w:val="0"/>
        </w:numPr>
        <w:adjustRightInd/>
        <w:snapToGrid/>
        <w:spacing w:after="0" w:line="480" w:lineRule="auto"/>
        <w:ind w:firstLine="480" w:firstLineChars="200"/>
        <w:jc w:val="both"/>
        <w:rPr>
          <w:rFonts w:ascii="宋体" w:hAnsi="宋体" w:eastAsia="宋体" w:cs="宋体"/>
          <w:color w:val="auto"/>
          <w:kern w:val="2"/>
          <w:sz w:val="24"/>
          <w:szCs w:val="24"/>
        </w:rPr>
      </w:pPr>
      <w:r>
        <w:rPr>
          <w:rFonts w:hint="eastAsia" w:ascii="宋体" w:hAnsi="宋体" w:eastAsia="宋体" w:cs="宋体"/>
          <w:color w:val="auto"/>
          <w:kern w:val="2"/>
          <w:sz w:val="24"/>
          <w:szCs w:val="24"/>
        </w:rPr>
        <w:t>1、项目内容：</w:t>
      </w:r>
      <w:r>
        <w:rPr>
          <w:rFonts w:hint="eastAsia" w:ascii="宋体" w:hAnsi="宋体" w:eastAsia="宋体" w:cs="宋体"/>
          <w:color w:val="auto"/>
          <w:kern w:val="2"/>
          <w:sz w:val="24"/>
          <w:szCs w:val="24"/>
          <w:lang w:val="en-US" w:eastAsia="zh-CN"/>
        </w:rPr>
        <w:t>乙方需按照</w:t>
      </w:r>
      <w:r>
        <w:rPr>
          <w:rFonts w:hint="eastAsia" w:ascii="宋体" w:hAnsi="宋体" w:eastAsia="宋体" w:cs="宋体"/>
          <w:color w:val="auto"/>
          <w:kern w:val="2"/>
          <w:sz w:val="24"/>
          <w:szCs w:val="24"/>
        </w:rPr>
        <w:t>西安市儿童医院指定全域区域，提供医院原创IP形象衍生品的打样、批量生产、配送交付、现场安装、场地清理及配套增值服务，核心定制产品包含：30cmIP公仔、45cmIP公仔、7cmIP钥匙扣、成人IP玩偶服和玩偶头套。所有产品均融入医院专属IP形象，贴合医院视觉体系。</w:t>
      </w:r>
    </w:p>
    <w:p w14:paraId="760D4E5C">
      <w:pPr>
        <w:numPr>
          <w:ilvl w:val="255"/>
          <w:numId w:val="0"/>
        </w:numPr>
        <w:adjustRightInd/>
        <w:snapToGrid/>
        <w:spacing w:after="0" w:line="480" w:lineRule="auto"/>
        <w:ind w:firstLine="480" w:firstLineChars="200"/>
        <w:jc w:val="both"/>
        <w:rPr>
          <w:rFonts w:ascii="宋体" w:hAnsi="宋体" w:eastAsia="宋体" w:cs="宋体"/>
          <w:color w:val="auto"/>
          <w:kern w:val="2"/>
          <w:sz w:val="24"/>
          <w:szCs w:val="24"/>
        </w:rPr>
      </w:pPr>
      <w:r>
        <w:rPr>
          <w:rFonts w:hint="eastAsia" w:ascii="宋体" w:hAnsi="宋体" w:eastAsia="宋体" w:cs="宋体"/>
          <w:color w:val="auto"/>
          <w:kern w:val="2"/>
          <w:sz w:val="24"/>
          <w:szCs w:val="24"/>
        </w:rPr>
        <w:t>2、合同含税单价合计为人民币</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w:t>
      </w:r>
      <w:r>
        <w:rPr>
          <w:rFonts w:hint="eastAsia" w:ascii="宋体" w:hAnsi="宋体" w:eastAsia="宋体" w:cs="宋体"/>
          <w:color w:val="auto"/>
          <w:kern w:val="2"/>
          <w:sz w:val="24"/>
          <w:szCs w:val="24"/>
        </w:rPr>
        <w:t>元整，小写</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w:t>
      </w:r>
      <w:r>
        <w:rPr>
          <w:rFonts w:ascii="宋体" w:hAnsi="宋体" w:eastAsia="宋体" w:cs="宋体"/>
          <w:color w:val="auto"/>
          <w:kern w:val="2"/>
          <w:sz w:val="24"/>
          <w:szCs w:val="24"/>
        </w:rPr>
        <w:t>元</w:t>
      </w:r>
      <w:r>
        <w:rPr>
          <w:rFonts w:hint="eastAsia" w:ascii="宋体" w:hAnsi="宋体" w:eastAsia="宋体" w:cs="宋体"/>
          <w:color w:val="auto"/>
          <w:kern w:val="2"/>
          <w:sz w:val="24"/>
          <w:szCs w:val="24"/>
        </w:rPr>
        <w:t>，具体单价详见下表。合同单价包括完成合同所需的全部各项费用，包括但不限于设计费、制作费、人工费、材料费、安装费、运输费以及国家按现行税收政策征收的一切税费和其它相关的费用。</w:t>
      </w:r>
    </w:p>
    <w:p w14:paraId="4C1DAAC6">
      <w:pPr>
        <w:adjustRightInd/>
        <w:snapToGrid/>
        <w:spacing w:after="0" w:line="480" w:lineRule="auto"/>
        <w:ind w:firstLine="480" w:firstLineChars="200"/>
        <w:jc w:val="both"/>
        <w:rPr>
          <w:rFonts w:ascii="宋体" w:hAnsi="宋体" w:eastAsia="宋体" w:cs="宋体"/>
          <w:color w:val="auto"/>
          <w:kern w:val="2"/>
          <w:sz w:val="24"/>
          <w:szCs w:val="24"/>
        </w:rPr>
      </w:pPr>
      <w:r>
        <w:rPr>
          <w:rFonts w:ascii="宋体" w:hAnsi="宋体" w:eastAsia="宋体" w:cs="宋体"/>
          <w:color w:val="auto"/>
          <w:kern w:val="2"/>
          <w:sz w:val="24"/>
          <w:szCs w:val="24"/>
        </w:rPr>
        <w:t>3、合同含税单价为包死价，不受市场价格变动影响。</w:t>
      </w:r>
    </w:p>
    <w:tbl>
      <w:tblPr>
        <w:tblStyle w:val="22"/>
        <w:tblW w:w="8598" w:type="dxa"/>
        <w:tblInd w:w="0" w:type="dxa"/>
        <w:tblLayout w:type="fixed"/>
        <w:tblCellMar>
          <w:top w:w="0" w:type="dxa"/>
          <w:left w:w="0" w:type="dxa"/>
          <w:bottom w:w="0" w:type="dxa"/>
          <w:right w:w="0" w:type="dxa"/>
        </w:tblCellMar>
      </w:tblPr>
      <w:tblGrid>
        <w:gridCol w:w="971"/>
        <w:gridCol w:w="1812"/>
        <w:gridCol w:w="2133"/>
        <w:gridCol w:w="1500"/>
        <w:gridCol w:w="1500"/>
        <w:gridCol w:w="682"/>
      </w:tblGrid>
      <w:tr w14:paraId="73B19B5A">
        <w:tblPrEx>
          <w:tblCellMar>
            <w:top w:w="0" w:type="dxa"/>
            <w:left w:w="0" w:type="dxa"/>
            <w:bottom w:w="0" w:type="dxa"/>
            <w:right w:w="0" w:type="dxa"/>
          </w:tblCellMar>
        </w:tblPrEx>
        <w:trPr>
          <w:trHeight w:val="669" w:hRule="atLeast"/>
        </w:trPr>
        <w:tc>
          <w:tcPr>
            <w:tcW w:w="971" w:type="dxa"/>
            <w:tcBorders>
              <w:top w:val="single" w:color="000000" w:sz="4" w:space="0"/>
              <w:left w:val="single" w:color="000000" w:sz="4" w:space="0"/>
              <w:bottom w:val="single" w:color="000000" w:sz="4" w:space="0"/>
              <w:right w:val="single" w:color="000000" w:sz="4" w:space="0"/>
            </w:tcBorders>
            <w:noWrap/>
            <w:vAlign w:val="center"/>
          </w:tcPr>
          <w:p w14:paraId="1635DB25">
            <w:pPr>
              <w:jc w:val="center"/>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序号</w:t>
            </w:r>
          </w:p>
        </w:tc>
        <w:tc>
          <w:tcPr>
            <w:tcW w:w="1812" w:type="dxa"/>
            <w:tcBorders>
              <w:top w:val="single" w:color="000000" w:sz="4" w:space="0"/>
              <w:left w:val="single" w:color="000000" w:sz="4" w:space="0"/>
              <w:bottom w:val="single" w:color="000000" w:sz="4" w:space="0"/>
              <w:right w:val="single" w:color="000000" w:sz="4" w:space="0"/>
            </w:tcBorders>
            <w:noWrap/>
            <w:vAlign w:val="center"/>
          </w:tcPr>
          <w:p w14:paraId="13E5F439">
            <w:pPr>
              <w:jc w:val="center"/>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项目</w:t>
            </w:r>
          </w:p>
        </w:tc>
        <w:tc>
          <w:tcPr>
            <w:tcW w:w="2133" w:type="dxa"/>
            <w:tcBorders>
              <w:top w:val="single" w:color="000000" w:sz="4" w:space="0"/>
              <w:left w:val="single" w:color="000000" w:sz="4" w:space="0"/>
              <w:bottom w:val="single" w:color="000000" w:sz="4" w:space="0"/>
              <w:right w:val="single" w:color="000000" w:sz="4" w:space="0"/>
            </w:tcBorders>
            <w:noWrap/>
            <w:vAlign w:val="center"/>
          </w:tcPr>
          <w:p w14:paraId="2D24A22A">
            <w:pPr>
              <w:jc w:val="center"/>
              <w:textAlignment w:val="center"/>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工艺材质</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137BC78B">
            <w:pPr>
              <w:jc w:val="center"/>
              <w:textAlignment w:val="center"/>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eastAsia="zh-CN"/>
              </w:rPr>
              <w:t>单位</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60227C00">
            <w:pPr>
              <w:jc w:val="center"/>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单价（元）</w:t>
            </w:r>
          </w:p>
        </w:tc>
        <w:tc>
          <w:tcPr>
            <w:tcW w:w="682" w:type="dxa"/>
            <w:tcBorders>
              <w:top w:val="single" w:color="000000" w:sz="4" w:space="0"/>
              <w:left w:val="single" w:color="000000" w:sz="4" w:space="0"/>
              <w:bottom w:val="single" w:color="000000" w:sz="4" w:space="0"/>
              <w:right w:val="single" w:color="000000" w:sz="4" w:space="0"/>
            </w:tcBorders>
            <w:noWrap/>
            <w:vAlign w:val="center"/>
          </w:tcPr>
          <w:p w14:paraId="25C4EC90">
            <w:pPr>
              <w:jc w:val="center"/>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备注</w:t>
            </w:r>
          </w:p>
        </w:tc>
      </w:tr>
      <w:tr w14:paraId="5296682E">
        <w:tblPrEx>
          <w:tblCellMar>
            <w:top w:w="0" w:type="dxa"/>
            <w:left w:w="0" w:type="dxa"/>
            <w:bottom w:w="0" w:type="dxa"/>
            <w:right w:w="0" w:type="dxa"/>
          </w:tblCellMar>
        </w:tblPrEx>
        <w:trPr>
          <w:trHeight w:val="636" w:hRule="atLeast"/>
        </w:trPr>
        <w:tc>
          <w:tcPr>
            <w:tcW w:w="971" w:type="dxa"/>
            <w:tcBorders>
              <w:top w:val="single" w:color="000000" w:sz="4" w:space="0"/>
              <w:left w:val="single" w:color="000000" w:sz="4" w:space="0"/>
              <w:bottom w:val="single" w:color="000000" w:sz="4" w:space="0"/>
              <w:right w:val="single" w:color="000000" w:sz="4" w:space="0"/>
            </w:tcBorders>
            <w:noWrap/>
            <w:vAlign w:val="center"/>
          </w:tcPr>
          <w:p w14:paraId="2B173F20">
            <w:pPr>
              <w:jc w:val="center"/>
              <w:rPr>
                <w:rFonts w:asciiTheme="majorEastAsia" w:hAnsiTheme="majorEastAsia" w:eastAsiaTheme="majorEastAsia" w:cstheme="majorEastAsia"/>
                <w:color w:val="auto"/>
                <w:sz w:val="24"/>
                <w:szCs w:val="24"/>
              </w:rPr>
            </w:pPr>
            <w:r>
              <w:rPr>
                <w:rFonts w:asciiTheme="majorEastAsia" w:hAnsiTheme="majorEastAsia" w:eastAsiaTheme="majorEastAsia" w:cstheme="majorEastAsia"/>
                <w:color w:val="auto"/>
                <w:sz w:val="24"/>
                <w:szCs w:val="24"/>
              </w:rPr>
              <w:t>1</w:t>
            </w:r>
          </w:p>
        </w:tc>
        <w:tc>
          <w:tcPr>
            <w:tcW w:w="1812" w:type="dxa"/>
            <w:tcBorders>
              <w:top w:val="single" w:color="000000" w:sz="4" w:space="0"/>
              <w:left w:val="single" w:color="000000" w:sz="4" w:space="0"/>
              <w:bottom w:val="single" w:color="000000" w:sz="4" w:space="0"/>
              <w:right w:val="single" w:color="000000" w:sz="4" w:space="0"/>
            </w:tcBorders>
            <w:noWrap/>
            <w:vAlign w:val="center"/>
          </w:tcPr>
          <w:p w14:paraId="5909CDFB">
            <w:pPr>
              <w:keepNext w:val="0"/>
              <w:keepLines w:val="0"/>
              <w:widowControl/>
              <w:suppressLineNumbers w:val="0"/>
              <w:jc w:val="center"/>
              <w:textAlignment w:val="center"/>
              <w:rPr>
                <w:rFonts w:asciiTheme="majorEastAsia" w:hAnsiTheme="majorEastAsia" w:eastAsiaTheme="majorEastAsia" w:cstheme="majorEastAsia"/>
                <w:color w:val="auto"/>
                <w:sz w:val="24"/>
                <w:szCs w:val="24"/>
              </w:rPr>
            </w:pPr>
            <w:r>
              <w:rPr>
                <w:rFonts w:hint="eastAsia" w:ascii="仿宋_GB2312" w:hAnsi="仿宋_GB2312" w:eastAsia="仿宋_GB2312" w:cs="仿宋_GB2312"/>
                <w:i w:val="0"/>
                <w:iCs w:val="0"/>
                <w:color w:val="auto"/>
                <w:kern w:val="0"/>
                <w:sz w:val="24"/>
                <w:szCs w:val="24"/>
                <w:u w:val="none"/>
                <w:lang w:val="en-US" w:eastAsia="zh-CN" w:bidi="ar"/>
              </w:rPr>
              <w:t>IP形象公仔玩偶</w:t>
            </w:r>
          </w:p>
        </w:tc>
        <w:tc>
          <w:tcPr>
            <w:tcW w:w="2133" w:type="dxa"/>
            <w:tcBorders>
              <w:top w:val="single" w:color="000000" w:sz="4" w:space="0"/>
              <w:left w:val="single" w:color="000000" w:sz="4" w:space="0"/>
              <w:bottom w:val="single" w:color="000000" w:sz="4" w:space="0"/>
              <w:right w:val="single" w:color="000000" w:sz="4" w:space="0"/>
            </w:tcBorders>
            <w:noWrap/>
            <w:vAlign w:val="center"/>
          </w:tcPr>
          <w:p w14:paraId="175F2F2F">
            <w:pPr>
              <w:keepNext w:val="0"/>
              <w:keepLines w:val="0"/>
              <w:widowControl/>
              <w:suppressLineNumbers w:val="0"/>
              <w:jc w:val="center"/>
              <w:textAlignment w:val="center"/>
              <w:rPr>
                <w:rFonts w:asciiTheme="majorEastAsia" w:hAnsiTheme="majorEastAsia" w:eastAsiaTheme="majorEastAsia" w:cstheme="majorEastAsia"/>
                <w:color w:val="auto"/>
                <w:sz w:val="24"/>
                <w:szCs w:val="24"/>
              </w:rPr>
            </w:pPr>
            <w:r>
              <w:rPr>
                <w:rFonts w:hint="eastAsia" w:ascii="仿宋_GB2312" w:hAnsi="仿宋_GB2312" w:eastAsia="仿宋_GB2312" w:cs="仿宋_GB2312"/>
                <w:i w:val="0"/>
                <w:iCs w:val="0"/>
                <w:color w:val="auto"/>
                <w:kern w:val="0"/>
                <w:sz w:val="24"/>
                <w:szCs w:val="24"/>
                <w:u w:val="none"/>
                <w:lang w:val="en-US" w:eastAsia="zh-CN" w:bidi="ar"/>
              </w:rPr>
              <w:t>30cm高，面料和填充物为聚酯纤维</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1B156F64">
            <w:pPr>
              <w:keepNext w:val="0"/>
              <w:keepLines w:val="0"/>
              <w:widowControl/>
              <w:suppressLineNumbers w:val="0"/>
              <w:jc w:val="center"/>
              <w:textAlignment w:val="center"/>
              <w:rPr>
                <w:rFonts w:asciiTheme="majorEastAsia" w:hAnsiTheme="majorEastAsia" w:eastAsiaTheme="majorEastAsia" w:cstheme="majorEastAsia"/>
                <w:color w:val="auto"/>
                <w:sz w:val="24"/>
                <w:szCs w:val="24"/>
              </w:rPr>
            </w:pPr>
            <w:r>
              <w:rPr>
                <w:rFonts w:hint="eastAsia" w:ascii="仿宋_GB2312" w:hAnsi="仿宋_GB2312" w:eastAsia="仿宋_GB2312" w:cs="仿宋_GB2312"/>
                <w:i w:val="0"/>
                <w:iCs w:val="0"/>
                <w:color w:val="auto"/>
                <w:kern w:val="0"/>
                <w:sz w:val="24"/>
                <w:szCs w:val="24"/>
                <w:u w:val="none"/>
                <w:lang w:val="en-US" w:eastAsia="zh-CN" w:bidi="ar"/>
              </w:rPr>
              <w:t>个</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11DC0642">
            <w:pPr>
              <w:jc w:val="center"/>
              <w:textAlignment w:val="center"/>
              <w:rPr>
                <w:rFonts w:asciiTheme="majorEastAsia" w:hAnsiTheme="majorEastAsia" w:eastAsiaTheme="majorEastAsia" w:cstheme="majorEastAsia"/>
                <w:color w:val="auto"/>
                <w:kern w:val="2"/>
                <w:sz w:val="24"/>
                <w:szCs w:val="24"/>
              </w:rPr>
            </w:pPr>
          </w:p>
        </w:tc>
        <w:tc>
          <w:tcPr>
            <w:tcW w:w="682" w:type="dxa"/>
            <w:tcBorders>
              <w:top w:val="single" w:color="000000" w:sz="4" w:space="0"/>
              <w:left w:val="single" w:color="000000" w:sz="4" w:space="0"/>
              <w:bottom w:val="single" w:color="000000" w:sz="4" w:space="0"/>
              <w:right w:val="single" w:color="000000" w:sz="4" w:space="0"/>
            </w:tcBorders>
            <w:noWrap/>
            <w:vAlign w:val="center"/>
          </w:tcPr>
          <w:p w14:paraId="2626B97F">
            <w:pPr>
              <w:keepNext/>
              <w:keepLines/>
              <w:spacing w:before="340" w:line="578" w:lineRule="auto"/>
              <w:jc w:val="center"/>
              <w:rPr>
                <w:rFonts w:asciiTheme="majorEastAsia" w:hAnsiTheme="majorEastAsia" w:eastAsiaTheme="majorEastAsia" w:cstheme="majorEastAsia"/>
                <w:b w:val="0"/>
                <w:bCs w:val="0"/>
                <w:color w:val="auto"/>
                <w:kern w:val="0"/>
                <w:sz w:val="24"/>
                <w:szCs w:val="24"/>
              </w:rPr>
            </w:pPr>
          </w:p>
        </w:tc>
      </w:tr>
      <w:tr w14:paraId="3E291D46">
        <w:trPr>
          <w:trHeight w:val="636" w:hRule="atLeast"/>
        </w:trPr>
        <w:tc>
          <w:tcPr>
            <w:tcW w:w="971" w:type="dxa"/>
            <w:tcBorders>
              <w:top w:val="single" w:color="000000" w:sz="4" w:space="0"/>
              <w:left w:val="single" w:color="000000" w:sz="4" w:space="0"/>
              <w:bottom w:val="single" w:color="000000" w:sz="4" w:space="0"/>
              <w:right w:val="single" w:color="000000" w:sz="4" w:space="0"/>
            </w:tcBorders>
            <w:noWrap/>
            <w:vAlign w:val="center"/>
          </w:tcPr>
          <w:p w14:paraId="55C297B5">
            <w:pPr>
              <w:keepNext/>
              <w:keepLines/>
              <w:spacing w:before="340" w:line="578" w:lineRule="auto"/>
              <w:jc w:val="center"/>
              <w:rPr>
                <w:rFonts w:hint="eastAsia" w:asciiTheme="majorEastAsia" w:hAnsiTheme="majorEastAsia" w:eastAsiaTheme="majorEastAsia" w:cstheme="majorEastAsia"/>
                <w:b w:val="0"/>
                <w:bCs w:val="0"/>
                <w:color w:val="auto"/>
                <w:kern w:val="0"/>
                <w:sz w:val="24"/>
                <w:szCs w:val="24"/>
                <w:lang w:val="en-US" w:eastAsia="zh-CN"/>
              </w:rPr>
            </w:pPr>
            <w:r>
              <w:rPr>
                <w:rFonts w:hint="eastAsia" w:asciiTheme="majorEastAsia" w:hAnsiTheme="majorEastAsia" w:eastAsiaTheme="majorEastAsia" w:cstheme="majorEastAsia"/>
                <w:b w:val="0"/>
                <w:bCs w:val="0"/>
                <w:color w:val="auto"/>
                <w:kern w:val="0"/>
                <w:sz w:val="24"/>
                <w:szCs w:val="24"/>
                <w:lang w:val="en-US" w:eastAsia="zh-CN"/>
              </w:rPr>
              <w:t>2</w:t>
            </w:r>
          </w:p>
        </w:tc>
        <w:tc>
          <w:tcPr>
            <w:tcW w:w="1812" w:type="dxa"/>
            <w:tcBorders>
              <w:top w:val="single" w:color="000000" w:sz="4" w:space="0"/>
              <w:left w:val="single" w:color="000000" w:sz="4" w:space="0"/>
              <w:bottom w:val="single" w:color="000000" w:sz="4" w:space="0"/>
              <w:right w:val="single" w:color="000000" w:sz="4" w:space="0"/>
            </w:tcBorders>
            <w:noWrap/>
            <w:vAlign w:val="center"/>
          </w:tcPr>
          <w:p w14:paraId="3D4DE1F6">
            <w:pPr>
              <w:keepNext w:val="0"/>
              <w:keepLines w:val="0"/>
              <w:widowControl/>
              <w:suppressLineNumbers w:val="0"/>
              <w:jc w:val="center"/>
              <w:textAlignment w:val="center"/>
              <w:rPr>
                <w:rFonts w:asciiTheme="majorEastAsia" w:hAnsiTheme="majorEastAsia" w:eastAsiaTheme="majorEastAsia" w:cstheme="majorEastAsia"/>
                <w:color w:val="auto"/>
                <w:sz w:val="24"/>
                <w:szCs w:val="24"/>
              </w:rPr>
            </w:pPr>
            <w:r>
              <w:rPr>
                <w:rFonts w:hint="eastAsia" w:ascii="仿宋_GB2312" w:hAnsi="仿宋_GB2312" w:eastAsia="仿宋_GB2312" w:cs="仿宋_GB2312"/>
                <w:i w:val="0"/>
                <w:iCs w:val="0"/>
                <w:color w:val="auto"/>
                <w:kern w:val="0"/>
                <w:sz w:val="24"/>
                <w:szCs w:val="24"/>
                <w:u w:val="none"/>
                <w:lang w:val="en-US" w:eastAsia="zh-CN" w:bidi="ar"/>
              </w:rPr>
              <w:t>IP形象公仔玩偶</w:t>
            </w:r>
          </w:p>
        </w:tc>
        <w:tc>
          <w:tcPr>
            <w:tcW w:w="2133" w:type="dxa"/>
            <w:tcBorders>
              <w:top w:val="single" w:color="000000" w:sz="4" w:space="0"/>
              <w:left w:val="single" w:color="000000" w:sz="4" w:space="0"/>
              <w:bottom w:val="single" w:color="000000" w:sz="4" w:space="0"/>
              <w:right w:val="single" w:color="000000" w:sz="4" w:space="0"/>
            </w:tcBorders>
            <w:noWrap/>
            <w:vAlign w:val="center"/>
          </w:tcPr>
          <w:p w14:paraId="26CC21EA">
            <w:pPr>
              <w:keepNext w:val="0"/>
              <w:keepLines w:val="0"/>
              <w:widowControl/>
              <w:suppressLineNumbers w:val="0"/>
              <w:jc w:val="center"/>
              <w:textAlignment w:val="center"/>
              <w:rPr>
                <w:rFonts w:asciiTheme="majorEastAsia" w:hAnsiTheme="majorEastAsia" w:eastAsiaTheme="majorEastAsia" w:cstheme="majorEastAsia"/>
                <w:b w:val="0"/>
                <w:bCs w:val="0"/>
                <w:color w:val="auto"/>
                <w:kern w:val="0"/>
                <w:sz w:val="24"/>
                <w:szCs w:val="24"/>
              </w:rPr>
            </w:pPr>
            <w:r>
              <w:rPr>
                <w:rFonts w:hint="eastAsia" w:ascii="仿宋_GB2312" w:hAnsi="仿宋_GB2312" w:eastAsia="仿宋_GB2312" w:cs="仿宋_GB2312"/>
                <w:i w:val="0"/>
                <w:iCs w:val="0"/>
                <w:color w:val="auto"/>
                <w:kern w:val="0"/>
                <w:sz w:val="24"/>
                <w:szCs w:val="24"/>
                <w:u w:val="none"/>
                <w:lang w:val="en-US" w:eastAsia="zh-CN" w:bidi="ar"/>
              </w:rPr>
              <w:t>45cm高，面料和填充物为聚酯纤维</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379D0449">
            <w:pPr>
              <w:keepNext w:val="0"/>
              <w:keepLines w:val="0"/>
              <w:widowControl/>
              <w:suppressLineNumbers w:val="0"/>
              <w:jc w:val="center"/>
              <w:textAlignment w:val="center"/>
              <w:rPr>
                <w:rFonts w:asciiTheme="majorEastAsia" w:hAnsiTheme="majorEastAsia" w:eastAsiaTheme="majorEastAsia" w:cstheme="majorEastAsia"/>
                <w:b w:val="0"/>
                <w:bCs w:val="0"/>
                <w:color w:val="auto"/>
                <w:kern w:val="0"/>
                <w:sz w:val="24"/>
                <w:szCs w:val="24"/>
              </w:rPr>
            </w:pPr>
            <w:r>
              <w:rPr>
                <w:rFonts w:hint="eastAsia" w:ascii="仿宋_GB2312" w:hAnsi="仿宋_GB2312" w:eastAsia="仿宋_GB2312" w:cs="仿宋_GB2312"/>
                <w:i w:val="0"/>
                <w:iCs w:val="0"/>
                <w:color w:val="auto"/>
                <w:kern w:val="0"/>
                <w:sz w:val="24"/>
                <w:szCs w:val="24"/>
                <w:u w:val="none"/>
                <w:lang w:val="en-US" w:eastAsia="zh-CN" w:bidi="ar"/>
              </w:rPr>
              <w:t>个</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70E67A8A">
            <w:pPr>
              <w:jc w:val="center"/>
              <w:rPr>
                <w:rFonts w:asciiTheme="majorEastAsia" w:hAnsiTheme="majorEastAsia" w:eastAsiaTheme="majorEastAsia" w:cstheme="majorEastAsia"/>
                <w:color w:val="auto"/>
                <w:sz w:val="24"/>
                <w:szCs w:val="24"/>
              </w:rPr>
            </w:pPr>
          </w:p>
        </w:tc>
        <w:tc>
          <w:tcPr>
            <w:tcW w:w="682" w:type="dxa"/>
            <w:tcBorders>
              <w:top w:val="single" w:color="000000" w:sz="4" w:space="0"/>
              <w:left w:val="single" w:color="000000" w:sz="4" w:space="0"/>
              <w:bottom w:val="single" w:color="000000" w:sz="4" w:space="0"/>
              <w:right w:val="single" w:color="000000" w:sz="4" w:space="0"/>
            </w:tcBorders>
            <w:noWrap/>
            <w:vAlign w:val="center"/>
          </w:tcPr>
          <w:p w14:paraId="15198DEB">
            <w:pPr>
              <w:keepNext/>
              <w:keepLines/>
              <w:spacing w:before="340" w:line="578" w:lineRule="auto"/>
              <w:jc w:val="center"/>
              <w:rPr>
                <w:rStyle w:val="27"/>
                <w:rFonts w:asciiTheme="majorEastAsia" w:hAnsiTheme="majorEastAsia" w:eastAsiaTheme="majorEastAsia" w:cstheme="majorEastAsia"/>
                <w:color w:val="auto"/>
                <w:sz w:val="24"/>
                <w:szCs w:val="24"/>
              </w:rPr>
            </w:pPr>
          </w:p>
        </w:tc>
      </w:tr>
      <w:tr w14:paraId="485C4A24">
        <w:tblPrEx>
          <w:tblCellMar>
            <w:top w:w="0" w:type="dxa"/>
            <w:left w:w="0" w:type="dxa"/>
            <w:bottom w:w="0" w:type="dxa"/>
            <w:right w:w="0" w:type="dxa"/>
          </w:tblCellMar>
        </w:tblPrEx>
        <w:trPr>
          <w:trHeight w:val="636" w:hRule="atLeast"/>
        </w:trPr>
        <w:tc>
          <w:tcPr>
            <w:tcW w:w="971" w:type="dxa"/>
            <w:tcBorders>
              <w:top w:val="single" w:color="000000" w:sz="4" w:space="0"/>
              <w:left w:val="single" w:color="000000" w:sz="4" w:space="0"/>
              <w:bottom w:val="single" w:color="000000" w:sz="4" w:space="0"/>
              <w:right w:val="single" w:color="000000" w:sz="4" w:space="0"/>
            </w:tcBorders>
            <w:noWrap/>
            <w:vAlign w:val="center"/>
          </w:tcPr>
          <w:p w14:paraId="609D9385">
            <w:pPr>
              <w:keepNext/>
              <w:keepLines/>
              <w:spacing w:before="340" w:line="578" w:lineRule="auto"/>
              <w:jc w:val="center"/>
              <w:rPr>
                <w:rFonts w:hint="eastAsia" w:asciiTheme="majorEastAsia" w:hAnsiTheme="majorEastAsia" w:eastAsiaTheme="majorEastAsia" w:cstheme="majorEastAsia"/>
                <w:b w:val="0"/>
                <w:bCs w:val="0"/>
                <w:color w:val="auto"/>
                <w:kern w:val="0"/>
                <w:sz w:val="24"/>
                <w:szCs w:val="24"/>
                <w:lang w:val="en-US" w:eastAsia="zh-CN"/>
              </w:rPr>
            </w:pPr>
            <w:r>
              <w:rPr>
                <w:rFonts w:hint="eastAsia" w:asciiTheme="majorEastAsia" w:hAnsiTheme="majorEastAsia" w:eastAsiaTheme="majorEastAsia" w:cstheme="majorEastAsia"/>
                <w:b w:val="0"/>
                <w:bCs w:val="0"/>
                <w:color w:val="auto"/>
                <w:kern w:val="0"/>
                <w:sz w:val="24"/>
                <w:szCs w:val="24"/>
                <w:lang w:val="en-US" w:eastAsia="zh-CN"/>
              </w:rPr>
              <w:t>3</w:t>
            </w:r>
          </w:p>
        </w:tc>
        <w:tc>
          <w:tcPr>
            <w:tcW w:w="1812" w:type="dxa"/>
            <w:tcBorders>
              <w:top w:val="single" w:color="000000" w:sz="4" w:space="0"/>
              <w:left w:val="single" w:color="000000" w:sz="4" w:space="0"/>
              <w:bottom w:val="single" w:color="000000" w:sz="4" w:space="0"/>
              <w:right w:val="single" w:color="000000" w:sz="4" w:space="0"/>
            </w:tcBorders>
            <w:noWrap/>
            <w:vAlign w:val="center"/>
          </w:tcPr>
          <w:p w14:paraId="5052B07C">
            <w:pPr>
              <w:keepNext w:val="0"/>
              <w:keepLines w:val="0"/>
              <w:widowControl/>
              <w:suppressLineNumbers w:val="0"/>
              <w:jc w:val="center"/>
              <w:textAlignment w:val="center"/>
              <w:rPr>
                <w:rFonts w:hint="eastAsia" w:asciiTheme="majorEastAsia" w:hAnsiTheme="majorEastAsia" w:eastAsiaTheme="majorEastAsia" w:cstheme="majorEastAsia"/>
                <w:color w:val="auto"/>
                <w:sz w:val="24"/>
                <w:szCs w:val="24"/>
              </w:rPr>
            </w:pPr>
            <w:r>
              <w:rPr>
                <w:rFonts w:hint="eastAsia" w:ascii="仿宋_GB2312" w:hAnsi="仿宋_GB2312" w:eastAsia="仿宋_GB2312" w:cs="仿宋_GB2312"/>
                <w:i w:val="0"/>
                <w:iCs w:val="0"/>
                <w:color w:val="auto"/>
                <w:kern w:val="0"/>
                <w:sz w:val="24"/>
                <w:szCs w:val="24"/>
                <w:u w:val="none"/>
                <w:lang w:val="en-US" w:eastAsia="zh-CN" w:bidi="ar"/>
              </w:rPr>
              <w:t>IP形象公仔钥匙扣</w:t>
            </w:r>
          </w:p>
        </w:tc>
        <w:tc>
          <w:tcPr>
            <w:tcW w:w="2133" w:type="dxa"/>
            <w:tcBorders>
              <w:top w:val="single" w:color="000000" w:sz="4" w:space="0"/>
              <w:left w:val="single" w:color="000000" w:sz="4" w:space="0"/>
              <w:bottom w:val="single" w:color="000000" w:sz="4" w:space="0"/>
              <w:right w:val="single" w:color="000000" w:sz="4" w:space="0"/>
            </w:tcBorders>
            <w:noWrap/>
            <w:vAlign w:val="center"/>
          </w:tcPr>
          <w:p w14:paraId="67D8448A">
            <w:pPr>
              <w:keepNext w:val="0"/>
              <w:keepLines w:val="0"/>
              <w:widowControl/>
              <w:suppressLineNumbers w:val="0"/>
              <w:jc w:val="center"/>
              <w:textAlignment w:val="center"/>
              <w:rPr>
                <w:rFonts w:asciiTheme="majorEastAsia" w:hAnsiTheme="majorEastAsia" w:eastAsiaTheme="majorEastAsia" w:cstheme="majorEastAsia"/>
                <w:b w:val="0"/>
                <w:bCs w:val="0"/>
                <w:color w:val="auto"/>
                <w:kern w:val="0"/>
                <w:sz w:val="24"/>
                <w:szCs w:val="24"/>
              </w:rPr>
            </w:pPr>
            <w:r>
              <w:rPr>
                <w:rFonts w:hint="eastAsia" w:ascii="仿宋_GB2312" w:hAnsi="仿宋_GB2312" w:eastAsia="仿宋_GB2312" w:cs="仿宋_GB2312"/>
                <w:i w:val="0"/>
                <w:iCs w:val="0"/>
                <w:color w:val="auto"/>
                <w:kern w:val="0"/>
                <w:sz w:val="24"/>
                <w:szCs w:val="24"/>
                <w:u w:val="none"/>
                <w:lang w:val="en-US" w:eastAsia="zh-CN" w:bidi="ar"/>
              </w:rPr>
              <w:t>7cm高，材料：亚克力+pvc手腕带</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556EC264">
            <w:pPr>
              <w:keepNext w:val="0"/>
              <w:keepLines w:val="0"/>
              <w:widowControl/>
              <w:suppressLineNumbers w:val="0"/>
              <w:jc w:val="center"/>
              <w:textAlignment w:val="center"/>
              <w:rPr>
                <w:rFonts w:asciiTheme="majorEastAsia" w:hAnsiTheme="majorEastAsia" w:eastAsiaTheme="majorEastAsia" w:cstheme="majorEastAsia"/>
                <w:b w:val="0"/>
                <w:bCs w:val="0"/>
                <w:color w:val="auto"/>
                <w:kern w:val="0"/>
                <w:sz w:val="24"/>
                <w:szCs w:val="24"/>
              </w:rPr>
            </w:pPr>
            <w:r>
              <w:rPr>
                <w:rFonts w:hint="eastAsia" w:ascii="仿宋_GB2312" w:hAnsi="仿宋_GB2312" w:eastAsia="仿宋_GB2312" w:cs="仿宋_GB2312"/>
                <w:i w:val="0"/>
                <w:iCs w:val="0"/>
                <w:color w:val="auto"/>
                <w:kern w:val="0"/>
                <w:sz w:val="24"/>
                <w:szCs w:val="24"/>
                <w:u w:val="none"/>
                <w:lang w:val="en-US" w:eastAsia="zh-CN" w:bidi="ar"/>
              </w:rPr>
              <w:t>个</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41E2D7D6">
            <w:pPr>
              <w:jc w:val="center"/>
              <w:rPr>
                <w:rFonts w:asciiTheme="majorEastAsia" w:hAnsiTheme="majorEastAsia" w:eastAsiaTheme="majorEastAsia" w:cstheme="majorEastAsia"/>
                <w:color w:val="auto"/>
                <w:sz w:val="24"/>
                <w:szCs w:val="24"/>
              </w:rPr>
            </w:pPr>
          </w:p>
        </w:tc>
        <w:tc>
          <w:tcPr>
            <w:tcW w:w="682" w:type="dxa"/>
            <w:tcBorders>
              <w:top w:val="single" w:color="000000" w:sz="4" w:space="0"/>
              <w:left w:val="single" w:color="000000" w:sz="4" w:space="0"/>
              <w:bottom w:val="single" w:color="000000" w:sz="4" w:space="0"/>
              <w:right w:val="single" w:color="000000" w:sz="4" w:space="0"/>
            </w:tcBorders>
            <w:noWrap/>
            <w:vAlign w:val="center"/>
          </w:tcPr>
          <w:p w14:paraId="5DCEFBB7">
            <w:pPr>
              <w:keepNext/>
              <w:keepLines/>
              <w:spacing w:before="340" w:line="578" w:lineRule="auto"/>
              <w:jc w:val="center"/>
              <w:rPr>
                <w:rStyle w:val="27"/>
                <w:rFonts w:asciiTheme="majorEastAsia" w:hAnsiTheme="majorEastAsia" w:eastAsiaTheme="majorEastAsia" w:cstheme="majorEastAsia"/>
                <w:color w:val="auto"/>
                <w:sz w:val="24"/>
                <w:szCs w:val="24"/>
              </w:rPr>
            </w:pPr>
          </w:p>
        </w:tc>
      </w:tr>
      <w:tr w14:paraId="5D7A2367">
        <w:tblPrEx>
          <w:tblCellMar>
            <w:top w:w="0" w:type="dxa"/>
            <w:left w:w="0" w:type="dxa"/>
            <w:bottom w:w="0" w:type="dxa"/>
            <w:right w:w="0" w:type="dxa"/>
          </w:tblCellMar>
        </w:tblPrEx>
        <w:trPr>
          <w:trHeight w:val="636" w:hRule="atLeast"/>
        </w:trPr>
        <w:tc>
          <w:tcPr>
            <w:tcW w:w="971" w:type="dxa"/>
            <w:tcBorders>
              <w:top w:val="single" w:color="000000" w:sz="4" w:space="0"/>
              <w:left w:val="single" w:color="000000" w:sz="4" w:space="0"/>
              <w:bottom w:val="single" w:color="000000" w:sz="4" w:space="0"/>
              <w:right w:val="single" w:color="000000" w:sz="4" w:space="0"/>
            </w:tcBorders>
            <w:noWrap/>
            <w:vAlign w:val="center"/>
          </w:tcPr>
          <w:p w14:paraId="1C79E602">
            <w:pPr>
              <w:keepNext/>
              <w:keepLines/>
              <w:spacing w:before="340" w:line="578" w:lineRule="auto"/>
              <w:jc w:val="center"/>
              <w:rPr>
                <w:rFonts w:hint="eastAsia" w:asciiTheme="majorEastAsia" w:hAnsiTheme="majorEastAsia" w:eastAsiaTheme="majorEastAsia" w:cstheme="majorEastAsia"/>
                <w:b w:val="0"/>
                <w:bCs w:val="0"/>
                <w:color w:val="auto"/>
                <w:kern w:val="0"/>
                <w:sz w:val="24"/>
                <w:szCs w:val="24"/>
                <w:lang w:val="en-US" w:eastAsia="zh-CN"/>
              </w:rPr>
            </w:pPr>
            <w:r>
              <w:rPr>
                <w:rFonts w:hint="eastAsia" w:asciiTheme="majorEastAsia" w:hAnsiTheme="majorEastAsia" w:eastAsiaTheme="majorEastAsia" w:cstheme="majorEastAsia"/>
                <w:b w:val="0"/>
                <w:bCs w:val="0"/>
                <w:color w:val="auto"/>
                <w:kern w:val="0"/>
                <w:sz w:val="24"/>
                <w:szCs w:val="24"/>
                <w:lang w:val="en-US" w:eastAsia="zh-CN"/>
              </w:rPr>
              <w:t>4</w:t>
            </w:r>
          </w:p>
        </w:tc>
        <w:tc>
          <w:tcPr>
            <w:tcW w:w="1812" w:type="dxa"/>
            <w:tcBorders>
              <w:top w:val="single" w:color="000000" w:sz="4" w:space="0"/>
              <w:left w:val="single" w:color="000000" w:sz="4" w:space="0"/>
              <w:bottom w:val="single" w:color="000000" w:sz="4" w:space="0"/>
              <w:right w:val="single" w:color="000000" w:sz="4" w:space="0"/>
            </w:tcBorders>
            <w:noWrap/>
            <w:vAlign w:val="center"/>
          </w:tcPr>
          <w:p w14:paraId="2047CFED">
            <w:pPr>
              <w:keepNext w:val="0"/>
              <w:keepLines w:val="0"/>
              <w:widowControl/>
              <w:suppressLineNumbers w:val="0"/>
              <w:jc w:val="center"/>
              <w:textAlignment w:val="center"/>
              <w:rPr>
                <w:rFonts w:hint="eastAsia" w:asciiTheme="majorEastAsia" w:hAnsiTheme="majorEastAsia" w:eastAsiaTheme="majorEastAsia" w:cstheme="majorEastAsia"/>
                <w:color w:val="auto"/>
                <w:sz w:val="24"/>
                <w:szCs w:val="24"/>
              </w:rPr>
            </w:pPr>
            <w:r>
              <w:rPr>
                <w:rFonts w:hint="eastAsia" w:ascii="仿宋_GB2312" w:hAnsi="仿宋_GB2312" w:eastAsia="仿宋_GB2312" w:cs="仿宋_GB2312"/>
                <w:i w:val="0"/>
                <w:iCs w:val="0"/>
                <w:color w:val="auto"/>
                <w:kern w:val="0"/>
                <w:sz w:val="24"/>
                <w:szCs w:val="24"/>
                <w:u w:val="none"/>
                <w:lang w:val="en-US" w:eastAsia="zh-CN" w:bidi="ar"/>
              </w:rPr>
              <w:t>玩偶服</w:t>
            </w:r>
          </w:p>
        </w:tc>
        <w:tc>
          <w:tcPr>
            <w:tcW w:w="2133" w:type="dxa"/>
            <w:tcBorders>
              <w:top w:val="single" w:color="000000" w:sz="4" w:space="0"/>
              <w:left w:val="single" w:color="000000" w:sz="4" w:space="0"/>
              <w:bottom w:val="single" w:color="000000" w:sz="4" w:space="0"/>
              <w:right w:val="single" w:color="000000" w:sz="4" w:space="0"/>
            </w:tcBorders>
            <w:noWrap/>
            <w:vAlign w:val="center"/>
          </w:tcPr>
          <w:p w14:paraId="32BF04D8">
            <w:pPr>
              <w:keepNext w:val="0"/>
              <w:keepLines w:val="0"/>
              <w:widowControl/>
              <w:suppressLineNumbers w:val="0"/>
              <w:jc w:val="center"/>
              <w:textAlignment w:val="center"/>
              <w:rPr>
                <w:rFonts w:asciiTheme="majorEastAsia" w:hAnsiTheme="majorEastAsia" w:eastAsiaTheme="majorEastAsia" w:cstheme="majorEastAsia"/>
                <w:b w:val="0"/>
                <w:bCs w:val="0"/>
                <w:color w:val="auto"/>
                <w:kern w:val="0"/>
                <w:sz w:val="24"/>
                <w:szCs w:val="24"/>
              </w:rPr>
            </w:pPr>
            <w:r>
              <w:rPr>
                <w:rFonts w:hint="eastAsia" w:ascii="仿宋_GB2312" w:hAnsi="仿宋_GB2312" w:eastAsia="仿宋_GB2312" w:cs="仿宋_GB2312"/>
                <w:i w:val="0"/>
                <w:iCs w:val="0"/>
                <w:color w:val="auto"/>
                <w:kern w:val="0"/>
                <w:sz w:val="24"/>
                <w:szCs w:val="24"/>
                <w:u w:val="none"/>
                <w:lang w:val="en-US" w:eastAsia="zh-CN" w:bidi="ar"/>
              </w:rPr>
              <w:t>成人可穿，加厚仿醋酸锻</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300CA5D8">
            <w:pPr>
              <w:keepNext w:val="0"/>
              <w:keepLines w:val="0"/>
              <w:widowControl/>
              <w:suppressLineNumbers w:val="0"/>
              <w:jc w:val="center"/>
              <w:textAlignment w:val="center"/>
              <w:rPr>
                <w:rFonts w:asciiTheme="majorEastAsia" w:hAnsiTheme="majorEastAsia" w:eastAsiaTheme="majorEastAsia" w:cstheme="majorEastAsia"/>
                <w:b w:val="0"/>
                <w:bCs w:val="0"/>
                <w:color w:val="auto"/>
                <w:kern w:val="0"/>
                <w:sz w:val="24"/>
                <w:szCs w:val="24"/>
              </w:rPr>
            </w:pPr>
            <w:r>
              <w:rPr>
                <w:rFonts w:hint="eastAsia" w:ascii="仿宋_GB2312" w:hAnsi="仿宋_GB2312" w:eastAsia="仿宋_GB2312" w:cs="仿宋_GB2312"/>
                <w:i w:val="0"/>
                <w:iCs w:val="0"/>
                <w:color w:val="auto"/>
                <w:kern w:val="0"/>
                <w:sz w:val="24"/>
                <w:szCs w:val="24"/>
                <w:u w:val="none"/>
                <w:lang w:val="en-US" w:eastAsia="zh-CN" w:bidi="ar"/>
              </w:rPr>
              <w:t>套</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544CC4F8">
            <w:pPr>
              <w:jc w:val="center"/>
              <w:rPr>
                <w:rFonts w:asciiTheme="majorEastAsia" w:hAnsiTheme="majorEastAsia" w:eastAsiaTheme="majorEastAsia" w:cstheme="majorEastAsia"/>
                <w:color w:val="auto"/>
                <w:sz w:val="24"/>
                <w:szCs w:val="24"/>
              </w:rPr>
            </w:pPr>
          </w:p>
        </w:tc>
        <w:tc>
          <w:tcPr>
            <w:tcW w:w="682" w:type="dxa"/>
            <w:tcBorders>
              <w:top w:val="single" w:color="000000" w:sz="4" w:space="0"/>
              <w:left w:val="single" w:color="000000" w:sz="4" w:space="0"/>
              <w:bottom w:val="single" w:color="000000" w:sz="4" w:space="0"/>
              <w:right w:val="single" w:color="000000" w:sz="4" w:space="0"/>
            </w:tcBorders>
            <w:noWrap/>
            <w:vAlign w:val="center"/>
          </w:tcPr>
          <w:p w14:paraId="4C7DB7EE">
            <w:pPr>
              <w:keepNext/>
              <w:keepLines/>
              <w:spacing w:before="340" w:line="578" w:lineRule="auto"/>
              <w:jc w:val="center"/>
              <w:rPr>
                <w:rStyle w:val="27"/>
                <w:rFonts w:asciiTheme="majorEastAsia" w:hAnsiTheme="majorEastAsia" w:eastAsiaTheme="majorEastAsia" w:cstheme="majorEastAsia"/>
                <w:color w:val="auto"/>
                <w:sz w:val="24"/>
                <w:szCs w:val="24"/>
              </w:rPr>
            </w:pPr>
          </w:p>
        </w:tc>
      </w:tr>
      <w:tr w14:paraId="4F71823D">
        <w:tblPrEx>
          <w:tblCellMar>
            <w:top w:w="0" w:type="dxa"/>
            <w:left w:w="0" w:type="dxa"/>
            <w:bottom w:w="0" w:type="dxa"/>
            <w:right w:w="0" w:type="dxa"/>
          </w:tblCellMar>
        </w:tblPrEx>
        <w:trPr>
          <w:trHeight w:val="636" w:hRule="atLeast"/>
        </w:trPr>
        <w:tc>
          <w:tcPr>
            <w:tcW w:w="971" w:type="dxa"/>
            <w:tcBorders>
              <w:top w:val="single" w:color="000000" w:sz="4" w:space="0"/>
              <w:left w:val="single" w:color="000000" w:sz="4" w:space="0"/>
              <w:bottom w:val="single" w:color="000000" w:sz="4" w:space="0"/>
              <w:right w:val="single" w:color="000000" w:sz="4" w:space="0"/>
            </w:tcBorders>
            <w:noWrap/>
            <w:vAlign w:val="center"/>
          </w:tcPr>
          <w:p w14:paraId="619EEBB5">
            <w:pPr>
              <w:keepNext/>
              <w:keepLines/>
              <w:spacing w:before="340" w:line="578" w:lineRule="auto"/>
              <w:jc w:val="center"/>
              <w:rPr>
                <w:rFonts w:hint="eastAsia" w:asciiTheme="majorEastAsia" w:hAnsiTheme="majorEastAsia" w:eastAsiaTheme="majorEastAsia" w:cstheme="majorEastAsia"/>
                <w:b w:val="0"/>
                <w:bCs w:val="0"/>
                <w:color w:val="auto"/>
                <w:kern w:val="0"/>
                <w:sz w:val="24"/>
                <w:szCs w:val="24"/>
                <w:lang w:val="en-US" w:eastAsia="zh-CN"/>
              </w:rPr>
            </w:pPr>
            <w:r>
              <w:rPr>
                <w:rFonts w:hint="eastAsia" w:asciiTheme="majorEastAsia" w:hAnsiTheme="majorEastAsia" w:eastAsiaTheme="majorEastAsia" w:cstheme="majorEastAsia"/>
                <w:b w:val="0"/>
                <w:bCs w:val="0"/>
                <w:color w:val="auto"/>
                <w:kern w:val="0"/>
                <w:sz w:val="24"/>
                <w:szCs w:val="24"/>
                <w:lang w:val="en-US" w:eastAsia="zh-CN"/>
              </w:rPr>
              <w:t>5</w:t>
            </w:r>
          </w:p>
        </w:tc>
        <w:tc>
          <w:tcPr>
            <w:tcW w:w="1812" w:type="dxa"/>
            <w:tcBorders>
              <w:top w:val="single" w:color="000000" w:sz="4" w:space="0"/>
              <w:left w:val="single" w:color="000000" w:sz="4" w:space="0"/>
              <w:bottom w:val="single" w:color="000000" w:sz="4" w:space="0"/>
              <w:right w:val="single" w:color="000000" w:sz="4" w:space="0"/>
            </w:tcBorders>
            <w:noWrap/>
            <w:vAlign w:val="center"/>
          </w:tcPr>
          <w:p w14:paraId="0B675B9B">
            <w:pPr>
              <w:keepNext w:val="0"/>
              <w:keepLines w:val="0"/>
              <w:widowControl/>
              <w:suppressLineNumbers w:val="0"/>
              <w:jc w:val="center"/>
              <w:textAlignment w:val="center"/>
              <w:rPr>
                <w:rFonts w:hint="eastAsia" w:asciiTheme="majorEastAsia" w:hAnsiTheme="majorEastAsia" w:eastAsiaTheme="majorEastAsia" w:cstheme="majorEastAsia"/>
                <w:color w:val="auto"/>
                <w:sz w:val="24"/>
                <w:szCs w:val="24"/>
              </w:rPr>
            </w:pPr>
            <w:r>
              <w:rPr>
                <w:rFonts w:hint="eastAsia" w:ascii="仿宋_GB2312" w:hAnsi="仿宋_GB2312" w:eastAsia="仿宋_GB2312" w:cs="仿宋_GB2312"/>
                <w:i w:val="0"/>
                <w:iCs w:val="0"/>
                <w:color w:val="auto"/>
                <w:kern w:val="0"/>
                <w:sz w:val="24"/>
                <w:szCs w:val="24"/>
                <w:u w:val="none"/>
                <w:lang w:val="en-US" w:eastAsia="zh-CN" w:bidi="ar"/>
              </w:rPr>
              <w:t>玩偶头套</w:t>
            </w:r>
          </w:p>
        </w:tc>
        <w:tc>
          <w:tcPr>
            <w:tcW w:w="2133" w:type="dxa"/>
            <w:tcBorders>
              <w:top w:val="single" w:color="000000" w:sz="4" w:space="0"/>
              <w:left w:val="single" w:color="000000" w:sz="4" w:space="0"/>
              <w:bottom w:val="single" w:color="000000" w:sz="4" w:space="0"/>
              <w:right w:val="single" w:color="000000" w:sz="4" w:space="0"/>
            </w:tcBorders>
            <w:noWrap/>
            <w:vAlign w:val="center"/>
          </w:tcPr>
          <w:p w14:paraId="4EE545CB">
            <w:pPr>
              <w:keepNext w:val="0"/>
              <w:keepLines w:val="0"/>
              <w:widowControl/>
              <w:suppressLineNumbers w:val="0"/>
              <w:jc w:val="center"/>
              <w:textAlignment w:val="center"/>
              <w:rPr>
                <w:rFonts w:asciiTheme="majorEastAsia" w:hAnsiTheme="majorEastAsia" w:eastAsiaTheme="majorEastAsia" w:cstheme="majorEastAsia"/>
                <w:b w:val="0"/>
                <w:bCs w:val="0"/>
                <w:color w:val="auto"/>
                <w:kern w:val="0"/>
                <w:sz w:val="24"/>
                <w:szCs w:val="24"/>
              </w:rPr>
            </w:pPr>
            <w:r>
              <w:rPr>
                <w:rFonts w:hint="eastAsia" w:ascii="仿宋_GB2312" w:hAnsi="仿宋_GB2312" w:eastAsia="仿宋_GB2312" w:cs="仿宋_GB2312"/>
                <w:i w:val="0"/>
                <w:iCs w:val="0"/>
                <w:color w:val="auto"/>
                <w:kern w:val="0"/>
                <w:sz w:val="24"/>
                <w:szCs w:val="24"/>
                <w:u w:val="none"/>
                <w:lang w:val="en-US" w:eastAsia="zh-CN" w:bidi="ar"/>
              </w:rPr>
              <w:t>成人可穿，毛绒材质填充pp棉</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5D99DAB3">
            <w:pPr>
              <w:keepNext w:val="0"/>
              <w:keepLines w:val="0"/>
              <w:widowControl/>
              <w:suppressLineNumbers w:val="0"/>
              <w:jc w:val="center"/>
              <w:textAlignment w:val="center"/>
              <w:rPr>
                <w:rFonts w:asciiTheme="majorEastAsia" w:hAnsiTheme="majorEastAsia" w:eastAsiaTheme="majorEastAsia" w:cstheme="majorEastAsia"/>
                <w:b w:val="0"/>
                <w:bCs w:val="0"/>
                <w:color w:val="auto"/>
                <w:kern w:val="0"/>
                <w:sz w:val="24"/>
                <w:szCs w:val="24"/>
              </w:rPr>
            </w:pPr>
            <w:r>
              <w:rPr>
                <w:rFonts w:hint="eastAsia" w:ascii="仿宋_GB2312" w:hAnsi="仿宋_GB2312" w:eastAsia="仿宋_GB2312" w:cs="仿宋_GB2312"/>
                <w:i w:val="0"/>
                <w:iCs w:val="0"/>
                <w:color w:val="auto"/>
                <w:kern w:val="0"/>
                <w:sz w:val="24"/>
                <w:szCs w:val="24"/>
                <w:u w:val="none"/>
                <w:lang w:val="en-US" w:eastAsia="zh-CN" w:bidi="ar"/>
              </w:rPr>
              <w:t>个</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67757054">
            <w:pPr>
              <w:jc w:val="center"/>
              <w:rPr>
                <w:rFonts w:asciiTheme="majorEastAsia" w:hAnsiTheme="majorEastAsia" w:eastAsiaTheme="majorEastAsia" w:cstheme="majorEastAsia"/>
                <w:color w:val="auto"/>
                <w:sz w:val="24"/>
                <w:szCs w:val="24"/>
              </w:rPr>
            </w:pPr>
          </w:p>
        </w:tc>
        <w:tc>
          <w:tcPr>
            <w:tcW w:w="682" w:type="dxa"/>
            <w:tcBorders>
              <w:top w:val="single" w:color="000000" w:sz="4" w:space="0"/>
              <w:left w:val="single" w:color="000000" w:sz="4" w:space="0"/>
              <w:bottom w:val="single" w:color="000000" w:sz="4" w:space="0"/>
              <w:right w:val="single" w:color="000000" w:sz="4" w:space="0"/>
            </w:tcBorders>
            <w:noWrap/>
            <w:vAlign w:val="center"/>
          </w:tcPr>
          <w:p w14:paraId="5070AA0C">
            <w:pPr>
              <w:keepNext/>
              <w:keepLines/>
              <w:spacing w:before="340" w:line="578" w:lineRule="auto"/>
              <w:jc w:val="center"/>
              <w:rPr>
                <w:rStyle w:val="27"/>
                <w:rFonts w:asciiTheme="majorEastAsia" w:hAnsiTheme="majorEastAsia" w:eastAsiaTheme="majorEastAsia" w:cstheme="majorEastAsia"/>
                <w:color w:val="auto"/>
                <w:sz w:val="24"/>
                <w:szCs w:val="24"/>
              </w:rPr>
            </w:pPr>
          </w:p>
        </w:tc>
      </w:tr>
    </w:tbl>
    <w:p w14:paraId="098DBC07">
      <w:pPr>
        <w:adjustRightInd/>
        <w:snapToGrid/>
        <w:spacing w:after="0" w:line="480" w:lineRule="auto"/>
        <w:jc w:val="both"/>
        <w:rPr>
          <w:rFonts w:ascii="宋体" w:hAnsi="宋体" w:eastAsia="宋体" w:cs="宋体"/>
          <w:b/>
          <w:bCs/>
          <w:color w:val="auto"/>
          <w:kern w:val="2"/>
          <w:sz w:val="24"/>
          <w:szCs w:val="24"/>
        </w:rPr>
      </w:pPr>
    </w:p>
    <w:p w14:paraId="3004393C">
      <w:pPr>
        <w:adjustRightInd/>
        <w:snapToGrid/>
        <w:spacing w:after="0" w:line="480" w:lineRule="auto"/>
        <w:jc w:val="both"/>
        <w:rPr>
          <w:rFonts w:ascii="宋体" w:hAnsi="宋体" w:eastAsia="宋体" w:cs="宋体"/>
          <w:b/>
          <w:bCs/>
          <w:color w:val="auto"/>
          <w:kern w:val="2"/>
          <w:sz w:val="24"/>
          <w:szCs w:val="24"/>
        </w:rPr>
      </w:pPr>
      <w:r>
        <w:rPr>
          <w:rFonts w:hint="eastAsia" w:ascii="宋体" w:hAnsi="宋体" w:eastAsia="宋体" w:cs="宋体"/>
          <w:b/>
          <w:bCs/>
          <w:color w:val="auto"/>
          <w:kern w:val="2"/>
          <w:sz w:val="24"/>
          <w:szCs w:val="24"/>
        </w:rPr>
        <w:t>二、合同价款结算方式</w:t>
      </w:r>
    </w:p>
    <w:p w14:paraId="04AC5C7C">
      <w:pPr>
        <w:adjustRightInd/>
        <w:snapToGrid/>
        <w:spacing w:after="0" w:line="480" w:lineRule="auto"/>
        <w:ind w:left="0" w:leftChars="0" w:firstLine="480" w:firstLineChars="200"/>
        <w:jc w:val="both"/>
        <w:rPr>
          <w:rFonts w:hint="eastAsia" w:ascii="宋体" w:hAnsi="宋体" w:eastAsia="宋体" w:cs="宋体"/>
          <w:color w:val="auto"/>
          <w:kern w:val="2"/>
          <w:sz w:val="24"/>
          <w:szCs w:val="24"/>
        </w:rPr>
      </w:pPr>
      <w:r>
        <w:rPr>
          <w:rFonts w:ascii="宋体" w:hAnsi="宋体" w:eastAsia="宋体" w:cs="宋体"/>
          <w:color w:val="auto"/>
          <w:kern w:val="2"/>
          <w:sz w:val="24"/>
          <w:szCs w:val="24"/>
        </w:rPr>
        <w:t>1、本项目完</w:t>
      </w:r>
      <w:r>
        <w:rPr>
          <w:rFonts w:hint="eastAsia" w:ascii="宋体" w:hAnsi="宋体" w:eastAsia="宋体" w:cs="宋体"/>
          <w:color w:val="auto"/>
          <w:kern w:val="2"/>
          <w:sz w:val="24"/>
          <w:szCs w:val="24"/>
          <w:lang w:val="en-US" w:eastAsia="zh-CN"/>
        </w:rPr>
        <w:t>工并经验收合格</w:t>
      </w:r>
      <w:r>
        <w:rPr>
          <w:rFonts w:ascii="宋体" w:hAnsi="宋体" w:eastAsia="宋体" w:cs="宋体"/>
          <w:color w:val="auto"/>
          <w:kern w:val="2"/>
          <w:sz w:val="24"/>
          <w:szCs w:val="24"/>
        </w:rPr>
        <w:t>后，甲方</w:t>
      </w:r>
      <w:r>
        <w:rPr>
          <w:rFonts w:hint="eastAsia" w:ascii="宋体" w:hAnsi="宋体" w:eastAsia="宋体" w:cs="宋体"/>
          <w:color w:val="auto"/>
          <w:kern w:val="2"/>
          <w:sz w:val="24"/>
          <w:szCs w:val="24"/>
        </w:rPr>
        <w:t>按照中标单价及实际验收合格数量进行据实结算。最终结算金额以实际发生为准，但不得超过项目最高限价金额（</w:t>
      </w:r>
      <w:r>
        <w:rPr>
          <w:rFonts w:ascii="宋体" w:hAnsi="宋体" w:eastAsia="宋体" w:cs="宋体"/>
          <w:color w:val="auto"/>
          <w:kern w:val="2"/>
          <w:sz w:val="24"/>
          <w:szCs w:val="24"/>
          <w:shd w:val="clear" w:color="auto" w:fill="auto"/>
        </w:rPr>
        <w:t>¥</w:t>
      </w:r>
      <w:r>
        <w:rPr>
          <w:rFonts w:hint="eastAsia" w:ascii="宋体" w:hAnsi="宋体" w:eastAsia="宋体" w:cs="宋体"/>
          <w:color w:val="auto"/>
          <w:kern w:val="2"/>
          <w:sz w:val="24"/>
          <w:szCs w:val="24"/>
          <w:shd w:val="clear" w:color="auto" w:fill="auto"/>
        </w:rPr>
        <w:t>，</w:t>
      </w:r>
      <w:r>
        <w:rPr>
          <w:rFonts w:hint="eastAsia" w:ascii="宋体" w:hAnsi="宋体" w:eastAsia="宋体" w:cs="宋体"/>
          <w:color w:val="auto"/>
          <w:kern w:val="2"/>
          <w:sz w:val="24"/>
          <w:szCs w:val="24"/>
          <w:shd w:val="clear" w:color="auto" w:fill="auto"/>
          <w:lang w:val="en-US" w:eastAsia="zh-CN"/>
        </w:rPr>
        <w:t>200000</w:t>
      </w:r>
      <w:r>
        <w:rPr>
          <w:rFonts w:hint="eastAsia" w:ascii="宋体" w:hAnsi="宋体" w:eastAsia="宋体" w:cs="宋体"/>
          <w:color w:val="auto"/>
          <w:kern w:val="2"/>
          <w:sz w:val="24"/>
          <w:szCs w:val="24"/>
          <w:shd w:val="clear" w:color="auto" w:fill="auto"/>
        </w:rPr>
        <w:t>大写：</w:t>
      </w:r>
      <w:r>
        <w:rPr>
          <w:rFonts w:hint="eastAsia" w:ascii="宋体" w:hAnsi="宋体" w:eastAsia="宋体" w:cs="宋体"/>
          <w:color w:val="auto"/>
          <w:kern w:val="2"/>
          <w:sz w:val="24"/>
          <w:szCs w:val="24"/>
          <w:shd w:val="clear" w:color="auto" w:fill="auto"/>
          <w:lang w:eastAsia="zh-CN"/>
        </w:rPr>
        <w:t>贰拾万</w:t>
      </w:r>
      <w:r>
        <w:rPr>
          <w:rFonts w:hint="eastAsia" w:ascii="宋体" w:hAnsi="宋体" w:eastAsia="宋体" w:cs="宋体"/>
          <w:color w:val="auto"/>
          <w:kern w:val="2"/>
          <w:sz w:val="24"/>
          <w:szCs w:val="24"/>
          <w:shd w:val="clear" w:color="auto" w:fill="auto"/>
        </w:rPr>
        <w:t>元整）</w:t>
      </w:r>
      <w:r>
        <w:rPr>
          <w:rFonts w:hint="eastAsia" w:ascii="宋体" w:hAnsi="宋体" w:eastAsia="宋体" w:cs="宋体"/>
          <w:color w:val="auto"/>
          <w:kern w:val="2"/>
          <w:sz w:val="24"/>
          <w:szCs w:val="24"/>
        </w:rPr>
        <w:t>,超过</w:t>
      </w:r>
      <w:r>
        <w:rPr>
          <w:rFonts w:hint="eastAsia" w:ascii="宋体" w:hAnsi="宋体" w:eastAsia="宋体" w:cs="宋体"/>
          <w:color w:val="auto"/>
          <w:kern w:val="2"/>
          <w:sz w:val="24"/>
          <w:szCs w:val="24"/>
          <w:lang w:val="en-US" w:eastAsia="zh-CN"/>
        </w:rPr>
        <w:t>部分由</w:t>
      </w:r>
      <w:r>
        <w:rPr>
          <w:rFonts w:hint="eastAsia" w:ascii="宋体" w:hAnsi="宋体" w:eastAsia="宋体" w:cs="宋体"/>
          <w:color w:val="auto"/>
          <w:kern w:val="2"/>
          <w:sz w:val="24"/>
          <w:szCs w:val="24"/>
        </w:rPr>
        <w:t>乙方自行承担。验收合格后，甲方一次性支付实际结算费用总额的</w:t>
      </w:r>
      <w:r>
        <w:rPr>
          <w:rFonts w:hint="eastAsia" w:ascii="宋体" w:hAnsi="宋体" w:eastAsia="宋体" w:cs="宋体"/>
          <w:color w:val="auto"/>
          <w:kern w:val="2"/>
          <w:sz w:val="24"/>
          <w:szCs w:val="24"/>
          <w:lang w:val="en-US" w:eastAsia="zh-CN"/>
        </w:rPr>
        <w:t>97</w:t>
      </w:r>
      <w:r>
        <w:rPr>
          <w:rFonts w:ascii="宋体" w:hAnsi="宋体" w:eastAsia="宋体" w:cs="宋体"/>
          <w:color w:val="auto"/>
          <w:kern w:val="2"/>
          <w:sz w:val="24"/>
          <w:szCs w:val="24"/>
        </w:rPr>
        <w:t>%</w:t>
      </w:r>
      <w:r>
        <w:rPr>
          <w:rFonts w:hint="eastAsia" w:ascii="宋体" w:hAnsi="宋体" w:eastAsia="宋体" w:cs="宋体"/>
          <w:color w:val="auto"/>
          <w:kern w:val="2"/>
          <w:sz w:val="24"/>
          <w:szCs w:val="24"/>
        </w:rPr>
        <w:t>，留存</w:t>
      </w:r>
      <w:r>
        <w:rPr>
          <w:rFonts w:hint="eastAsia" w:ascii="宋体" w:hAnsi="宋体" w:eastAsia="宋体" w:cs="宋体"/>
          <w:color w:val="auto"/>
          <w:kern w:val="2"/>
          <w:sz w:val="24"/>
          <w:szCs w:val="24"/>
          <w:lang w:val="en-US" w:eastAsia="zh-CN"/>
        </w:rPr>
        <w:t>3</w:t>
      </w:r>
      <w:r>
        <w:rPr>
          <w:rFonts w:ascii="宋体" w:hAnsi="宋体" w:eastAsia="宋体" w:cs="宋体"/>
          <w:color w:val="auto"/>
          <w:kern w:val="2"/>
          <w:sz w:val="24"/>
          <w:szCs w:val="24"/>
        </w:rPr>
        <w:t>%</w:t>
      </w:r>
      <w:r>
        <w:rPr>
          <w:rFonts w:hint="eastAsia" w:ascii="宋体" w:hAnsi="宋体" w:eastAsia="宋体" w:cs="宋体"/>
          <w:color w:val="auto"/>
          <w:kern w:val="2"/>
          <w:sz w:val="24"/>
          <w:szCs w:val="24"/>
        </w:rPr>
        <w:t>作为尾款，质保期</w:t>
      </w:r>
      <w:r>
        <w:rPr>
          <w:rFonts w:hint="eastAsia" w:ascii="宋体" w:hAnsi="宋体" w:eastAsia="宋体" w:cs="宋体"/>
          <w:color w:val="auto"/>
          <w:kern w:val="2"/>
          <w:sz w:val="24"/>
          <w:szCs w:val="24"/>
          <w:lang w:eastAsia="zh-CN"/>
        </w:rPr>
        <w:t>一</w:t>
      </w:r>
      <w:r>
        <w:rPr>
          <w:rFonts w:hint="eastAsia" w:ascii="宋体" w:hAnsi="宋体" w:eastAsia="宋体" w:cs="宋体"/>
          <w:color w:val="auto"/>
          <w:kern w:val="2"/>
          <w:sz w:val="24"/>
          <w:szCs w:val="24"/>
          <w:lang w:val="en-US" w:eastAsia="zh-CN"/>
        </w:rPr>
        <w:t>年</w:t>
      </w:r>
      <w:r>
        <w:rPr>
          <w:rFonts w:hint="eastAsia" w:ascii="宋体" w:hAnsi="宋体" w:eastAsia="宋体" w:cs="宋体"/>
          <w:color w:val="auto"/>
          <w:kern w:val="2"/>
          <w:sz w:val="24"/>
          <w:szCs w:val="24"/>
        </w:rPr>
        <w:t>满后无质量问题免息付清。</w:t>
      </w:r>
    </w:p>
    <w:p w14:paraId="26932C59">
      <w:pPr>
        <w:adjustRightInd/>
        <w:snapToGrid/>
        <w:spacing w:after="0" w:line="480" w:lineRule="auto"/>
        <w:ind w:left="0" w:leftChars="0" w:firstLine="480" w:firstLineChars="200"/>
        <w:jc w:val="both"/>
        <w:rPr>
          <w:rFonts w:ascii="宋体" w:hAnsi="宋体" w:eastAsia="宋体" w:cs="宋体"/>
          <w:color w:val="auto"/>
          <w:kern w:val="2"/>
          <w:sz w:val="24"/>
          <w:szCs w:val="24"/>
        </w:rPr>
      </w:pPr>
      <w:r>
        <w:rPr>
          <w:rFonts w:hint="eastAsia" w:ascii="宋体" w:hAnsi="宋体" w:eastAsia="宋体" w:cs="宋体"/>
          <w:color w:val="auto"/>
          <w:kern w:val="2"/>
          <w:sz w:val="24"/>
          <w:szCs w:val="24"/>
        </w:rPr>
        <w:t>甲方付款前，乙方需开具正式税务发票，甲方在收到发票</w:t>
      </w:r>
      <w:r>
        <w:rPr>
          <w:rFonts w:hint="eastAsia" w:ascii="宋体" w:hAnsi="宋体" w:eastAsia="宋体" w:cs="宋体"/>
          <w:color w:val="auto"/>
          <w:kern w:val="2"/>
          <w:sz w:val="24"/>
          <w:szCs w:val="24"/>
          <w:lang w:val="en-US" w:eastAsia="zh-CN"/>
        </w:rPr>
        <w:t>10</w:t>
      </w:r>
      <w:r>
        <w:rPr>
          <w:rFonts w:ascii="宋体" w:hAnsi="宋体" w:eastAsia="宋体" w:cs="宋体"/>
          <w:color w:val="auto"/>
          <w:kern w:val="2"/>
          <w:sz w:val="24"/>
          <w:szCs w:val="24"/>
        </w:rPr>
        <w:t>日内付款</w:t>
      </w:r>
      <w:r>
        <w:rPr>
          <w:rFonts w:hint="eastAsia" w:ascii="宋体" w:hAnsi="宋体" w:eastAsia="宋体" w:cs="宋体"/>
          <w:color w:val="auto"/>
          <w:kern w:val="2"/>
          <w:sz w:val="24"/>
          <w:szCs w:val="24"/>
        </w:rPr>
        <w:t>。若乙方不开具发票或开具发票不符合要求，则甲方有权拒付款项，无需承担任何责任，且乙方不得以该理由拒绝履行合同义务。</w:t>
      </w:r>
    </w:p>
    <w:p w14:paraId="2AF6C37E">
      <w:pPr>
        <w:adjustRightInd/>
        <w:snapToGrid/>
        <w:spacing w:after="0"/>
        <w:ind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2、付款方式：</w:t>
      </w:r>
    </w:p>
    <w:p w14:paraId="17167190">
      <w:pPr>
        <w:adjustRightInd/>
        <w:snapToGrid/>
        <w:spacing w:after="0"/>
        <w:ind w:firstLine="480" w:firstLineChars="200"/>
        <w:jc w:val="both"/>
        <w:rPr>
          <w:rFonts w:hint="eastAsia" w:ascii="宋体" w:hAnsi="宋体" w:eastAsia="宋体" w:cs="宋体"/>
          <w:color w:val="auto"/>
          <w:kern w:val="2"/>
          <w:sz w:val="24"/>
          <w:szCs w:val="24"/>
        </w:rPr>
      </w:pPr>
    </w:p>
    <w:p w14:paraId="46204ADF">
      <w:pPr>
        <w:adjustRightInd/>
        <w:snapToGrid/>
        <w:spacing w:after="0"/>
        <w:ind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银行转账，账户信息如下：</w:t>
      </w:r>
    </w:p>
    <w:p w14:paraId="6674E50F">
      <w:pPr>
        <w:adjustRightInd/>
        <w:snapToGrid/>
        <w:spacing w:after="0" w:line="480" w:lineRule="auto"/>
        <w:ind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单位全称：</w:t>
      </w:r>
    </w:p>
    <w:p w14:paraId="36B09E37">
      <w:pPr>
        <w:adjustRightInd/>
        <w:snapToGrid/>
        <w:spacing w:after="0" w:line="480" w:lineRule="auto"/>
        <w:ind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地址：</w:t>
      </w:r>
    </w:p>
    <w:p w14:paraId="59CF7240">
      <w:pPr>
        <w:adjustRightInd/>
        <w:snapToGrid/>
        <w:spacing w:after="0" w:line="480" w:lineRule="auto"/>
        <w:ind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开户行：</w:t>
      </w:r>
    </w:p>
    <w:p w14:paraId="105B45EA">
      <w:pPr>
        <w:adjustRightInd/>
        <w:snapToGrid/>
        <w:spacing w:after="0" w:line="480" w:lineRule="auto"/>
        <w:ind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帐号：</w:t>
      </w:r>
    </w:p>
    <w:p w14:paraId="48DC7B0C">
      <w:pPr>
        <w:adjustRightInd/>
        <w:snapToGrid/>
        <w:spacing w:after="0" w:line="480" w:lineRule="auto"/>
        <w:jc w:val="both"/>
        <w:rPr>
          <w:rFonts w:ascii="宋体" w:hAnsi="宋体" w:eastAsia="宋体" w:cs="宋体"/>
          <w:b/>
          <w:bCs/>
          <w:color w:val="auto"/>
          <w:kern w:val="2"/>
          <w:sz w:val="24"/>
          <w:szCs w:val="24"/>
        </w:rPr>
      </w:pPr>
      <w:r>
        <w:rPr>
          <w:rFonts w:hint="eastAsia" w:ascii="宋体" w:hAnsi="宋体" w:eastAsia="宋体" w:cs="宋体"/>
          <w:b/>
          <w:bCs/>
          <w:color w:val="auto"/>
          <w:kern w:val="2"/>
          <w:sz w:val="24"/>
          <w:szCs w:val="24"/>
        </w:rPr>
        <w:t>三、服务地点及期限</w:t>
      </w:r>
    </w:p>
    <w:p w14:paraId="08B1DD3F">
      <w:pPr>
        <w:adjustRightInd/>
        <w:snapToGrid/>
        <w:spacing w:after="0" w:line="480" w:lineRule="auto"/>
        <w:ind w:left="0" w:firstLine="480" w:firstLineChars="200"/>
        <w:jc w:val="both"/>
        <w:rPr>
          <w:rFonts w:ascii="宋体" w:hAnsi="宋体" w:eastAsia="宋体" w:cs="宋体"/>
          <w:color w:val="auto"/>
          <w:kern w:val="2"/>
          <w:sz w:val="24"/>
          <w:szCs w:val="24"/>
        </w:rPr>
      </w:pPr>
      <w:r>
        <w:rPr>
          <w:rFonts w:ascii="宋体" w:hAnsi="宋体" w:eastAsia="宋体" w:cs="宋体"/>
          <w:color w:val="auto"/>
          <w:kern w:val="2"/>
          <w:sz w:val="24"/>
          <w:szCs w:val="24"/>
        </w:rPr>
        <w:t>1</w:t>
      </w:r>
      <w:r>
        <w:rPr>
          <w:rFonts w:hint="eastAsia" w:ascii="宋体" w:hAnsi="宋体" w:eastAsia="宋体" w:cs="宋体"/>
          <w:color w:val="auto"/>
          <w:kern w:val="2"/>
          <w:sz w:val="24"/>
          <w:szCs w:val="24"/>
        </w:rPr>
        <w:t>、服务地点：西安市儿童医院（</w:t>
      </w:r>
      <w:r>
        <w:rPr>
          <w:rFonts w:hint="eastAsia" w:ascii="宋体" w:hAnsi="宋体" w:eastAsia="宋体" w:cs="宋体"/>
          <w:color w:val="auto"/>
          <w:kern w:val="2"/>
          <w:sz w:val="24"/>
          <w:szCs w:val="24"/>
          <w:highlight w:val="none"/>
          <w:lang w:val="en-US" w:eastAsia="zh-CN"/>
        </w:rPr>
        <w:t>西举院巷69号</w:t>
      </w:r>
      <w:r>
        <w:rPr>
          <w:rFonts w:hint="eastAsia" w:ascii="宋体" w:hAnsi="宋体" w:eastAsia="宋体" w:cs="宋体"/>
          <w:color w:val="auto"/>
          <w:kern w:val="2"/>
          <w:sz w:val="24"/>
          <w:szCs w:val="24"/>
        </w:rPr>
        <w:t>）</w:t>
      </w:r>
    </w:p>
    <w:p w14:paraId="4E3CF7E1">
      <w:pPr>
        <w:adjustRightInd/>
        <w:snapToGrid/>
        <w:spacing w:after="0" w:line="480" w:lineRule="auto"/>
        <w:ind w:firstLine="480" w:firstLineChars="200"/>
        <w:jc w:val="both"/>
        <w:rPr>
          <w:rFonts w:hint="eastAsia" w:ascii="宋体" w:hAnsi="宋体" w:eastAsia="宋体" w:cs="宋体"/>
          <w:color w:val="auto"/>
          <w:kern w:val="2"/>
          <w:sz w:val="24"/>
          <w:szCs w:val="24"/>
          <w:lang w:val="en-US" w:eastAsia="zh-CN"/>
        </w:rPr>
      </w:pPr>
      <w:r>
        <w:rPr>
          <w:rFonts w:ascii="宋体" w:hAnsi="宋体" w:eastAsia="宋体" w:cs="宋体"/>
          <w:color w:val="auto"/>
          <w:kern w:val="2"/>
          <w:sz w:val="24"/>
          <w:szCs w:val="24"/>
        </w:rPr>
        <w:t>2</w:t>
      </w:r>
      <w:r>
        <w:rPr>
          <w:rFonts w:hint="eastAsia" w:ascii="宋体" w:hAnsi="宋体" w:eastAsia="宋体" w:cs="宋体"/>
          <w:color w:val="auto"/>
          <w:kern w:val="2"/>
          <w:sz w:val="24"/>
          <w:szCs w:val="24"/>
        </w:rPr>
        <w:t>、服务期限：</w:t>
      </w:r>
      <w:r>
        <w:rPr>
          <w:rFonts w:hint="eastAsia" w:ascii="宋体" w:hAnsi="宋体" w:eastAsia="宋体" w:cs="宋体"/>
          <w:color w:val="auto"/>
          <w:kern w:val="2"/>
          <w:sz w:val="24"/>
          <w:szCs w:val="24"/>
          <w:lang w:val="en-US" w:eastAsia="zh-CN"/>
        </w:rPr>
        <w:t>1年</w:t>
      </w:r>
    </w:p>
    <w:p w14:paraId="06E4CD72">
      <w:pPr>
        <w:adjustRightInd/>
        <w:snapToGrid/>
        <w:spacing w:after="0" w:line="480" w:lineRule="auto"/>
        <w:ind w:firstLine="0" w:firstLineChars="0"/>
        <w:jc w:val="both"/>
        <w:rPr>
          <w:rFonts w:ascii="宋体" w:hAnsi="宋体" w:eastAsia="宋体" w:cs="宋体"/>
          <w:b/>
          <w:bCs/>
          <w:color w:val="auto"/>
          <w:kern w:val="2"/>
          <w:sz w:val="24"/>
          <w:szCs w:val="24"/>
        </w:rPr>
      </w:pPr>
      <w:r>
        <w:rPr>
          <w:rFonts w:hint="eastAsia" w:ascii="宋体" w:hAnsi="宋体" w:eastAsia="宋体" w:cs="宋体"/>
          <w:b/>
          <w:bCs/>
          <w:color w:val="auto"/>
          <w:kern w:val="2"/>
          <w:sz w:val="24"/>
          <w:szCs w:val="24"/>
        </w:rPr>
        <w:t>四、工作要求及标准</w:t>
      </w:r>
    </w:p>
    <w:p w14:paraId="3B1EE73B">
      <w:pPr>
        <w:adjustRightInd/>
        <w:snapToGrid/>
        <w:spacing w:after="0" w:line="48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（一）技术要求</w:t>
      </w:r>
    </w:p>
    <w:p w14:paraId="1C17CC6C">
      <w:pPr>
        <w:adjustRightInd/>
        <w:snapToGrid/>
        <w:spacing w:after="0" w:line="48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）IP形象标准</w:t>
      </w:r>
    </w:p>
    <w:p w14:paraId="5536B49F">
      <w:pPr>
        <w:adjustRightInd/>
        <w:snapToGrid/>
        <w:spacing w:after="0" w:line="48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整体风格童趣治愈、柔和安全，无尖锐、暗沉元素。支持多尺寸精准缩放，五官、身形核心比例统一，细节、配色、风格完全贴合医院IP形象，适配全品类产品落地。</w:t>
      </w:r>
    </w:p>
    <w:p w14:paraId="1FA694AF">
      <w:pPr>
        <w:adjustRightInd/>
        <w:snapToGrid/>
        <w:spacing w:after="0" w:line="48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）方案调整响应要求</w:t>
      </w:r>
    </w:p>
    <w:p w14:paraId="28C5B6F5">
      <w:pPr>
        <w:adjustRightInd/>
        <w:snapToGrid/>
        <w:spacing w:after="0" w:line="48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全程主动对接院方需求，积极响应合理修改意见，不限合理修改次数，限时出具优化方案，直至院方书面定稿，精准优化产品造型、配色、刺绣、版型、工艺等细节。</w:t>
      </w:r>
    </w:p>
    <w:p w14:paraId="536E1139">
      <w:pPr>
        <w:adjustRightInd/>
        <w:snapToGrid/>
        <w:spacing w:after="0" w:line="48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）材质工艺硬性标准</w:t>
      </w:r>
    </w:p>
    <w:p w14:paraId="55847CEF">
      <w:pPr>
        <w:adjustRightInd/>
        <w:snapToGrid/>
        <w:spacing w:after="0" w:line="48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毛绒公仔严格执行GB 31701婴幼儿及儿童纺织产品A类安全标准，可提供质检报告，甲醛、重金属等有害物质合规。钥匙扣亚克力无气泡裂纹、色彩均匀，PVC腕带环保无毒；成人玩偶服面料合规、工艺严谨，符合成人穿戴安全标准。</w:t>
      </w:r>
    </w:p>
    <w:p w14:paraId="0C480DCB">
      <w:pPr>
        <w:adjustRightInd/>
        <w:snapToGrid/>
        <w:spacing w:after="0" w:line="48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）知识产权要求</w:t>
      </w:r>
    </w:p>
    <w:p w14:paraId="27C83D85">
      <w:pPr>
        <w:adjustRightInd/>
        <w:snapToGrid/>
        <w:spacing w:after="0" w:line="480" w:lineRule="auto"/>
        <w:ind w:firstLine="480" w:firstLineChars="200"/>
        <w:jc w:val="both"/>
        <w:rPr>
          <w:rFonts w:ascii="宋体" w:hAnsi="宋体" w:eastAsia="宋体" w:cs="宋体"/>
          <w:color w:val="auto"/>
          <w:sz w:val="24"/>
          <w:szCs w:val="24"/>
        </w:rPr>
      </w:pPr>
      <w:r>
        <w:rPr>
          <w:rFonts w:hint="eastAsia" w:ascii="宋体" w:hAnsi="宋体" w:eastAsia="宋体" w:cs="宋体"/>
          <w:color w:val="auto"/>
          <w:sz w:val="24"/>
          <w:szCs w:val="24"/>
        </w:rPr>
        <w:t>项目所有成果著作权、使用权验收后归西安市儿童医院独家永久所有，供应商不得商用、复用或转借第三方。版权纠纷引发的所有损失与责任由供应商承担。交付时需移交全套三视图、分层源文件、工艺图、效果图等资料，供院方存档复用。</w:t>
      </w:r>
    </w:p>
    <w:p w14:paraId="3D841FDF">
      <w:pPr>
        <w:numPr>
          <w:ilvl w:val="0"/>
          <w:numId w:val="4"/>
        </w:numPr>
        <w:adjustRightInd/>
        <w:snapToGrid/>
        <w:spacing w:after="0" w:line="48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服务要求</w:t>
      </w:r>
    </w:p>
    <w:p w14:paraId="7753FB6F">
      <w:pPr>
        <w:numPr>
          <w:ilvl w:val="0"/>
          <w:numId w:val="5"/>
        </w:numPr>
        <w:adjustRightInd/>
        <w:snapToGrid/>
        <w:spacing w:after="0" w:line="48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人员对接要求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组建专属项目团队，设置固定对接人，专属对接医院，工作日2小时内响应需求，全程同步项目进度，人员调整需提前报备交接。配备资深文创IP设计师，具备儿童文创、玩偶定制同类项目经验，严禁擅自更改产品规格、配色、材质、工艺。</w:t>
      </w:r>
    </w:p>
    <w:p w14:paraId="754916E7">
      <w:pPr>
        <w:numPr>
          <w:ilvl w:val="0"/>
          <w:numId w:val="5"/>
        </w:numPr>
        <w:adjustRightInd/>
        <w:snapToGrid/>
        <w:spacing w:after="0" w:line="48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样品及成品标准</w:t>
      </w:r>
    </w:p>
    <w:p w14:paraId="4F51D263">
      <w:pPr>
        <w:adjustRightInd/>
        <w:snapToGrid/>
        <w:spacing w:after="0" w:line="48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批量生产前需提供全品类实物样品、样衣供院方审核确认，样品费用包干。批量成品必须与确认样品完全一致，存在瑕疵、偏差、降级问题无条件免费重做更换，院方有权拒收不合格产品。</w:t>
      </w:r>
    </w:p>
    <w:p w14:paraId="685AE9E6">
      <w:pPr>
        <w:adjustRightInd/>
        <w:snapToGrid/>
        <w:spacing w:after="0" w:line="480" w:lineRule="auto"/>
        <w:ind w:firstLine="482" w:firstLineChars="200"/>
        <w:jc w:val="both"/>
        <w:rPr>
          <w:rFonts w:ascii="宋体" w:hAnsi="宋体" w:eastAsia="宋体" w:cs="宋体"/>
          <w:b/>
          <w:bCs/>
          <w:color w:val="auto"/>
          <w:kern w:val="2"/>
          <w:sz w:val="24"/>
          <w:szCs w:val="24"/>
        </w:rPr>
      </w:pPr>
      <w:r>
        <w:rPr>
          <w:rFonts w:hint="eastAsia" w:ascii="宋体" w:hAnsi="宋体" w:eastAsia="宋体" w:cs="宋体"/>
          <w:b/>
          <w:bCs/>
          <w:color w:val="auto"/>
          <w:kern w:val="2"/>
          <w:sz w:val="24"/>
          <w:szCs w:val="24"/>
        </w:rPr>
        <w:t>五、双方权利与义务</w:t>
      </w:r>
    </w:p>
    <w:p w14:paraId="45360BA0">
      <w:pPr>
        <w:numPr>
          <w:ilvl w:val="0"/>
          <w:numId w:val="6"/>
        </w:numPr>
        <w:adjustRightInd/>
        <w:snapToGrid/>
        <w:spacing w:after="0" w:line="480" w:lineRule="auto"/>
        <w:ind w:firstLine="480" w:firstLineChars="200"/>
        <w:jc w:val="both"/>
        <w:rPr>
          <w:rFonts w:ascii="宋体" w:hAnsi="宋体" w:eastAsia="宋体" w:cs="宋体"/>
          <w:b w:val="0"/>
          <w:bCs w:val="0"/>
          <w:color w:val="auto"/>
          <w:kern w:val="2"/>
          <w:sz w:val="24"/>
          <w:szCs w:val="24"/>
        </w:rPr>
      </w:pPr>
      <w:r>
        <w:rPr>
          <w:rFonts w:hint="eastAsia" w:ascii="宋体" w:hAnsi="宋体" w:eastAsia="宋体" w:cs="宋体"/>
          <w:b w:val="0"/>
          <w:bCs w:val="0"/>
          <w:color w:val="auto"/>
          <w:kern w:val="2"/>
          <w:sz w:val="24"/>
          <w:szCs w:val="24"/>
        </w:rPr>
        <w:t>甲方权利与义务</w:t>
      </w:r>
    </w:p>
    <w:p w14:paraId="526944AD">
      <w:pPr>
        <w:adjustRightInd/>
        <w:snapToGrid/>
        <w:spacing w:after="0" w:line="480" w:lineRule="auto"/>
        <w:ind w:firstLine="456" w:firstLineChars="200"/>
        <w:jc w:val="both"/>
        <w:rPr>
          <w:rFonts w:ascii="宋体" w:hAnsi="宋体" w:eastAsia="宋体" w:cs="宋体"/>
          <w:color w:val="auto"/>
          <w:sz w:val="24"/>
          <w:szCs w:val="24"/>
        </w:rPr>
      </w:pPr>
      <w:r>
        <w:rPr>
          <w:rFonts w:ascii="宋体" w:hAnsi="宋体" w:cs="宋体"/>
          <w:color w:val="auto"/>
          <w:spacing w:val="-6"/>
          <w:szCs w:val="21"/>
        </w:rPr>
        <w:t>1.</w:t>
      </w:r>
      <w:r>
        <w:rPr>
          <w:rFonts w:hint="eastAsia" w:ascii="宋体" w:hAnsi="宋体" w:eastAsia="宋体" w:cs="宋体"/>
          <w:color w:val="auto"/>
          <w:spacing w:val="0"/>
          <w:sz w:val="24"/>
          <w:szCs w:val="24"/>
        </w:rPr>
        <w:t>甲方有权对乙方的设计方案、制作过程和安装工作进行监督、检查，并提出合理的修改意见。</w:t>
      </w:r>
    </w:p>
    <w:p w14:paraId="68A3DFB3">
      <w:pPr>
        <w:adjustRightInd/>
        <w:snapToGrid/>
        <w:spacing w:after="0" w:line="480" w:lineRule="auto"/>
        <w:ind w:firstLine="480" w:firstLineChars="200"/>
        <w:jc w:val="both"/>
        <w:rPr>
          <w:rFonts w:ascii="宋体" w:hAnsi="宋体" w:eastAsia="宋体" w:cs="宋体"/>
          <w:color w:val="auto"/>
          <w:sz w:val="24"/>
          <w:szCs w:val="24"/>
        </w:rPr>
      </w:pPr>
      <w:r>
        <w:rPr>
          <w:rFonts w:ascii="宋体" w:hAnsi="宋体" w:eastAsia="宋体" w:cs="宋体"/>
          <w:color w:val="auto"/>
          <w:sz w:val="24"/>
          <w:szCs w:val="24"/>
        </w:rPr>
        <w:t>2.有权要求乙方按照合同约定的时间和质量标准完成项目任务，如乙方未履行合同义务或履行不符合约定，甲方有权要求乙方按照本合同第九条承担违约责任。</w:t>
      </w:r>
    </w:p>
    <w:p w14:paraId="0F2BFBBF">
      <w:pPr>
        <w:adjustRightInd/>
        <w:snapToGrid/>
        <w:spacing w:after="0" w:line="480" w:lineRule="auto"/>
        <w:ind w:firstLine="480" w:firstLineChars="200"/>
        <w:jc w:val="both"/>
        <w:rPr>
          <w:rFonts w:ascii="宋体" w:hAnsi="宋体" w:eastAsia="宋体" w:cs="宋体"/>
          <w:color w:val="auto"/>
          <w:sz w:val="24"/>
          <w:szCs w:val="24"/>
        </w:rPr>
      </w:pPr>
      <w:r>
        <w:rPr>
          <w:rFonts w:ascii="宋体" w:hAnsi="宋体" w:eastAsia="宋体" w:cs="宋体"/>
          <w:color w:val="auto"/>
          <w:sz w:val="24"/>
          <w:szCs w:val="24"/>
        </w:rPr>
        <w:t>3.在乙方完成每个批次的标识制作和安装后，甲方有权进行验收，对不符合要求的部分，甲方有权要求乙方返工直至验收合格，若乙方未满足合同约定要求及甲方需求，视为乙方违约，乙方应当按照本合同第九条承担违约责任。</w:t>
      </w:r>
    </w:p>
    <w:p w14:paraId="634EDB72">
      <w:pPr>
        <w:adjustRightInd/>
        <w:snapToGrid/>
        <w:spacing w:after="0" w:line="480" w:lineRule="auto"/>
        <w:ind w:firstLine="480" w:firstLineChars="200"/>
        <w:jc w:val="both"/>
        <w:rPr>
          <w:rFonts w:ascii="宋体" w:hAnsi="宋体" w:eastAsia="宋体" w:cs="宋体"/>
          <w:color w:val="auto"/>
          <w:sz w:val="24"/>
          <w:szCs w:val="24"/>
        </w:rPr>
      </w:pPr>
      <w:r>
        <w:rPr>
          <w:rFonts w:ascii="宋体" w:hAnsi="宋体" w:eastAsia="宋体" w:cs="宋体"/>
          <w:color w:val="auto"/>
          <w:sz w:val="24"/>
          <w:szCs w:val="24"/>
        </w:rPr>
        <w:t>4.按照合同约定向乙方提供必要的项目信息和设计要求，协助乙方开展工作。</w:t>
      </w:r>
    </w:p>
    <w:p w14:paraId="29D61142">
      <w:pPr>
        <w:adjustRightInd/>
        <w:snapToGrid/>
        <w:spacing w:after="0" w:line="480" w:lineRule="auto"/>
        <w:ind w:firstLine="480" w:firstLineChars="200"/>
        <w:jc w:val="both"/>
        <w:rPr>
          <w:rFonts w:ascii="宋体" w:hAnsi="宋体" w:eastAsia="宋体" w:cs="宋体"/>
          <w:color w:val="auto"/>
          <w:sz w:val="24"/>
          <w:szCs w:val="24"/>
        </w:rPr>
      </w:pPr>
      <w:r>
        <w:rPr>
          <w:rFonts w:ascii="宋体" w:hAnsi="宋体" w:eastAsia="宋体" w:cs="宋体"/>
          <w:color w:val="auto"/>
          <w:sz w:val="24"/>
          <w:szCs w:val="24"/>
        </w:rPr>
        <w:t>5.按照合同约定的支付方式和时间向乙方支付合同价款。</w:t>
      </w:r>
    </w:p>
    <w:p w14:paraId="02AB5E4E">
      <w:pPr>
        <w:adjustRightInd/>
        <w:snapToGrid/>
        <w:spacing w:after="0" w:line="480" w:lineRule="auto"/>
        <w:ind w:firstLine="480" w:firstLineChars="200"/>
        <w:jc w:val="both"/>
        <w:rPr>
          <w:rFonts w:ascii="宋体" w:hAnsi="宋体" w:eastAsia="宋体" w:cs="宋体"/>
          <w:color w:val="auto"/>
          <w:sz w:val="24"/>
          <w:szCs w:val="24"/>
        </w:rPr>
      </w:pPr>
      <w:r>
        <w:rPr>
          <w:rFonts w:ascii="宋体" w:hAnsi="宋体" w:eastAsia="宋体" w:cs="宋体"/>
          <w:color w:val="auto"/>
          <w:sz w:val="24"/>
          <w:szCs w:val="24"/>
        </w:rPr>
        <w:t>6.在乙方进行安装工作时，协调相关部门和人员为乙方提供必要的施工条件。</w:t>
      </w:r>
    </w:p>
    <w:p w14:paraId="5C84B521">
      <w:pPr>
        <w:adjustRightInd/>
        <w:snapToGrid/>
        <w:spacing w:after="0" w:line="480" w:lineRule="auto"/>
        <w:ind w:firstLine="480" w:firstLineChars="200"/>
        <w:jc w:val="both"/>
        <w:rPr>
          <w:rFonts w:ascii="宋体" w:hAnsi="宋体" w:eastAsia="宋体" w:cs="宋体"/>
          <w:b w:val="0"/>
          <w:bCs w:val="0"/>
          <w:color w:val="auto"/>
          <w:kern w:val="2"/>
          <w:sz w:val="24"/>
          <w:szCs w:val="24"/>
        </w:rPr>
      </w:pPr>
      <w:r>
        <w:rPr>
          <w:rFonts w:hint="eastAsia" w:ascii="宋体" w:hAnsi="宋体" w:eastAsia="宋体" w:cs="宋体"/>
          <w:b w:val="0"/>
          <w:bCs w:val="0"/>
          <w:color w:val="auto"/>
          <w:kern w:val="2"/>
          <w:sz w:val="24"/>
          <w:szCs w:val="24"/>
        </w:rPr>
        <w:t>（二）乙方权利与义务</w:t>
      </w:r>
    </w:p>
    <w:p w14:paraId="33FAC1FB">
      <w:pPr>
        <w:adjustRightInd/>
        <w:snapToGrid/>
        <w:spacing w:after="0" w:line="480" w:lineRule="auto"/>
        <w:ind w:firstLine="480" w:firstLineChars="200"/>
        <w:jc w:val="both"/>
        <w:rPr>
          <w:rFonts w:ascii="宋体" w:hAnsi="宋体" w:eastAsia="宋体" w:cs="宋体"/>
          <w:color w:val="auto"/>
          <w:sz w:val="24"/>
          <w:szCs w:val="24"/>
        </w:rPr>
      </w:pPr>
      <w:r>
        <w:rPr>
          <w:rFonts w:hint="eastAsia" w:ascii="宋体" w:hAnsi="宋体" w:eastAsia="宋体" w:cs="宋体"/>
          <w:color w:val="auto"/>
          <w:sz w:val="24"/>
          <w:szCs w:val="24"/>
        </w:rPr>
        <w:t>1、乙方由专人负责对接甲方，严格遵照医院</w:t>
      </w:r>
      <w:r>
        <w:rPr>
          <w:rFonts w:ascii="宋体" w:hAnsi="宋体" w:eastAsia="宋体" w:cs="宋体"/>
          <w:color w:val="auto"/>
          <w:sz w:val="24"/>
          <w:szCs w:val="24"/>
        </w:rPr>
        <w:t>VI标准精心设计排版，经甲方书面确认后方可制作。</w:t>
      </w:r>
    </w:p>
    <w:p w14:paraId="626AB64B">
      <w:pPr>
        <w:adjustRightInd/>
        <w:snapToGrid/>
        <w:spacing w:after="0" w:line="480" w:lineRule="auto"/>
        <w:ind w:firstLine="480" w:firstLineChars="200"/>
        <w:jc w:val="both"/>
        <w:rPr>
          <w:rFonts w:ascii="宋体" w:hAnsi="宋体" w:eastAsia="宋体" w:cs="宋体"/>
          <w:color w:val="auto"/>
          <w:sz w:val="24"/>
          <w:szCs w:val="24"/>
        </w:rPr>
      </w:pPr>
      <w:r>
        <w:rPr>
          <w:rFonts w:ascii="宋体" w:hAnsi="宋体" w:eastAsia="宋体" w:cs="宋体"/>
          <w:color w:val="auto"/>
          <w:sz w:val="24"/>
          <w:szCs w:val="24"/>
        </w:rPr>
        <w:t>2、制作采用的材质及辅料符合国家环保标准，如出现明显的质量问题或存在图纸、材料、技术指数等不符合原参数等情况（注：参数以甲方书面签字确认为准），甲方有权向乙方提出书面异议、限时整改，乙方应无条件免费重新制作</w:t>
      </w:r>
      <w:r>
        <w:rPr>
          <w:rFonts w:hint="eastAsia" w:ascii="宋体" w:hAnsi="宋体" w:eastAsia="宋体" w:cs="宋体"/>
          <w:color w:val="auto"/>
          <w:sz w:val="24"/>
          <w:szCs w:val="24"/>
        </w:rPr>
        <w:t>安装，并</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个工作日内完成整改</w:t>
      </w:r>
      <w:r>
        <w:rPr>
          <w:rFonts w:hint="eastAsia" w:ascii="宋体" w:hAnsi="宋体" w:eastAsia="宋体" w:cs="宋体"/>
          <w:color w:val="auto"/>
          <w:sz w:val="24"/>
          <w:szCs w:val="24"/>
        </w:rPr>
        <w:t>直至通过验收。</w:t>
      </w:r>
    </w:p>
    <w:p w14:paraId="2FED2677">
      <w:pPr>
        <w:adjustRightInd/>
        <w:snapToGrid/>
        <w:spacing w:after="0" w:line="480" w:lineRule="auto"/>
        <w:ind w:firstLine="480" w:firstLineChars="200"/>
        <w:jc w:val="both"/>
        <w:rPr>
          <w:rFonts w:ascii="宋体" w:hAnsi="宋体" w:eastAsia="宋体" w:cs="宋体"/>
          <w:color w:val="auto"/>
          <w:sz w:val="24"/>
          <w:szCs w:val="24"/>
        </w:rPr>
      </w:pPr>
      <w:r>
        <w:rPr>
          <w:rFonts w:ascii="宋体" w:hAnsi="宋体" w:eastAsia="宋体" w:cs="宋体"/>
          <w:color w:val="auto"/>
          <w:sz w:val="24"/>
          <w:szCs w:val="24"/>
        </w:rPr>
        <w:t>3、乙方负责将物料运抵甲方指定地点，物料均应按照标准保护措施进行包装，确保物料安全无损运抵项目现场。经甲方验收合格后，乙方负责安装，安装不得妨碍甲方正常运营，安装完成后清理现场，不留垃圾。</w:t>
      </w:r>
    </w:p>
    <w:p w14:paraId="2D12036C">
      <w:pPr>
        <w:adjustRightInd/>
        <w:snapToGrid/>
        <w:spacing w:after="0" w:line="480" w:lineRule="auto"/>
        <w:ind w:firstLine="482" w:firstLineChars="200"/>
        <w:jc w:val="both"/>
        <w:rPr>
          <w:rFonts w:ascii="宋体" w:hAnsi="宋体" w:eastAsia="宋体" w:cs="宋体"/>
          <w:b/>
          <w:bCs/>
          <w:color w:val="auto"/>
          <w:kern w:val="2"/>
          <w:sz w:val="24"/>
          <w:szCs w:val="24"/>
        </w:rPr>
      </w:pPr>
      <w:r>
        <w:rPr>
          <w:rFonts w:hint="eastAsia" w:ascii="宋体" w:hAnsi="宋体" w:eastAsia="宋体" w:cs="宋体"/>
          <w:b/>
          <w:bCs/>
          <w:color w:val="auto"/>
          <w:kern w:val="2"/>
          <w:sz w:val="24"/>
          <w:szCs w:val="24"/>
        </w:rPr>
        <w:t>六、验收标准及方式</w:t>
      </w:r>
    </w:p>
    <w:p w14:paraId="73844E57">
      <w:pPr>
        <w:adjustRightInd/>
        <w:snapToGrid/>
        <w:spacing w:after="0" w:line="480" w:lineRule="auto"/>
        <w:ind w:firstLine="480" w:firstLineChars="200"/>
        <w:jc w:val="both"/>
        <w:rPr>
          <w:rFonts w:ascii="宋体" w:hAnsi="宋体" w:eastAsia="宋体" w:cs="宋体"/>
          <w:color w:val="auto"/>
          <w:sz w:val="24"/>
          <w:szCs w:val="24"/>
        </w:rPr>
      </w:pPr>
      <w:r>
        <w:rPr>
          <w:rFonts w:hint="eastAsia" w:ascii="宋体" w:hAnsi="宋体" w:eastAsia="宋体" w:cs="宋体"/>
          <w:color w:val="auto"/>
          <w:sz w:val="24"/>
          <w:szCs w:val="24"/>
        </w:rPr>
        <w:t>（一）验收标准：以经甲方确认的设计方案、合同约定的质量标准以及国家和行业相关标准作为验收依据。标识的外观应无明显瑕疵、颜色均匀、图案清晰；安装牢固、位置准确；标识的功能应符合甲方的使用要求。</w:t>
      </w:r>
    </w:p>
    <w:p w14:paraId="7B329F20">
      <w:pPr>
        <w:adjustRightInd/>
        <w:snapToGrid/>
        <w:spacing w:after="0" w:line="480" w:lineRule="auto"/>
        <w:ind w:firstLine="480" w:firstLineChars="200"/>
        <w:jc w:val="both"/>
        <w:rPr>
          <w:rFonts w:ascii="宋体" w:hAnsi="宋体" w:eastAsia="宋体" w:cs="宋体"/>
          <w:color w:val="auto"/>
          <w:sz w:val="24"/>
          <w:szCs w:val="24"/>
        </w:rPr>
      </w:pPr>
      <w:r>
        <w:rPr>
          <w:rFonts w:hint="eastAsia" w:ascii="宋体" w:hAnsi="宋体" w:eastAsia="宋体" w:cs="宋体"/>
          <w:color w:val="auto"/>
          <w:sz w:val="24"/>
          <w:szCs w:val="24"/>
        </w:rPr>
        <w:t>（二）验收方式：乙方完成</w:t>
      </w:r>
      <w:r>
        <w:rPr>
          <w:rFonts w:hint="eastAsia" w:ascii="宋体" w:hAnsi="宋体" w:eastAsia="宋体" w:cs="宋体"/>
          <w:color w:val="auto"/>
          <w:kern w:val="2"/>
          <w:sz w:val="24"/>
          <w:szCs w:val="24"/>
          <w:lang w:eastAsia="zh-CN"/>
        </w:rPr>
        <w:t>吉祥物衍生</w:t>
      </w:r>
      <w:r>
        <w:rPr>
          <w:rFonts w:hint="eastAsia" w:hAnsi="宋体" w:cs="宋体"/>
          <w:color w:val="auto"/>
          <w:kern w:val="2"/>
          <w:sz w:val="24"/>
          <w:szCs w:val="24"/>
          <w:lang w:val="en-US" w:eastAsia="zh-CN"/>
        </w:rPr>
        <w:t>品制作</w:t>
      </w:r>
      <w:r>
        <w:rPr>
          <w:rFonts w:hint="eastAsia" w:ascii="宋体" w:hAnsi="宋体" w:eastAsia="宋体" w:cs="宋体"/>
          <w:color w:val="auto"/>
          <w:sz w:val="24"/>
          <w:szCs w:val="24"/>
        </w:rPr>
        <w:t>后，应及时通知甲方进行验收。甲方应在接到通知后的</w:t>
      </w:r>
      <w:r>
        <w:rPr>
          <w:rFonts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10</w:t>
      </w:r>
      <w:r>
        <w:rPr>
          <w:rFonts w:ascii="宋体" w:hAnsi="宋体" w:eastAsia="宋体" w:cs="宋体"/>
          <w:color w:val="auto"/>
          <w:sz w:val="24"/>
          <w:szCs w:val="24"/>
        </w:rPr>
        <w:t>个工作日内组织验收。验收合格的，甲方</w:t>
      </w:r>
      <w:r>
        <w:rPr>
          <w:rFonts w:hint="eastAsia" w:ascii="宋体" w:hAnsi="宋体" w:eastAsia="宋体" w:cs="宋体"/>
          <w:color w:val="auto"/>
          <w:sz w:val="24"/>
          <w:szCs w:val="24"/>
        </w:rPr>
        <w:t>应出具验收合格确认单；验收不合格的，甲方应提出具体的整改意见，乙方应在</w:t>
      </w:r>
      <w:r>
        <w:rPr>
          <w:rFonts w:hint="eastAsia" w:ascii="宋体" w:hAnsi="宋体" w:eastAsia="宋体" w:cs="宋体"/>
          <w:color w:val="auto"/>
          <w:sz w:val="24"/>
          <w:szCs w:val="24"/>
          <w:lang w:val="en-US" w:eastAsia="zh-CN"/>
        </w:rPr>
        <w:t>10</w:t>
      </w:r>
      <w:r>
        <w:rPr>
          <w:rFonts w:ascii="宋体" w:hAnsi="宋体" w:eastAsia="宋体" w:cs="宋体"/>
          <w:color w:val="auto"/>
          <w:sz w:val="24"/>
          <w:szCs w:val="24"/>
        </w:rPr>
        <w:t>个工作日</w:t>
      </w:r>
      <w:r>
        <w:rPr>
          <w:rFonts w:hint="eastAsia" w:ascii="宋体" w:hAnsi="宋体" w:eastAsia="宋体" w:cs="宋体"/>
          <w:color w:val="auto"/>
          <w:sz w:val="24"/>
          <w:szCs w:val="24"/>
        </w:rPr>
        <w:t>内完成整改并重新申请验收，直至验收合格。</w:t>
      </w:r>
    </w:p>
    <w:p w14:paraId="760CFCB5">
      <w:pPr>
        <w:adjustRightInd/>
        <w:snapToGrid/>
        <w:spacing w:after="0" w:line="480" w:lineRule="auto"/>
        <w:ind w:firstLine="480" w:firstLineChars="200"/>
        <w:jc w:val="both"/>
        <w:rPr>
          <w:rFonts w:ascii="宋体" w:hAnsi="宋体" w:eastAsia="宋体" w:cs="宋体"/>
          <w:color w:val="auto"/>
          <w:sz w:val="24"/>
          <w:szCs w:val="24"/>
        </w:rPr>
      </w:pPr>
      <w:r>
        <w:rPr>
          <w:rFonts w:hint="eastAsia" w:ascii="宋体" w:hAnsi="宋体" w:eastAsia="宋体" w:cs="宋体"/>
          <w:color w:val="auto"/>
          <w:sz w:val="24"/>
          <w:szCs w:val="24"/>
        </w:rPr>
        <w:t>（三）验收依据：</w:t>
      </w:r>
    </w:p>
    <w:p w14:paraId="35BBCDBC">
      <w:pPr>
        <w:adjustRightInd/>
        <w:snapToGrid/>
        <w:spacing w:after="0" w:line="480" w:lineRule="auto"/>
        <w:ind w:firstLine="480" w:firstLineChars="200"/>
        <w:jc w:val="both"/>
        <w:rPr>
          <w:rFonts w:ascii="宋体" w:hAnsi="宋体" w:eastAsia="宋体" w:cs="宋体"/>
          <w:color w:val="auto"/>
          <w:sz w:val="24"/>
          <w:szCs w:val="24"/>
        </w:rPr>
      </w:pPr>
      <w:r>
        <w:rPr>
          <w:rFonts w:ascii="宋体" w:hAnsi="宋体" w:eastAsia="宋体" w:cs="宋体"/>
          <w:color w:val="auto"/>
          <w:sz w:val="24"/>
          <w:szCs w:val="24"/>
        </w:rPr>
        <w:t>1</w:t>
      </w:r>
      <w:r>
        <w:rPr>
          <w:rFonts w:hint="eastAsia" w:ascii="宋体" w:hAnsi="宋体" w:eastAsia="宋体" w:cs="宋体"/>
          <w:color w:val="auto"/>
          <w:sz w:val="24"/>
          <w:szCs w:val="24"/>
        </w:rPr>
        <w:t>、本合同；</w:t>
      </w:r>
    </w:p>
    <w:p w14:paraId="6E76FCC1">
      <w:pPr>
        <w:adjustRightInd/>
        <w:snapToGrid/>
        <w:spacing w:after="0" w:line="480" w:lineRule="auto"/>
        <w:ind w:firstLine="480" w:firstLineChars="200"/>
        <w:jc w:val="both"/>
        <w:rPr>
          <w:rFonts w:ascii="宋体" w:hAnsi="宋体" w:eastAsia="宋体" w:cs="宋体"/>
          <w:color w:val="auto"/>
          <w:sz w:val="24"/>
          <w:szCs w:val="24"/>
        </w:rPr>
      </w:pPr>
      <w:r>
        <w:rPr>
          <w:rFonts w:ascii="宋体" w:hAnsi="宋体" w:eastAsia="宋体" w:cs="宋体"/>
          <w:color w:val="auto"/>
          <w:sz w:val="24"/>
          <w:szCs w:val="24"/>
        </w:rPr>
        <w:t>2</w:t>
      </w:r>
      <w:r>
        <w:rPr>
          <w:rFonts w:hint="eastAsia" w:ascii="宋体" w:hAnsi="宋体" w:eastAsia="宋体" w:cs="宋体"/>
          <w:color w:val="auto"/>
          <w:sz w:val="24"/>
          <w:szCs w:val="24"/>
        </w:rPr>
        <w:t>、招标文件、成交供应商的投标文件及澄清（承诺）函；</w:t>
      </w:r>
    </w:p>
    <w:p w14:paraId="4FD57165">
      <w:pPr>
        <w:adjustRightInd/>
        <w:snapToGrid/>
        <w:spacing w:after="0" w:line="480" w:lineRule="auto"/>
        <w:ind w:firstLine="480" w:firstLineChars="200"/>
        <w:jc w:val="both"/>
        <w:rPr>
          <w:rFonts w:ascii="宋体" w:hAnsi="宋体" w:eastAsia="宋体" w:cs="宋体"/>
          <w:color w:val="auto"/>
          <w:sz w:val="24"/>
          <w:szCs w:val="24"/>
        </w:rPr>
      </w:pPr>
      <w:r>
        <w:rPr>
          <w:rFonts w:ascii="宋体" w:hAnsi="宋体" w:eastAsia="宋体" w:cs="宋体"/>
          <w:color w:val="auto"/>
          <w:sz w:val="24"/>
          <w:szCs w:val="24"/>
        </w:rPr>
        <w:t>3</w:t>
      </w:r>
      <w:r>
        <w:rPr>
          <w:rFonts w:hint="eastAsia" w:ascii="宋体" w:hAnsi="宋体" w:eastAsia="宋体" w:cs="宋体"/>
          <w:color w:val="auto"/>
          <w:sz w:val="24"/>
          <w:szCs w:val="24"/>
        </w:rPr>
        <w:t>、国家相应的标准、规范。</w:t>
      </w:r>
    </w:p>
    <w:p w14:paraId="0797C2E0">
      <w:pPr>
        <w:adjustRightInd/>
        <w:snapToGrid/>
        <w:spacing w:after="0" w:line="480" w:lineRule="auto"/>
        <w:ind w:firstLine="482" w:firstLineChars="200"/>
        <w:jc w:val="both"/>
        <w:rPr>
          <w:rFonts w:ascii="宋体" w:hAnsi="宋体" w:eastAsia="宋体" w:cs="宋体"/>
          <w:color w:val="auto"/>
          <w:sz w:val="24"/>
          <w:szCs w:val="24"/>
        </w:rPr>
      </w:pPr>
      <w:r>
        <w:rPr>
          <w:rFonts w:hint="eastAsia" w:ascii="宋体" w:hAnsi="宋体" w:eastAsia="宋体" w:cs="宋体"/>
          <w:b/>
          <w:bCs/>
          <w:color w:val="auto"/>
          <w:kern w:val="2"/>
          <w:sz w:val="24"/>
          <w:szCs w:val="24"/>
        </w:rPr>
        <w:t>七、后期质量维护</w:t>
      </w:r>
    </w:p>
    <w:p w14:paraId="46B71A43">
      <w:pPr>
        <w:adjustRightInd/>
        <w:snapToGrid/>
        <w:spacing w:after="0" w:line="480" w:lineRule="auto"/>
        <w:ind w:firstLine="480" w:firstLineChars="200"/>
        <w:jc w:val="both"/>
        <w:rPr>
          <w:rFonts w:ascii="宋体" w:hAnsi="宋体" w:eastAsia="宋体" w:cs="宋体"/>
          <w:color w:val="auto"/>
          <w:sz w:val="24"/>
          <w:szCs w:val="24"/>
        </w:rPr>
      </w:pPr>
      <w:r>
        <w:rPr>
          <w:rFonts w:hint="eastAsia" w:ascii="宋体" w:hAnsi="宋体" w:eastAsia="宋体" w:cs="宋体"/>
          <w:color w:val="auto"/>
          <w:sz w:val="24"/>
          <w:szCs w:val="24"/>
        </w:rPr>
        <w:t>以甲方书面</w:t>
      </w:r>
      <w:r>
        <w:rPr>
          <w:rFonts w:hint="eastAsia" w:ascii="宋体" w:hAnsi="宋体" w:eastAsia="宋体" w:cs="宋体"/>
          <w:color w:val="auto"/>
          <w:sz w:val="24"/>
          <w:szCs w:val="24"/>
          <w:highlight w:val="none"/>
        </w:rPr>
        <w:t>验收合格确认单</w:t>
      </w:r>
      <w:r>
        <w:rPr>
          <w:rFonts w:hint="eastAsia" w:ascii="宋体" w:hAnsi="宋体" w:eastAsia="宋体" w:cs="宋体"/>
          <w:color w:val="auto"/>
          <w:sz w:val="24"/>
          <w:szCs w:val="24"/>
        </w:rPr>
        <w:t>签署时间为准，开始计算质保期，质保时间为</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年，期间内出现的可修复的质量问题，乙方应无条件及时到达现场维修或重新制作安装（人为破坏或自然灾害不在保修范围之内）。确系质量问题造成的无法修复的，乙方向甲方赔偿标的物等值费用，由此产生的后果由乙方承担。</w:t>
      </w:r>
    </w:p>
    <w:p w14:paraId="687AF578">
      <w:pPr>
        <w:pStyle w:val="45"/>
        <w:adjustRightInd/>
        <w:snapToGrid/>
        <w:spacing w:after="0" w:line="480" w:lineRule="auto"/>
        <w:ind w:left="480" w:firstLine="0" w:firstLineChars="0"/>
        <w:jc w:val="both"/>
        <w:rPr>
          <w:rFonts w:ascii="宋体" w:hAnsi="宋体" w:eastAsia="宋体" w:cs="宋体"/>
          <w:b/>
          <w:color w:val="auto"/>
          <w:sz w:val="24"/>
          <w:szCs w:val="24"/>
        </w:rPr>
      </w:pPr>
      <w:r>
        <w:rPr>
          <w:rFonts w:hint="eastAsia" w:ascii="宋体" w:hAnsi="宋体" w:eastAsia="宋体" w:cs="宋体"/>
          <w:b/>
          <w:color w:val="auto"/>
          <w:sz w:val="24"/>
          <w:szCs w:val="24"/>
        </w:rPr>
        <w:t>八、安全责任</w:t>
      </w:r>
    </w:p>
    <w:p w14:paraId="17D4C6B8">
      <w:pPr>
        <w:adjustRightInd/>
        <w:snapToGrid/>
        <w:spacing w:after="0" w:line="480" w:lineRule="auto"/>
        <w:ind w:firstLine="480" w:firstLineChars="200"/>
        <w:jc w:val="both"/>
        <w:rPr>
          <w:rFonts w:ascii="宋体" w:hAnsi="宋体" w:eastAsia="宋体" w:cs="宋体"/>
          <w:color w:val="auto"/>
          <w:sz w:val="24"/>
          <w:szCs w:val="24"/>
        </w:rPr>
      </w:pPr>
      <w:r>
        <w:rPr>
          <w:rFonts w:ascii="宋体" w:hAnsi="宋体" w:eastAsia="宋体" w:cs="宋体"/>
          <w:color w:val="auto"/>
          <w:sz w:val="24"/>
          <w:szCs w:val="24"/>
        </w:rPr>
        <w:t>1、乙方在甲方场所内的所有标识系统载体的悬挂和安装，必须确保在安装和使用过程的安全性，做好安全保护措施，如造成安装人员、甲方工作人员或第三人或甲方财产损失、人身伤亡的，由乙方负责一切安全事故和经济赔偿责任，与甲方无关。若因此导致甲方损失的，乙方承担全部赔偿责任（包括但不限于甲方可能支出的律师费、保全费、交通费、诉讼费、对第三人的赔偿等费用）。</w:t>
      </w:r>
    </w:p>
    <w:p w14:paraId="5D07CE9D">
      <w:pPr>
        <w:adjustRightInd/>
        <w:snapToGrid/>
        <w:spacing w:after="0" w:line="480" w:lineRule="auto"/>
        <w:ind w:firstLine="480" w:firstLineChars="200"/>
        <w:jc w:val="both"/>
        <w:rPr>
          <w:rFonts w:ascii="宋体" w:hAnsi="宋体" w:eastAsia="宋体" w:cs="宋体"/>
          <w:color w:val="auto"/>
          <w:sz w:val="24"/>
          <w:szCs w:val="24"/>
        </w:rPr>
      </w:pPr>
      <w:r>
        <w:rPr>
          <w:rFonts w:ascii="宋体" w:hAnsi="宋体" w:eastAsia="宋体" w:cs="宋体"/>
          <w:color w:val="auto"/>
          <w:sz w:val="24"/>
          <w:szCs w:val="24"/>
        </w:rPr>
        <w:t>2、乙方所安装的所有标识系统载体在使用过程中发生脱落（除自然灾害、或甲方拆除外）从而发生安全事故，造成甲方工作人员或第三人人身伤害或财产损失的，由此而导致的一切安全责任和经济赔偿责任由乙方承担。若因此导致甲方损失的，乙方承担全部赔偿责任（包括但不限于甲方可能支出的律师费、保全费、交通费、诉讼费、对第三人的赔偿等费用）。</w:t>
      </w:r>
    </w:p>
    <w:p w14:paraId="4A91869F">
      <w:pPr>
        <w:adjustRightInd/>
        <w:snapToGrid/>
        <w:spacing w:after="0" w:line="480" w:lineRule="auto"/>
        <w:ind w:firstLine="480" w:firstLineChars="200"/>
        <w:jc w:val="both"/>
        <w:rPr>
          <w:rFonts w:ascii="宋体" w:hAnsi="宋体" w:eastAsia="宋体" w:cs="宋体"/>
          <w:color w:val="auto"/>
          <w:sz w:val="24"/>
          <w:szCs w:val="24"/>
        </w:rPr>
      </w:pPr>
      <w:r>
        <w:rPr>
          <w:rFonts w:ascii="宋体" w:hAnsi="宋体" w:eastAsia="宋体" w:cs="宋体"/>
          <w:color w:val="auto"/>
          <w:sz w:val="24"/>
          <w:szCs w:val="24"/>
        </w:rPr>
        <w:t>3、乙方应遵守安全生产有关管理规定，</w:t>
      </w:r>
      <w:r>
        <w:rPr>
          <w:rFonts w:hint="eastAsia" w:ascii="宋体" w:hAnsi="宋体" w:eastAsia="宋体" w:cs="宋体"/>
          <w:color w:val="auto"/>
          <w:sz w:val="24"/>
          <w:szCs w:val="24"/>
        </w:rPr>
        <w:t>接受甲方的全程监督。若甲方发现乙方工作中出现违规问题，乙方应即刻给予答复并及时妥善处理完毕，否则由此产生的经济损失和后果由乙方自行承担，构成违约的，还应承担违约责任。</w:t>
      </w:r>
    </w:p>
    <w:p w14:paraId="1A140702">
      <w:pPr>
        <w:adjustRightInd/>
        <w:snapToGrid/>
        <w:spacing w:after="0" w:line="480" w:lineRule="auto"/>
        <w:ind w:firstLine="482" w:firstLineChars="200"/>
        <w:jc w:val="both"/>
        <w:rPr>
          <w:rFonts w:ascii="宋体" w:hAnsi="宋体" w:eastAsia="宋体" w:cs="宋体"/>
          <w:color w:val="auto"/>
          <w:sz w:val="24"/>
          <w:szCs w:val="24"/>
        </w:rPr>
      </w:pPr>
      <w:r>
        <w:rPr>
          <w:rFonts w:hint="eastAsia" w:ascii="宋体" w:hAnsi="宋体" w:eastAsia="宋体" w:cs="宋体"/>
          <w:b/>
          <w:bCs/>
          <w:color w:val="auto"/>
          <w:kern w:val="2"/>
          <w:sz w:val="24"/>
          <w:szCs w:val="24"/>
        </w:rPr>
        <w:t>九、违约责任</w:t>
      </w:r>
    </w:p>
    <w:p w14:paraId="79FAAEC3">
      <w:pPr>
        <w:adjustRightInd/>
        <w:snapToGrid/>
        <w:spacing w:after="0" w:line="480" w:lineRule="auto"/>
        <w:ind w:firstLine="560" w:firstLineChars="200"/>
        <w:jc w:val="both"/>
        <w:rPr>
          <w:rFonts w:ascii="宋体" w:hAnsi="宋体" w:eastAsia="宋体" w:cs="宋体"/>
          <w:color w:val="auto"/>
          <w:sz w:val="24"/>
          <w:szCs w:val="24"/>
        </w:rPr>
      </w:pPr>
      <w:r>
        <w:rPr>
          <w:rFonts w:ascii="宋体" w:hAnsi="宋体" w:eastAsia="宋体" w:cs="宋体"/>
          <w:color w:val="auto"/>
          <w:sz w:val="28"/>
          <w:szCs w:val="28"/>
        </w:rPr>
        <w:t xml:space="preserve">1. </w:t>
      </w:r>
      <w:r>
        <w:rPr>
          <w:rFonts w:ascii="宋体" w:hAnsi="宋体" w:eastAsia="宋体" w:cs="宋体"/>
          <w:color w:val="auto"/>
          <w:sz w:val="24"/>
          <w:szCs w:val="24"/>
        </w:rPr>
        <w:t>按《中华人民共和国民法典》中的相关条款执行。</w:t>
      </w:r>
    </w:p>
    <w:p w14:paraId="42C4EF73">
      <w:pPr>
        <w:adjustRightInd/>
        <w:snapToGrid/>
        <w:spacing w:after="0" w:line="480" w:lineRule="auto"/>
        <w:ind w:firstLine="480" w:firstLineChars="200"/>
        <w:jc w:val="both"/>
        <w:rPr>
          <w:rFonts w:ascii="宋体" w:hAnsi="宋体" w:eastAsia="宋体" w:cs="宋体"/>
          <w:color w:val="auto"/>
          <w:sz w:val="24"/>
          <w:szCs w:val="24"/>
        </w:rPr>
      </w:pPr>
      <w:r>
        <w:rPr>
          <w:rFonts w:ascii="宋体" w:hAnsi="宋体" w:eastAsia="宋体" w:cs="宋体"/>
          <w:color w:val="auto"/>
          <w:spacing w:val="0"/>
          <w:sz w:val="24"/>
          <w:szCs w:val="24"/>
        </w:rPr>
        <w:t xml:space="preserve">2. </w:t>
      </w:r>
      <w:r>
        <w:rPr>
          <w:rFonts w:hint="eastAsia" w:ascii="宋体" w:hAnsi="宋体" w:eastAsia="宋体" w:cs="宋体"/>
          <w:color w:val="auto"/>
          <w:sz w:val="24"/>
          <w:szCs w:val="24"/>
        </w:rPr>
        <w:t>若</w:t>
      </w:r>
      <w:r>
        <w:rPr>
          <w:rFonts w:ascii="宋体" w:hAnsi="宋体" w:eastAsia="宋体" w:cs="宋体"/>
          <w:color w:val="auto"/>
          <w:spacing w:val="0"/>
          <w:sz w:val="24"/>
          <w:szCs w:val="24"/>
        </w:rPr>
        <w:t>乙方</w:t>
      </w:r>
      <w:r>
        <w:rPr>
          <w:rFonts w:hint="eastAsia" w:ascii="宋体" w:hAnsi="宋体" w:eastAsia="宋体" w:cs="宋体"/>
          <w:color w:val="auto"/>
          <w:sz w:val="24"/>
          <w:szCs w:val="24"/>
        </w:rPr>
        <w:t>未按合同约定时间交付产品，每逾期一天，甲方有权按最终实际结算金额的</w:t>
      </w:r>
      <w:r>
        <w:rPr>
          <w:rFonts w:ascii="宋体" w:hAnsi="宋体" w:eastAsia="宋体" w:cs="宋体"/>
          <w:color w:val="auto"/>
          <w:sz w:val="24"/>
          <w:szCs w:val="24"/>
        </w:rPr>
        <w:t>1%扣除违约金，</w:t>
      </w:r>
      <w:r>
        <w:rPr>
          <w:rFonts w:hint="eastAsia" w:ascii="宋体" w:hAnsi="宋体" w:eastAsia="宋体" w:cs="宋体"/>
          <w:color w:val="auto"/>
          <w:sz w:val="24"/>
          <w:szCs w:val="24"/>
          <w:shd w:val="clear" w:color="auto" w:fill="auto"/>
        </w:rPr>
        <w:t>该违约金从应付结算款中直接抵扣。若乙方逾期交货超过</w:t>
      </w:r>
      <w:r>
        <w:rPr>
          <w:rStyle w:val="24"/>
          <w:rFonts w:ascii="宋体" w:hAnsi="宋体" w:eastAsia="宋体" w:cs="宋体"/>
          <w:color w:val="auto"/>
        </w:rPr>
        <w:t xml:space="preserve">30 </w:t>
      </w:r>
      <w:r>
        <w:rPr>
          <w:rStyle w:val="24"/>
          <w:rFonts w:hint="eastAsia" w:ascii="宋体" w:hAnsi="宋体" w:eastAsia="宋体" w:cs="宋体"/>
          <w:color w:val="auto"/>
        </w:rPr>
        <w:t>日</w:t>
      </w:r>
      <w:r>
        <w:rPr>
          <w:rFonts w:hint="eastAsia" w:ascii="宋体" w:hAnsi="宋体" w:eastAsia="宋体" w:cs="宋体"/>
          <w:b w:val="0"/>
          <w:color w:val="auto"/>
          <w:sz w:val="24"/>
          <w:szCs w:val="24"/>
          <w:shd w:val="clear" w:color="auto" w:fill="auto"/>
        </w:rPr>
        <w:t>，视为乙方根本性违约，甲方有权拒收产品且拒付该款项，乙方需按实际结算金额的</w:t>
      </w:r>
      <w:r>
        <w:rPr>
          <w:rFonts w:ascii="宋体" w:hAnsi="宋体" w:eastAsia="宋体" w:cs="宋体"/>
          <w:b w:val="0"/>
          <w:color w:val="auto"/>
          <w:sz w:val="24"/>
          <w:szCs w:val="24"/>
          <w:shd w:val="clear" w:color="auto" w:fill="auto"/>
        </w:rPr>
        <w:t xml:space="preserve"> 30% </w:t>
      </w:r>
      <w:r>
        <w:rPr>
          <w:rFonts w:hint="eastAsia" w:ascii="宋体" w:hAnsi="宋体" w:eastAsia="宋体" w:cs="宋体"/>
          <w:b w:val="0"/>
          <w:color w:val="auto"/>
          <w:sz w:val="24"/>
          <w:szCs w:val="24"/>
          <w:shd w:val="clear" w:color="auto" w:fill="auto"/>
        </w:rPr>
        <w:t>向甲方支付违约金，，如违约金不足以弥补甲方损失的，乙方还应继续赔偿。</w:t>
      </w:r>
    </w:p>
    <w:p w14:paraId="761B68F6">
      <w:pPr>
        <w:adjustRightInd/>
        <w:snapToGrid/>
        <w:spacing w:after="0" w:line="480" w:lineRule="auto"/>
        <w:ind w:firstLine="480" w:firstLineChars="200"/>
        <w:jc w:val="both"/>
        <w:rPr>
          <w:rFonts w:ascii="宋体" w:hAnsi="宋体" w:eastAsia="宋体" w:cs="宋体"/>
          <w:color w:val="auto"/>
          <w:sz w:val="24"/>
          <w:szCs w:val="24"/>
        </w:rPr>
      </w:pPr>
      <w:r>
        <w:rPr>
          <w:rFonts w:ascii="宋体" w:hAnsi="宋体" w:eastAsia="宋体" w:cs="宋体"/>
          <w:color w:val="auto"/>
          <w:sz w:val="24"/>
          <w:szCs w:val="24"/>
        </w:rPr>
        <w:t>3.</w:t>
      </w:r>
      <w:r>
        <w:rPr>
          <w:rFonts w:hint="eastAsia" w:ascii="宋体" w:hAnsi="宋体" w:eastAsia="宋体" w:cs="宋体"/>
          <w:color w:val="auto"/>
          <w:sz w:val="24"/>
          <w:szCs w:val="24"/>
        </w:rPr>
        <w:t>乙方未按合同要求</w:t>
      </w:r>
      <w:r>
        <w:rPr>
          <w:rFonts w:hint="eastAsia" w:ascii="宋体" w:hAnsi="宋体" w:eastAsia="宋体" w:cs="宋体"/>
          <w:b w:val="0"/>
          <w:color w:val="auto"/>
          <w:sz w:val="24"/>
          <w:szCs w:val="24"/>
        </w:rPr>
        <w:t>标准</w:t>
      </w:r>
      <w:r>
        <w:rPr>
          <w:rFonts w:hint="eastAsia" w:ascii="宋体" w:hAnsi="宋体" w:eastAsia="宋体" w:cs="宋体"/>
          <w:color w:val="auto"/>
          <w:sz w:val="24"/>
          <w:szCs w:val="24"/>
        </w:rPr>
        <w:t>提供产品或产品质量不能满足要求，乙方必须无条件在合同约定时间内更换产品，提高技术，完善质量，否则，甲方有权解除合同，解除合同书面通知书到达乙方之日视为合同已解除，并按以下两种方式追究乙方的违约责任：</w:t>
      </w:r>
    </w:p>
    <w:p w14:paraId="1C8DB487">
      <w:pPr>
        <w:adjustRightInd/>
        <w:snapToGrid/>
        <w:spacing w:after="0" w:line="480" w:lineRule="auto"/>
        <w:ind w:firstLine="480" w:firstLineChars="200"/>
        <w:jc w:val="both"/>
        <w:rPr>
          <w:rFonts w:ascii="宋体" w:hAnsi="宋体" w:eastAsia="宋体" w:cs="宋体"/>
          <w:color w:val="auto"/>
          <w:sz w:val="24"/>
          <w:szCs w:val="24"/>
        </w:rPr>
      </w:pPr>
      <w:r>
        <w:rPr>
          <w:rFonts w:hint="eastAsia" w:ascii="宋体" w:hAnsi="宋体" w:eastAsia="宋体" w:cs="宋体"/>
          <w:color w:val="auto"/>
          <w:sz w:val="24"/>
          <w:szCs w:val="24"/>
        </w:rPr>
        <w:t>（</w:t>
      </w:r>
      <w:r>
        <w:rPr>
          <w:rFonts w:ascii="宋体" w:hAnsi="宋体" w:eastAsia="宋体" w:cs="宋体"/>
          <w:color w:val="auto"/>
          <w:sz w:val="24"/>
          <w:szCs w:val="24"/>
        </w:rPr>
        <w:t>1</w:t>
      </w:r>
      <w:r>
        <w:rPr>
          <w:rFonts w:hint="eastAsia" w:ascii="宋体" w:hAnsi="宋体" w:eastAsia="宋体" w:cs="宋体"/>
          <w:color w:val="auto"/>
          <w:sz w:val="24"/>
          <w:szCs w:val="24"/>
        </w:rPr>
        <w:t>）乙方赔偿甲方解除合同的全部损失（包括但不限于重新采购产生的费用、合同未履行导致标识不能按规划交付使用可能产生的费用及其它由此造成的违约损失）；</w:t>
      </w:r>
    </w:p>
    <w:p w14:paraId="050ED016">
      <w:pPr>
        <w:adjustRightInd/>
        <w:snapToGrid/>
        <w:spacing w:after="0" w:line="480" w:lineRule="auto"/>
        <w:ind w:firstLine="480" w:firstLineChars="200"/>
        <w:jc w:val="both"/>
        <w:rPr>
          <w:rFonts w:ascii="宋体" w:hAnsi="宋体" w:eastAsia="宋体" w:cs="宋体"/>
          <w:color w:val="auto"/>
          <w:sz w:val="24"/>
          <w:szCs w:val="24"/>
        </w:rPr>
      </w:pPr>
      <w:r>
        <w:rPr>
          <w:rFonts w:hint="eastAsia" w:ascii="宋体" w:hAnsi="宋体" w:eastAsia="宋体" w:cs="宋体"/>
          <w:color w:val="auto"/>
          <w:sz w:val="24"/>
          <w:szCs w:val="24"/>
        </w:rPr>
        <w:t>（</w:t>
      </w:r>
      <w:r>
        <w:rPr>
          <w:rFonts w:ascii="宋体" w:hAnsi="宋体" w:eastAsia="宋体" w:cs="宋体"/>
          <w:color w:val="auto"/>
          <w:sz w:val="24"/>
          <w:szCs w:val="24"/>
        </w:rPr>
        <w:t>2</w:t>
      </w:r>
      <w:r>
        <w:rPr>
          <w:rFonts w:hint="eastAsia" w:ascii="宋体" w:hAnsi="宋体" w:eastAsia="宋体" w:cs="宋体"/>
          <w:color w:val="auto"/>
          <w:sz w:val="24"/>
          <w:szCs w:val="24"/>
        </w:rPr>
        <w:t>）乙方支付甲方违约金，违约金</w:t>
      </w:r>
      <w:r>
        <w:rPr>
          <w:rFonts w:hint="eastAsia" w:ascii="宋体" w:hAnsi="宋体" w:eastAsia="宋体" w:cs="宋体"/>
          <w:b w:val="0"/>
          <w:color w:val="auto"/>
          <w:sz w:val="24"/>
          <w:szCs w:val="24"/>
        </w:rPr>
        <w:t>为</w:t>
      </w:r>
      <w:r>
        <w:rPr>
          <w:rFonts w:hint="eastAsia" w:ascii="宋体" w:hAnsi="宋体" w:eastAsia="宋体" w:cs="宋体"/>
          <w:color w:val="auto"/>
          <w:sz w:val="24"/>
          <w:szCs w:val="24"/>
        </w:rPr>
        <w:t>最终实际结算</w:t>
      </w:r>
      <w:r>
        <w:rPr>
          <w:rFonts w:hint="eastAsia" w:ascii="宋体" w:hAnsi="宋体" w:eastAsia="宋体" w:cs="宋体"/>
          <w:b w:val="0"/>
          <w:color w:val="auto"/>
          <w:sz w:val="24"/>
          <w:szCs w:val="24"/>
        </w:rPr>
        <w:t>金额</w:t>
      </w:r>
      <w:r>
        <w:rPr>
          <w:rFonts w:hint="eastAsia" w:ascii="宋体" w:hAnsi="宋体" w:eastAsia="宋体" w:cs="宋体"/>
          <w:color w:val="auto"/>
          <w:sz w:val="24"/>
          <w:szCs w:val="24"/>
        </w:rPr>
        <w:t>的</w:t>
      </w:r>
      <w:r>
        <w:rPr>
          <w:rFonts w:ascii="宋体" w:hAnsi="宋体" w:eastAsia="宋体" w:cs="宋体"/>
          <w:color w:val="auto"/>
          <w:sz w:val="24"/>
          <w:szCs w:val="24"/>
        </w:rPr>
        <w:t>30%，同时对乙方的违约行为报监管机构进行相应的处罚。</w:t>
      </w:r>
    </w:p>
    <w:p w14:paraId="0FA5474E">
      <w:pPr>
        <w:adjustRightInd/>
        <w:snapToGrid/>
        <w:spacing w:after="0" w:line="480" w:lineRule="auto"/>
        <w:ind w:firstLine="480" w:firstLineChars="200"/>
        <w:jc w:val="both"/>
        <w:rPr>
          <w:rFonts w:ascii="宋体" w:hAnsi="宋体" w:eastAsia="宋体" w:cs="宋体"/>
          <w:color w:val="auto"/>
          <w:sz w:val="24"/>
          <w:szCs w:val="24"/>
        </w:rPr>
      </w:pPr>
      <w:r>
        <w:rPr>
          <w:rFonts w:ascii="宋体" w:hAnsi="宋体" w:eastAsia="宋体" w:cs="宋体"/>
          <w:b w:val="0"/>
          <w:color w:val="auto"/>
          <w:sz w:val="24"/>
          <w:szCs w:val="24"/>
        </w:rPr>
        <w:t>4.</w:t>
      </w:r>
      <w:r>
        <w:rPr>
          <w:rFonts w:hint="eastAsia" w:ascii="宋体" w:hAnsi="宋体" w:eastAsia="宋体" w:cs="宋体"/>
          <w:b w:val="0"/>
          <w:color w:val="auto"/>
          <w:sz w:val="24"/>
          <w:szCs w:val="24"/>
        </w:rPr>
        <w:t>任何一方因不可抗力原因不能履行协议时，应尽快通知对方，双方均设法补偿。如仍无法履约协议，可协商延缓或撤销协议，双方责任免除。</w:t>
      </w:r>
    </w:p>
    <w:p w14:paraId="62F6A5DF">
      <w:pPr>
        <w:adjustRightInd/>
        <w:snapToGrid/>
        <w:spacing w:after="0" w:line="480" w:lineRule="auto"/>
        <w:ind w:firstLine="480" w:firstLineChars="200"/>
        <w:jc w:val="both"/>
        <w:rPr>
          <w:rFonts w:ascii="宋体" w:hAnsi="宋体" w:eastAsia="宋体" w:cs="宋体"/>
          <w:b w:val="0"/>
          <w:color w:val="auto"/>
          <w:sz w:val="24"/>
          <w:szCs w:val="24"/>
        </w:rPr>
      </w:pPr>
      <w:r>
        <w:rPr>
          <w:rFonts w:ascii="宋体" w:hAnsi="宋体" w:eastAsia="宋体" w:cs="宋体"/>
          <w:b w:val="0"/>
          <w:color w:val="auto"/>
          <w:sz w:val="24"/>
          <w:szCs w:val="24"/>
        </w:rPr>
        <w:t>5、乙方不得将本合同约定的工作转包或分包给他人，否则甲方有权</w:t>
      </w:r>
      <w:r>
        <w:rPr>
          <w:rFonts w:hint="eastAsia" w:ascii="宋体" w:hAnsi="宋体" w:eastAsia="宋体" w:cs="宋体"/>
          <w:b w:val="0"/>
          <w:color w:val="auto"/>
          <w:sz w:val="24"/>
          <w:szCs w:val="24"/>
        </w:rPr>
        <w:t>随时单方解除</w:t>
      </w:r>
      <w:r>
        <w:rPr>
          <w:rFonts w:ascii="宋体" w:hAnsi="宋体" w:eastAsia="宋体" w:cs="宋体"/>
          <w:b w:val="0"/>
          <w:color w:val="auto"/>
          <w:sz w:val="24"/>
          <w:szCs w:val="24"/>
        </w:rPr>
        <w:t>本合同，</w:t>
      </w:r>
      <w:r>
        <w:rPr>
          <w:rFonts w:hint="eastAsia" w:ascii="宋体" w:hAnsi="宋体" w:eastAsia="宋体" w:cs="宋体"/>
          <w:b w:val="0"/>
          <w:color w:val="auto"/>
          <w:sz w:val="24"/>
          <w:szCs w:val="24"/>
        </w:rPr>
        <w:t>合同自书面解除通知到达乙方之日起解除，且</w:t>
      </w:r>
      <w:r>
        <w:rPr>
          <w:rFonts w:ascii="宋体" w:hAnsi="宋体" w:eastAsia="宋体" w:cs="宋体"/>
          <w:b w:val="0"/>
          <w:color w:val="auto"/>
          <w:sz w:val="24"/>
          <w:szCs w:val="24"/>
        </w:rPr>
        <w:t>乙方应当向甲方支付</w:t>
      </w:r>
      <w:r>
        <w:rPr>
          <w:rFonts w:hint="eastAsia" w:ascii="宋体" w:hAnsi="宋体" w:eastAsia="宋体" w:cs="宋体"/>
          <w:b w:val="0"/>
          <w:color w:val="auto"/>
          <w:sz w:val="24"/>
          <w:szCs w:val="24"/>
        </w:rPr>
        <w:t>最终实际结算总金额</w:t>
      </w:r>
      <w:r>
        <w:rPr>
          <w:rFonts w:ascii="宋体" w:hAnsi="宋体" w:eastAsia="宋体" w:cs="宋体"/>
          <w:b w:val="0"/>
          <w:color w:val="auto"/>
          <w:sz w:val="24"/>
          <w:szCs w:val="24"/>
        </w:rPr>
        <w:t>的30%作为违约金。</w:t>
      </w:r>
    </w:p>
    <w:p w14:paraId="4C74DAD0">
      <w:pPr>
        <w:adjustRightInd/>
        <w:snapToGrid/>
        <w:spacing w:after="0" w:line="480" w:lineRule="auto"/>
        <w:ind w:firstLine="480" w:firstLineChars="200"/>
        <w:jc w:val="both"/>
        <w:rPr>
          <w:rFonts w:ascii="宋体" w:hAnsi="宋体" w:eastAsia="宋体" w:cs="宋体"/>
          <w:b w:val="0"/>
          <w:color w:val="auto"/>
          <w:sz w:val="24"/>
          <w:szCs w:val="24"/>
        </w:rPr>
      </w:pPr>
      <w:r>
        <w:rPr>
          <w:rFonts w:ascii="宋体" w:hAnsi="宋体" w:eastAsia="宋体" w:cs="宋体"/>
          <w:b w:val="0"/>
          <w:color w:val="auto"/>
          <w:sz w:val="24"/>
          <w:szCs w:val="24"/>
        </w:rPr>
        <w:t xml:space="preserve">6、在质保期内，乙方未按照合同约定履行售后服务义务的，甲方有权自行或委托第三方进行维修，由此产生的费用由乙方承担，同时乙方应按照实际结算金额的30% </w:t>
      </w:r>
      <w:r>
        <w:rPr>
          <w:rFonts w:hint="eastAsia" w:ascii="宋体" w:hAnsi="宋体" w:eastAsia="宋体" w:cs="宋体"/>
          <w:b w:val="0"/>
          <w:color w:val="auto"/>
          <w:sz w:val="24"/>
          <w:szCs w:val="24"/>
        </w:rPr>
        <w:t>向甲方支付违约金。</w:t>
      </w:r>
    </w:p>
    <w:p w14:paraId="6A40A529">
      <w:pPr>
        <w:adjustRightInd/>
        <w:snapToGrid/>
        <w:spacing w:after="0" w:line="480" w:lineRule="auto"/>
        <w:ind w:firstLine="482" w:firstLineChars="200"/>
        <w:jc w:val="both"/>
        <w:rPr>
          <w:rFonts w:ascii="宋体" w:hAnsi="宋体" w:eastAsia="宋体" w:cs="宋体"/>
          <w:b/>
          <w:bCs/>
          <w:color w:val="auto"/>
          <w:kern w:val="2"/>
          <w:sz w:val="24"/>
          <w:szCs w:val="24"/>
        </w:rPr>
      </w:pPr>
      <w:r>
        <w:rPr>
          <w:rFonts w:hint="eastAsia" w:ascii="宋体" w:hAnsi="宋体" w:eastAsia="宋体" w:cs="宋体"/>
          <w:b/>
          <w:bCs/>
          <w:color w:val="auto"/>
          <w:kern w:val="2"/>
          <w:sz w:val="24"/>
          <w:szCs w:val="24"/>
        </w:rPr>
        <w:t>十、知识产权及保密条款</w:t>
      </w:r>
    </w:p>
    <w:p w14:paraId="661A295D">
      <w:pPr>
        <w:adjustRightInd/>
        <w:snapToGrid/>
        <w:spacing w:after="0" w:line="480" w:lineRule="auto"/>
        <w:ind w:firstLine="480" w:firstLineChars="200"/>
        <w:jc w:val="both"/>
        <w:rPr>
          <w:rFonts w:ascii="宋体" w:hAnsi="宋体" w:eastAsia="宋体" w:cs="宋体"/>
          <w:color w:val="auto"/>
          <w:kern w:val="2"/>
          <w:sz w:val="24"/>
          <w:szCs w:val="24"/>
        </w:rPr>
      </w:pPr>
      <w:r>
        <w:rPr>
          <w:rFonts w:hint="eastAsia" w:ascii="宋体" w:hAnsi="宋体" w:eastAsia="宋体" w:cs="宋体"/>
          <w:color w:val="auto"/>
          <w:kern w:val="2"/>
          <w:sz w:val="24"/>
          <w:szCs w:val="24"/>
        </w:rPr>
        <w:t>1、乙方保证其为甲方设计制作的标识不存在任何侵犯第三方知识产权的情形。如因乙方原因导致甲方遭受第三方关于知识产权侵权的索赔、诉讼或其他法律纠纷，乙方应承担全部法律责任，并赔偿甲方因此遭受的全部损失（包括但不限于甲方的全部经济损失及甲方可能支出的律师费、保全费、交通费、诉讼费、对第三人的赔偿等费用）。</w:t>
      </w:r>
    </w:p>
    <w:p w14:paraId="04884332">
      <w:pPr>
        <w:adjustRightInd/>
        <w:snapToGrid/>
        <w:spacing w:after="0" w:line="480" w:lineRule="auto"/>
        <w:ind w:firstLine="480" w:firstLineChars="200"/>
        <w:jc w:val="both"/>
        <w:rPr>
          <w:rFonts w:ascii="宋体" w:hAnsi="宋体" w:eastAsia="宋体" w:cs="宋体"/>
          <w:color w:val="auto"/>
          <w:kern w:val="2"/>
          <w:sz w:val="24"/>
          <w:szCs w:val="24"/>
        </w:rPr>
      </w:pPr>
      <w:r>
        <w:rPr>
          <w:rFonts w:hint="eastAsia" w:ascii="宋体" w:hAnsi="宋体" w:eastAsia="宋体" w:cs="宋体"/>
          <w:color w:val="auto"/>
          <w:kern w:val="2"/>
          <w:sz w:val="24"/>
          <w:szCs w:val="24"/>
        </w:rPr>
        <w:t>2、双方应对在合同履行过程中知悉的对方商业秘密、技术秘密等予以保密，未经对方书面同意，不得向任何第三方披露或使用。保密期限自合同生效之日起至合同终止后1年。</w:t>
      </w:r>
    </w:p>
    <w:p w14:paraId="4AC5A136">
      <w:pPr>
        <w:pStyle w:val="45"/>
        <w:adjustRightInd/>
        <w:snapToGrid/>
        <w:spacing w:after="0" w:line="480" w:lineRule="auto"/>
        <w:ind w:left="480" w:firstLine="0" w:firstLineChars="0"/>
        <w:jc w:val="both"/>
        <w:rPr>
          <w:rFonts w:ascii="宋体" w:hAnsi="宋体" w:eastAsia="宋体" w:cs="宋体"/>
          <w:b/>
          <w:color w:val="auto"/>
          <w:sz w:val="24"/>
          <w:szCs w:val="24"/>
        </w:rPr>
      </w:pPr>
      <w:r>
        <w:rPr>
          <w:rFonts w:hint="eastAsia" w:ascii="宋体" w:hAnsi="宋体" w:eastAsia="宋体" w:cs="宋体"/>
          <w:b/>
          <w:color w:val="auto"/>
          <w:sz w:val="24"/>
          <w:szCs w:val="24"/>
        </w:rPr>
        <w:t>十一、不可抗力</w:t>
      </w:r>
    </w:p>
    <w:p w14:paraId="0FF5D0B8">
      <w:pPr>
        <w:numPr>
          <w:ilvl w:val="255"/>
          <w:numId w:val="0"/>
        </w:numPr>
        <w:adjustRightInd/>
        <w:snapToGrid/>
        <w:spacing w:after="0" w:line="480" w:lineRule="auto"/>
        <w:ind w:firstLine="480" w:firstLineChars="200"/>
        <w:jc w:val="both"/>
        <w:rPr>
          <w:rFonts w:ascii="宋体" w:hAnsi="宋体" w:eastAsia="宋体" w:cs="宋体"/>
          <w:color w:val="auto"/>
          <w:kern w:val="2"/>
          <w:sz w:val="24"/>
          <w:szCs w:val="24"/>
        </w:rPr>
      </w:pPr>
      <w:r>
        <w:rPr>
          <w:rFonts w:hint="eastAsia" w:ascii="宋体" w:hAnsi="宋体" w:eastAsia="宋体" w:cs="宋体"/>
          <w:b w:val="0"/>
          <w:color w:val="auto"/>
          <w:kern w:val="2"/>
          <w:sz w:val="24"/>
          <w:szCs w:val="24"/>
        </w:rPr>
        <w:t>本合同所称不可抗力是指不能预见、不能避免并不能克服的客观情况，包括但不限于自然灾害、政府行为、社会事件等。</w:t>
      </w:r>
    </w:p>
    <w:p w14:paraId="674C175A">
      <w:pPr>
        <w:numPr>
          <w:ilvl w:val="255"/>
          <w:numId w:val="0"/>
        </w:numPr>
        <w:adjustRightInd/>
        <w:snapToGrid/>
        <w:spacing w:after="0" w:line="480" w:lineRule="auto"/>
        <w:ind w:firstLine="480" w:firstLineChars="200"/>
        <w:jc w:val="both"/>
        <w:rPr>
          <w:rFonts w:ascii="宋体" w:hAnsi="宋体" w:eastAsia="宋体" w:cs="宋体"/>
          <w:color w:val="auto"/>
          <w:kern w:val="2"/>
          <w:sz w:val="24"/>
          <w:szCs w:val="24"/>
        </w:rPr>
      </w:pPr>
      <w:r>
        <w:rPr>
          <w:rFonts w:hint="eastAsia" w:ascii="宋体" w:hAnsi="宋体" w:eastAsia="宋体" w:cs="宋体"/>
          <w:b w:val="0"/>
          <w:color w:val="auto"/>
          <w:kern w:val="2"/>
          <w:sz w:val="24"/>
          <w:szCs w:val="24"/>
        </w:rPr>
        <w:t>因不可抗力事件导致一方无法履行合同义务的，该方不承担违约责任，但应在不可抗力事件发生后的</w:t>
      </w:r>
      <w:r>
        <w:rPr>
          <w:rFonts w:ascii="宋体" w:hAnsi="宋体" w:eastAsia="宋体" w:cs="宋体"/>
          <w:b w:val="0"/>
          <w:color w:val="auto"/>
          <w:kern w:val="2"/>
          <w:sz w:val="24"/>
          <w:szCs w:val="24"/>
        </w:rPr>
        <w:t xml:space="preserve"> [3个月]</w:t>
      </w:r>
      <w:r>
        <w:rPr>
          <w:rFonts w:ascii="宋体" w:hAnsi="宋体" w:eastAsia="宋体" w:cs="宋体"/>
          <w:color w:val="auto"/>
          <w:kern w:val="2"/>
          <w:sz w:val="24"/>
          <w:szCs w:val="24"/>
        </w:rPr>
        <w:t xml:space="preserve"> 内书面通知对方，并提供相关证明文件。在不可抗力事件影响消除后的合理时间内，双方应协商恢复合同的履行。如因不可抗力事件导致合同目的无法实现，双方可协商解除合同，互不承担违约责任。</w:t>
      </w:r>
    </w:p>
    <w:p w14:paraId="2ED4D2D2">
      <w:pPr>
        <w:adjustRightInd/>
        <w:snapToGrid/>
        <w:spacing w:after="0" w:line="480" w:lineRule="auto"/>
        <w:ind w:firstLine="482" w:firstLineChars="200"/>
        <w:jc w:val="both"/>
        <w:rPr>
          <w:rFonts w:ascii="宋体" w:hAnsi="宋体" w:eastAsia="宋体" w:cs="宋体"/>
          <w:b/>
          <w:bCs/>
          <w:color w:val="auto"/>
          <w:kern w:val="2"/>
          <w:sz w:val="24"/>
          <w:szCs w:val="24"/>
        </w:rPr>
      </w:pPr>
      <w:r>
        <w:rPr>
          <w:rFonts w:hint="eastAsia" w:ascii="宋体" w:hAnsi="宋体" w:eastAsia="宋体" w:cs="宋体"/>
          <w:b/>
          <w:bCs/>
          <w:color w:val="auto"/>
          <w:kern w:val="2"/>
          <w:sz w:val="24"/>
          <w:szCs w:val="24"/>
        </w:rPr>
        <w:t>十二、合同争议解决的方式</w:t>
      </w:r>
    </w:p>
    <w:p w14:paraId="5624960D">
      <w:pPr>
        <w:adjustRightInd/>
        <w:snapToGrid/>
        <w:spacing w:after="0" w:line="480" w:lineRule="auto"/>
        <w:jc w:val="both"/>
        <w:rPr>
          <w:rFonts w:ascii="宋体" w:hAnsi="宋体" w:eastAsia="宋体" w:cs="宋体"/>
          <w:color w:val="auto"/>
          <w:kern w:val="2"/>
          <w:sz w:val="24"/>
          <w:szCs w:val="24"/>
        </w:rPr>
      </w:pPr>
      <w:r>
        <w:rPr>
          <w:rFonts w:hint="eastAsia" w:ascii="宋体" w:hAnsi="宋体" w:eastAsia="宋体" w:cs="宋体"/>
          <w:color w:val="auto"/>
          <w:kern w:val="2"/>
          <w:sz w:val="24"/>
          <w:szCs w:val="24"/>
        </w:rPr>
        <w:t>　　本合同在履行过程中发生的争议，由甲、乙双方当事人协商解决，协商不成的依法向甲方所在地人民法院起诉。</w:t>
      </w:r>
    </w:p>
    <w:p w14:paraId="4B294CF4">
      <w:pPr>
        <w:adjustRightInd/>
        <w:snapToGrid/>
        <w:spacing w:after="0" w:line="480" w:lineRule="auto"/>
        <w:ind w:firstLine="482" w:firstLineChars="200"/>
        <w:jc w:val="both"/>
        <w:rPr>
          <w:rFonts w:ascii="宋体" w:hAnsi="宋体" w:eastAsia="宋体" w:cs="宋体"/>
          <w:b/>
          <w:bCs/>
          <w:color w:val="auto"/>
          <w:kern w:val="2"/>
          <w:sz w:val="24"/>
          <w:szCs w:val="24"/>
        </w:rPr>
      </w:pPr>
      <w:r>
        <w:rPr>
          <w:rFonts w:hint="eastAsia" w:ascii="宋体" w:hAnsi="宋体" w:eastAsia="宋体" w:cs="宋体"/>
          <w:b/>
          <w:bCs/>
          <w:color w:val="auto"/>
          <w:kern w:val="2"/>
          <w:sz w:val="24"/>
          <w:szCs w:val="24"/>
        </w:rPr>
        <w:t>十三、合同生效及终止</w:t>
      </w:r>
    </w:p>
    <w:p w14:paraId="217F8F3F">
      <w:pPr>
        <w:adjustRightInd/>
        <w:snapToGrid/>
        <w:spacing w:after="0" w:line="480" w:lineRule="auto"/>
        <w:ind w:firstLine="480"/>
        <w:jc w:val="both"/>
        <w:rPr>
          <w:rFonts w:ascii="宋体" w:hAnsi="宋体" w:eastAsia="宋体" w:cs="宋体"/>
          <w:color w:val="auto"/>
          <w:kern w:val="2"/>
          <w:sz w:val="24"/>
          <w:szCs w:val="24"/>
        </w:rPr>
      </w:pPr>
      <w:r>
        <w:rPr>
          <w:rFonts w:hint="eastAsia" w:ascii="宋体" w:hAnsi="宋体" w:eastAsia="宋体" w:cs="宋体"/>
          <w:color w:val="auto"/>
          <w:kern w:val="2"/>
          <w:sz w:val="24"/>
          <w:szCs w:val="24"/>
        </w:rPr>
        <w:t>　　本合同一式</w:t>
      </w:r>
      <w:r>
        <w:rPr>
          <w:rFonts w:hint="eastAsia" w:ascii="宋体" w:hAnsi="宋体" w:eastAsia="宋体" w:cs="宋体"/>
          <w:color w:val="auto"/>
          <w:kern w:val="2"/>
          <w:sz w:val="24"/>
          <w:szCs w:val="24"/>
          <w:lang w:eastAsia="zh-CN"/>
        </w:rPr>
        <w:t>陆</w:t>
      </w:r>
      <w:r>
        <w:rPr>
          <w:rFonts w:hint="eastAsia" w:ascii="宋体" w:hAnsi="宋体" w:eastAsia="宋体" w:cs="宋体"/>
          <w:color w:val="auto"/>
          <w:kern w:val="2"/>
          <w:sz w:val="24"/>
          <w:szCs w:val="24"/>
        </w:rPr>
        <w:t>份，甲方</w:t>
      </w:r>
      <w:r>
        <w:rPr>
          <w:rFonts w:hint="eastAsia" w:ascii="宋体" w:hAnsi="宋体" w:eastAsia="宋体" w:cs="宋体"/>
          <w:color w:val="auto"/>
          <w:kern w:val="2"/>
          <w:sz w:val="24"/>
          <w:szCs w:val="24"/>
          <w:lang w:eastAsia="zh-CN"/>
        </w:rPr>
        <w:t>伍</w:t>
      </w:r>
      <w:r>
        <w:rPr>
          <w:rFonts w:hint="eastAsia" w:ascii="宋体" w:hAnsi="宋体" w:eastAsia="宋体" w:cs="宋体"/>
          <w:color w:val="auto"/>
          <w:kern w:val="2"/>
          <w:sz w:val="24"/>
          <w:szCs w:val="24"/>
        </w:rPr>
        <w:t>份，乙方执</w:t>
      </w:r>
      <w:r>
        <w:rPr>
          <w:rFonts w:hint="eastAsia" w:ascii="宋体" w:hAnsi="宋体" w:eastAsia="宋体" w:cs="宋体"/>
          <w:color w:val="auto"/>
          <w:kern w:val="2"/>
          <w:sz w:val="24"/>
          <w:szCs w:val="24"/>
          <w:lang w:eastAsia="zh-CN"/>
        </w:rPr>
        <w:t>壹</w:t>
      </w:r>
      <w:r>
        <w:rPr>
          <w:rFonts w:hint="eastAsia" w:ascii="宋体" w:hAnsi="宋体" w:eastAsia="宋体" w:cs="宋体"/>
          <w:color w:val="auto"/>
          <w:kern w:val="2"/>
          <w:sz w:val="24"/>
          <w:szCs w:val="24"/>
        </w:rPr>
        <w:t>份，本合同自甲方盖章，乙方签字盖章之日起生效，质保期结束</w:t>
      </w:r>
      <w:r>
        <w:rPr>
          <w:rFonts w:ascii="宋体" w:hAnsi="宋体" w:eastAsia="宋体" w:cs="宋体"/>
          <w:color w:val="auto"/>
          <w:kern w:val="2"/>
          <w:sz w:val="24"/>
          <w:szCs w:val="24"/>
        </w:rPr>
        <w:t>或本项目结算金额达到</w:t>
      </w:r>
      <w:r>
        <w:rPr>
          <w:rFonts w:hint="eastAsia" w:ascii="宋体" w:hAnsi="宋体" w:eastAsia="宋体" w:cs="宋体"/>
          <w:color w:val="auto"/>
          <w:kern w:val="2"/>
          <w:sz w:val="24"/>
          <w:szCs w:val="24"/>
          <w:lang w:val="en-US" w:eastAsia="zh-CN"/>
        </w:rPr>
        <w:t>20</w:t>
      </w:r>
      <w:r>
        <w:rPr>
          <w:rFonts w:ascii="宋体" w:hAnsi="宋体" w:eastAsia="宋体" w:cs="宋体"/>
          <w:color w:val="auto"/>
          <w:kern w:val="2"/>
          <w:sz w:val="24"/>
          <w:szCs w:val="24"/>
        </w:rPr>
        <w:t>万元(两者先到为准)，合同</w:t>
      </w:r>
      <w:r>
        <w:rPr>
          <w:rFonts w:hint="eastAsia" w:ascii="宋体" w:hAnsi="宋体" w:eastAsia="宋体" w:cs="宋体"/>
          <w:color w:val="auto"/>
          <w:kern w:val="2"/>
          <w:sz w:val="24"/>
          <w:szCs w:val="24"/>
        </w:rPr>
        <w:t>自动终止（但合同的服务承诺除外）</w:t>
      </w:r>
      <w:r>
        <w:rPr>
          <w:rFonts w:ascii="宋体" w:hAnsi="宋体" w:eastAsia="宋体" w:cs="宋体"/>
          <w:color w:val="auto"/>
          <w:kern w:val="2"/>
          <w:sz w:val="24"/>
          <w:szCs w:val="24"/>
        </w:rPr>
        <w:t>。</w:t>
      </w:r>
    </w:p>
    <w:p w14:paraId="24A2A553">
      <w:pPr>
        <w:spacing w:line="480" w:lineRule="auto"/>
        <w:jc w:val="both"/>
        <w:rPr>
          <w:rFonts w:ascii="宋体" w:hAnsi="宋体" w:eastAsia="宋体" w:cs="宋体"/>
          <w:color w:val="auto"/>
          <w:kern w:val="2"/>
          <w:sz w:val="24"/>
          <w:szCs w:val="24"/>
        </w:rPr>
      </w:pPr>
    </w:p>
    <w:p w14:paraId="319074B5">
      <w:pPr>
        <w:spacing w:line="480" w:lineRule="auto"/>
        <w:jc w:val="both"/>
        <w:rPr>
          <w:rFonts w:ascii="宋体" w:hAnsi="宋体" w:eastAsia="宋体" w:cs="宋体"/>
          <w:color w:val="auto"/>
          <w:kern w:val="2"/>
          <w:sz w:val="24"/>
          <w:szCs w:val="24"/>
        </w:rPr>
      </w:pPr>
      <w:r>
        <w:rPr>
          <w:rFonts w:hint="eastAsia" w:ascii="宋体" w:hAnsi="宋体" w:eastAsia="宋体" w:cs="宋体"/>
          <w:color w:val="auto"/>
          <w:kern w:val="2"/>
          <w:sz w:val="24"/>
          <w:szCs w:val="24"/>
        </w:rPr>
        <w:t xml:space="preserve">甲方：西安市儿童医院（公章）       乙方:（公章）                 </w:t>
      </w:r>
    </w:p>
    <w:p w14:paraId="6B0A1A6F">
      <w:pPr>
        <w:adjustRightInd/>
        <w:snapToGrid/>
        <w:spacing w:after="0" w:line="480" w:lineRule="auto"/>
        <w:jc w:val="both"/>
        <w:rPr>
          <w:rFonts w:ascii="宋体" w:hAnsi="宋体" w:eastAsia="宋体" w:cs="宋体"/>
          <w:color w:val="auto"/>
          <w:kern w:val="2"/>
          <w:sz w:val="24"/>
          <w:szCs w:val="24"/>
        </w:rPr>
      </w:pPr>
    </w:p>
    <w:p w14:paraId="588BE4AB">
      <w:pPr>
        <w:adjustRightInd/>
        <w:snapToGrid/>
        <w:spacing w:after="0" w:line="480" w:lineRule="auto"/>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              </w:t>
      </w:r>
      <w:r>
        <w:rPr>
          <w:rFonts w:hint="eastAsia" w:ascii="宋体" w:hAnsi="宋体" w:eastAsia="宋体" w:cs="宋体"/>
          <w:color w:val="auto"/>
          <w:kern w:val="2"/>
          <w:sz w:val="24"/>
          <w:szCs w:val="24"/>
          <w:lang w:val="en-US" w:eastAsia="zh-CN"/>
        </w:rPr>
        <w:t xml:space="preserve">                    </w:t>
      </w:r>
      <w:r>
        <w:rPr>
          <w:rFonts w:hint="eastAsia" w:ascii="宋体" w:hAnsi="宋体" w:eastAsia="宋体" w:cs="宋体"/>
          <w:color w:val="auto"/>
          <w:kern w:val="2"/>
          <w:sz w:val="24"/>
          <w:szCs w:val="24"/>
        </w:rPr>
        <w:t>法定代表人：</w:t>
      </w:r>
    </w:p>
    <w:p w14:paraId="0A0E65F7">
      <w:pPr>
        <w:adjustRightInd/>
        <w:snapToGrid/>
        <w:spacing w:after="0" w:line="480" w:lineRule="auto"/>
        <w:jc w:val="both"/>
        <w:rPr>
          <w:rFonts w:hint="default"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经办人：                          经办人：</w:t>
      </w:r>
    </w:p>
    <w:p w14:paraId="0593E98C">
      <w:pPr>
        <w:adjustRightInd/>
        <w:snapToGrid/>
        <w:spacing w:after="0" w:line="480" w:lineRule="auto"/>
        <w:jc w:val="both"/>
        <w:rPr>
          <w:rFonts w:ascii="宋体" w:hAnsi="宋体" w:eastAsia="宋体" w:cs="宋体"/>
          <w:color w:val="auto"/>
          <w:kern w:val="2"/>
          <w:sz w:val="24"/>
          <w:szCs w:val="24"/>
        </w:rPr>
      </w:pPr>
    </w:p>
    <w:p w14:paraId="2C407E0D">
      <w:pPr>
        <w:adjustRightInd/>
        <w:snapToGrid/>
        <w:spacing w:after="0" w:line="480" w:lineRule="auto"/>
        <w:jc w:val="both"/>
        <w:rPr>
          <w:rFonts w:ascii="宋体" w:hAnsi="宋体" w:eastAsia="宋体" w:cs="宋体"/>
          <w:color w:val="auto"/>
          <w:kern w:val="2"/>
          <w:sz w:val="24"/>
          <w:szCs w:val="24"/>
        </w:rPr>
      </w:pPr>
    </w:p>
    <w:p w14:paraId="7E20A4B2">
      <w:pPr>
        <w:adjustRightInd/>
        <w:snapToGrid/>
        <w:spacing w:after="0" w:line="480" w:lineRule="auto"/>
        <w:jc w:val="both"/>
        <w:rPr>
          <w:rFonts w:ascii="宋体" w:hAnsi="宋体" w:eastAsia="宋体" w:cs="宋体"/>
          <w:color w:val="auto"/>
          <w:kern w:val="2"/>
          <w:sz w:val="24"/>
          <w:szCs w:val="24"/>
        </w:rPr>
      </w:pPr>
      <w:r>
        <w:rPr>
          <w:rFonts w:hint="eastAsia" w:ascii="宋体" w:hAnsi="宋体" w:eastAsia="宋体" w:cs="宋体"/>
          <w:color w:val="auto"/>
          <w:kern w:val="2"/>
          <w:sz w:val="24"/>
          <w:szCs w:val="24"/>
        </w:rPr>
        <w:t>签订日期：20</w:t>
      </w:r>
      <w:r>
        <w:rPr>
          <w:rFonts w:ascii="宋体" w:hAnsi="宋体" w:eastAsia="宋体" w:cs="宋体"/>
          <w:color w:val="auto"/>
          <w:kern w:val="2"/>
          <w:sz w:val="24"/>
          <w:szCs w:val="24"/>
        </w:rPr>
        <w:t>2</w:t>
      </w:r>
      <w:r>
        <w:rPr>
          <w:rFonts w:hint="eastAsia" w:ascii="宋体" w:hAnsi="宋体" w:eastAsia="宋体" w:cs="宋体"/>
          <w:color w:val="auto"/>
          <w:kern w:val="2"/>
          <w:sz w:val="24"/>
          <w:szCs w:val="24"/>
          <w:lang w:val="en-US" w:eastAsia="zh-CN"/>
        </w:rPr>
        <w:t xml:space="preserve"> </w:t>
      </w:r>
      <w:r>
        <w:rPr>
          <w:rFonts w:hint="eastAsia" w:ascii="宋体" w:hAnsi="宋体" w:eastAsia="宋体" w:cs="宋体"/>
          <w:color w:val="auto"/>
          <w:kern w:val="2"/>
          <w:sz w:val="24"/>
          <w:szCs w:val="24"/>
        </w:rPr>
        <w:t>年 月 日</w:t>
      </w:r>
      <w:r>
        <w:rPr>
          <w:rFonts w:ascii="宋体" w:hAnsi="宋体" w:eastAsia="宋体" w:cs="宋体"/>
          <w:color w:val="auto"/>
          <w:kern w:val="2"/>
          <w:sz w:val="24"/>
          <w:szCs w:val="24"/>
        </w:rPr>
        <w:tab/>
      </w:r>
      <w:r>
        <w:rPr>
          <w:rFonts w:hint="eastAsia" w:ascii="宋体" w:hAnsi="宋体" w:eastAsia="宋体" w:cs="宋体"/>
          <w:color w:val="auto"/>
          <w:kern w:val="2"/>
          <w:sz w:val="24"/>
          <w:szCs w:val="24"/>
          <w:lang w:val="en-US" w:eastAsia="zh-CN"/>
        </w:rPr>
        <w:t xml:space="preserve">          </w:t>
      </w:r>
      <w:r>
        <w:rPr>
          <w:rFonts w:hint="eastAsia" w:ascii="宋体" w:hAnsi="宋体" w:eastAsia="宋体" w:cs="宋体"/>
          <w:color w:val="auto"/>
          <w:kern w:val="2"/>
          <w:sz w:val="24"/>
          <w:szCs w:val="24"/>
        </w:rPr>
        <w:t>签订日期：20</w:t>
      </w:r>
      <w:r>
        <w:rPr>
          <w:rFonts w:ascii="宋体" w:hAnsi="宋体" w:eastAsia="宋体" w:cs="宋体"/>
          <w:color w:val="auto"/>
          <w:kern w:val="2"/>
          <w:sz w:val="24"/>
          <w:szCs w:val="24"/>
        </w:rPr>
        <w:t>2</w:t>
      </w:r>
      <w:r>
        <w:rPr>
          <w:rFonts w:hint="eastAsia" w:ascii="宋体" w:hAnsi="宋体" w:eastAsia="宋体" w:cs="宋体"/>
          <w:color w:val="auto"/>
          <w:kern w:val="2"/>
          <w:sz w:val="24"/>
          <w:szCs w:val="24"/>
          <w:lang w:val="en-US" w:eastAsia="zh-CN"/>
        </w:rPr>
        <w:t xml:space="preserve"> </w:t>
      </w:r>
      <w:r>
        <w:rPr>
          <w:rFonts w:hint="eastAsia" w:ascii="宋体" w:hAnsi="宋体" w:eastAsia="宋体" w:cs="宋体"/>
          <w:color w:val="auto"/>
          <w:kern w:val="2"/>
          <w:sz w:val="24"/>
          <w:szCs w:val="24"/>
        </w:rPr>
        <w:t>年 月 日</w:t>
      </w:r>
    </w:p>
    <w:p w14:paraId="731EA5DB">
      <w:pPr>
        <w:spacing w:line="360" w:lineRule="auto"/>
        <w:rPr>
          <w:rStyle w:val="30"/>
          <w:rFonts w:hint="eastAsia" w:ascii="宋体" w:eastAsia="宋体" w:cs="宋体"/>
          <w:color w:val="auto"/>
          <w:sz w:val="36"/>
          <w:szCs w:val="21"/>
          <w:highlight w:val="none"/>
        </w:rPr>
      </w:pPr>
      <w:r>
        <w:rPr>
          <w:rStyle w:val="30"/>
          <w:rFonts w:hint="eastAsia" w:ascii="宋体" w:eastAsia="宋体" w:cs="宋体"/>
          <w:color w:val="auto"/>
          <w:sz w:val="36"/>
          <w:szCs w:val="21"/>
          <w:highlight w:val="none"/>
        </w:rPr>
        <w:br w:type="page"/>
      </w:r>
    </w:p>
    <w:p w14:paraId="2FA9752C">
      <w:pPr>
        <w:pStyle w:val="2"/>
        <w:jc w:val="center"/>
        <w:rPr>
          <w:rFonts w:ascii="宋体" w:eastAsia="宋体" w:cs="宋体"/>
          <w:bCs/>
          <w:color w:val="auto"/>
          <w:sz w:val="36"/>
          <w:szCs w:val="36"/>
          <w:highlight w:val="none"/>
        </w:rPr>
      </w:pPr>
      <w:bookmarkStart w:id="139" w:name="_Toc26286"/>
      <w:bookmarkStart w:id="140" w:name="_Toc4254"/>
      <w:bookmarkStart w:id="141" w:name="_Toc1119"/>
      <w:r>
        <w:rPr>
          <w:rFonts w:hint="eastAsia" w:ascii="宋体" w:eastAsia="宋体" w:cs="宋体"/>
          <w:bCs/>
          <w:color w:val="auto"/>
          <w:sz w:val="36"/>
          <w:szCs w:val="36"/>
          <w:highlight w:val="none"/>
        </w:rPr>
        <w:t>第五章  磋商内容及技术要求</w:t>
      </w:r>
      <w:bookmarkEnd w:id="139"/>
      <w:bookmarkEnd w:id="140"/>
      <w:bookmarkEnd w:id="141"/>
    </w:p>
    <w:p w14:paraId="612E2C7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topLinePunct w:val="0"/>
        <w:bidi w:val="0"/>
        <w:snapToGrid/>
        <w:spacing w:before="0" w:beforeAutospacing="0" w:after="0" w:afterAutospacing="0" w:line="360" w:lineRule="auto"/>
        <w:ind w:left="0" w:leftChars="0" w:right="0" w:rightChars="0"/>
        <w:outlineLvl w:val="9"/>
        <w:rPr>
          <w:rFonts w:hint="eastAsia" w:asciiTheme="minorEastAsia" w:hAnsiTheme="minorEastAsia" w:eastAsiaTheme="minorEastAsia" w:cstheme="minorEastAsia"/>
          <w:b w:val="0"/>
          <w:bCs w:val="0"/>
          <w:color w:val="000000"/>
          <w:sz w:val="24"/>
          <w:szCs w:val="24"/>
        </w:rPr>
      </w:pPr>
      <w:bookmarkStart w:id="142" w:name="_Toc19990"/>
      <w:r>
        <w:rPr>
          <w:rFonts w:hint="eastAsia" w:asciiTheme="minorEastAsia" w:hAnsiTheme="minorEastAsia" w:eastAsiaTheme="minorEastAsia" w:cstheme="minorEastAsia"/>
          <w:b w:val="0"/>
          <w:bCs w:val="0"/>
          <w:color w:val="000000"/>
          <w:kern w:val="0"/>
          <w:sz w:val="24"/>
          <w:szCs w:val="24"/>
          <w:lang w:val="en-US" w:eastAsia="zh-CN" w:bidi="ar"/>
        </w:rPr>
        <w:t>一、</w:t>
      </w:r>
      <w:r>
        <w:rPr>
          <w:rFonts w:hint="eastAsia" w:asciiTheme="minorEastAsia" w:hAnsiTheme="minorEastAsia" w:eastAsiaTheme="minorEastAsia" w:cstheme="minorEastAsia"/>
          <w:b w:val="0"/>
          <w:bCs w:val="0"/>
          <w:color w:val="000000"/>
          <w:sz w:val="24"/>
          <w:szCs w:val="24"/>
        </w:rPr>
        <w:t>项目</w:t>
      </w:r>
      <w:r>
        <w:rPr>
          <w:rFonts w:hint="eastAsia" w:asciiTheme="minorEastAsia" w:hAnsiTheme="minorEastAsia" w:eastAsiaTheme="minorEastAsia" w:cstheme="minorEastAsia"/>
          <w:b w:val="0"/>
          <w:bCs w:val="0"/>
          <w:color w:val="000000"/>
          <w:sz w:val="24"/>
          <w:szCs w:val="24"/>
          <w:lang w:eastAsia="zh-CN"/>
        </w:rPr>
        <w:t>概况：</w:t>
      </w:r>
      <w:bookmarkEnd w:id="142"/>
    </w:p>
    <w:tbl>
      <w:tblPr>
        <w:tblStyle w:val="2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6"/>
        <w:gridCol w:w="2196"/>
        <w:gridCol w:w="3876"/>
        <w:gridCol w:w="846"/>
        <w:gridCol w:w="1900"/>
      </w:tblGrid>
      <w:tr w14:paraId="175B3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4DB9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吉祥物及衍生品分项规格参数及最高限价</w:t>
            </w:r>
          </w:p>
        </w:tc>
      </w:tr>
      <w:tr w14:paraId="11D8E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8A8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序号</w:t>
            </w:r>
          </w:p>
        </w:tc>
        <w:tc>
          <w:tcPr>
            <w:tcW w:w="11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698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项目名称</w:t>
            </w:r>
          </w:p>
        </w:tc>
        <w:tc>
          <w:tcPr>
            <w:tcW w:w="20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022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材质规格</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8C3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单位</w:t>
            </w:r>
          </w:p>
        </w:tc>
        <w:tc>
          <w:tcPr>
            <w:tcW w:w="9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960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最高限价（元）</w:t>
            </w:r>
          </w:p>
        </w:tc>
      </w:tr>
      <w:tr w14:paraId="7E7AE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trPr>
        <w:tc>
          <w:tcPr>
            <w:tcW w:w="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6B6E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1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3BB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IP形象公仔玩偶</w:t>
            </w:r>
          </w:p>
        </w:tc>
        <w:tc>
          <w:tcPr>
            <w:tcW w:w="20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372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30cm高，面料和填充物为聚酯纤维</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34CA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9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024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47</w:t>
            </w:r>
          </w:p>
        </w:tc>
      </w:tr>
      <w:tr w14:paraId="01550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trPr>
        <w:tc>
          <w:tcPr>
            <w:tcW w:w="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817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1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A34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IP形象公仔玩偶</w:t>
            </w:r>
          </w:p>
        </w:tc>
        <w:tc>
          <w:tcPr>
            <w:tcW w:w="20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B262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45cm高，面料和填充物为聚酯纤维</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EA4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9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E77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59</w:t>
            </w:r>
          </w:p>
        </w:tc>
      </w:tr>
      <w:tr w14:paraId="37DC9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685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w:t>
            </w:r>
          </w:p>
        </w:tc>
        <w:tc>
          <w:tcPr>
            <w:tcW w:w="11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35A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IP形象公仔钥匙扣</w:t>
            </w:r>
          </w:p>
        </w:tc>
        <w:tc>
          <w:tcPr>
            <w:tcW w:w="20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F10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7cm高，材料：亚克力+pvc手腕带</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36B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9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E23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w:t>
            </w:r>
          </w:p>
        </w:tc>
      </w:tr>
      <w:tr w14:paraId="0F06D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EF76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11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8E6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玩偶服</w:t>
            </w:r>
          </w:p>
        </w:tc>
        <w:tc>
          <w:tcPr>
            <w:tcW w:w="20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5B6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成人可穿，加厚仿醋酸锻</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C6B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9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E21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1600</w:t>
            </w:r>
          </w:p>
        </w:tc>
      </w:tr>
      <w:tr w14:paraId="26CAA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369F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w:t>
            </w:r>
          </w:p>
        </w:tc>
        <w:tc>
          <w:tcPr>
            <w:tcW w:w="11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F88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玩偶头套</w:t>
            </w:r>
          </w:p>
        </w:tc>
        <w:tc>
          <w:tcPr>
            <w:tcW w:w="20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EC2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成人可穿，毛绒材质填充pp棉</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4C0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9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D29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1600</w:t>
            </w:r>
          </w:p>
        </w:tc>
      </w:tr>
      <w:tr w14:paraId="07ABB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355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68C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单价限价合计</w:t>
            </w:r>
          </w:p>
        </w:tc>
        <w:tc>
          <w:tcPr>
            <w:tcW w:w="144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E7D5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3312</w:t>
            </w:r>
          </w:p>
        </w:tc>
      </w:tr>
    </w:tbl>
    <w:p w14:paraId="7985A22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napToGrid/>
        <w:spacing w:before="0" w:beforeAutospacing="0" w:after="0" w:afterAutospacing="0" w:line="360" w:lineRule="auto"/>
        <w:ind w:left="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二、服务内容</w:t>
      </w:r>
    </w:p>
    <w:p w14:paraId="2D0A3259">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服务范围为西安市儿童医院指定全域区域，提供医院原创IP形象衍生品的打样、批量生产、配送交付、现场安装、场地清理及配套增值服务，核心定制产品包含：30cmIP公仔、45cmIP公仔、7cmIP钥匙扣、成人IP玩偶服</w:t>
      </w:r>
      <w:r>
        <w:rPr>
          <w:rFonts w:hint="eastAsia" w:asciiTheme="minorEastAsia" w:hAnsiTheme="minorEastAsia" w:eastAsiaTheme="minorEastAsia" w:cstheme="minorEastAsia"/>
          <w:sz w:val="24"/>
          <w:szCs w:val="24"/>
          <w:lang w:eastAsia="zh-CN"/>
        </w:rPr>
        <w:t>和玩偶头套</w:t>
      </w:r>
      <w:r>
        <w:rPr>
          <w:rFonts w:hint="eastAsia" w:asciiTheme="minorEastAsia" w:hAnsiTheme="minorEastAsia" w:eastAsiaTheme="minorEastAsia" w:cstheme="minorEastAsia"/>
          <w:sz w:val="24"/>
          <w:szCs w:val="24"/>
        </w:rPr>
        <w:t>。所有产品均融入医院专属IP形象，贴合医院视觉体系。</w:t>
      </w:r>
    </w:p>
    <w:p w14:paraId="174C6317">
      <w:pPr>
        <w:keepNext w:val="0"/>
        <w:keepLines w:val="0"/>
        <w:widowControl/>
        <w:suppressLineNumbers w:val="0"/>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w:t>
      </w:r>
      <w:r>
        <w:rPr>
          <w:rFonts w:hint="eastAsia" w:asciiTheme="minorEastAsia" w:hAnsiTheme="minorEastAsia" w:eastAsiaTheme="minorEastAsia" w:cstheme="minorEastAsia"/>
          <w:sz w:val="24"/>
          <w:szCs w:val="24"/>
          <w:lang w:eastAsia="zh-CN"/>
        </w:rPr>
        <w:t>五</w:t>
      </w:r>
      <w:r>
        <w:rPr>
          <w:rFonts w:hint="eastAsia" w:asciiTheme="minorEastAsia" w:hAnsiTheme="minorEastAsia" w:eastAsiaTheme="minorEastAsia" w:cstheme="minorEastAsia"/>
          <w:sz w:val="24"/>
          <w:szCs w:val="24"/>
        </w:rPr>
        <w:t>类实体衍生品定制制作标准</w:t>
      </w:r>
    </w:p>
    <w:p w14:paraId="5344D9D6">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 30cm IP形象公仔玩偶</w:t>
      </w:r>
    </w:p>
    <w:p w14:paraId="08A5D45E">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采用高品质聚酯纤维面料与填充棉，柔软亲肤、不掉毛、抗起球、不变形。五官采用环保刺绣工艺，无胶印烫画、无异味，全锁边缝合，无尖锐配件，符合儿童使用安全标准。适用于院内</w:t>
      </w:r>
      <w:r>
        <w:rPr>
          <w:rFonts w:hint="eastAsia" w:asciiTheme="minorEastAsia" w:hAnsiTheme="minorEastAsia" w:eastAsiaTheme="minorEastAsia" w:cstheme="minorEastAsia"/>
          <w:sz w:val="24"/>
          <w:szCs w:val="24"/>
          <w:lang w:eastAsia="zh-CN"/>
        </w:rPr>
        <w:t>特殊节日</w:t>
      </w:r>
      <w:r>
        <w:rPr>
          <w:rFonts w:hint="eastAsia" w:asciiTheme="minorEastAsia" w:hAnsiTheme="minorEastAsia" w:eastAsiaTheme="minorEastAsia" w:cstheme="minorEastAsia"/>
          <w:sz w:val="24"/>
          <w:szCs w:val="24"/>
        </w:rPr>
        <w:t>礼品派发、患儿纪念等场景。</w:t>
      </w:r>
    </w:p>
    <w:p w14:paraId="79248F55">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 45cm IP形象公仔玩偶</w:t>
      </w:r>
    </w:p>
    <w:p w14:paraId="58E9BC61">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大号陈列款，采用加厚耐磨面料与高密度填充，抗晒抗老化、支撑性强。整体精密电脑刺绣，色彩均匀不脱线，双线加固做工。适配门诊大厅、活动区静态陈列、公益展示等场景，符合儿童安全标准。</w:t>
      </w:r>
    </w:p>
    <w:p w14:paraId="2C18BDCE">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 7cm IP形象钥匙扣</w:t>
      </w:r>
    </w:p>
    <w:p w14:paraId="4ED26DAB">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亚克力主体+PVC环保手腕带，柔韧耐用、防水防刮。高清还原IP形象，色彩纯正、持久不褪色，通体圆润无尖角、无毛刺。体积小巧，适用于门诊伴手礼、出院纪念、箱包挂件等全年龄段使用场景。</w:t>
      </w:r>
    </w:p>
    <w:p w14:paraId="0867EBE5">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 成人IP形象玩偶服</w:t>
      </w:r>
    </w:p>
    <w:p w14:paraId="6D70E897">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1:1还原医院IP形象，成人适配尺码，面料</w:t>
      </w:r>
      <w:r>
        <w:rPr>
          <w:rFonts w:hint="eastAsia" w:asciiTheme="minorEastAsia" w:hAnsiTheme="minorEastAsia" w:eastAsiaTheme="minorEastAsia" w:cstheme="minorEastAsia"/>
          <w:sz w:val="24"/>
          <w:szCs w:val="24"/>
          <w:lang w:eastAsia="zh-CN"/>
        </w:rPr>
        <w:t>采用高品质加厚仿醋酸锻，垂坠感优秀，大拖尾下摆平整铺开，抗皱</w:t>
      </w:r>
      <w:r>
        <w:rPr>
          <w:rFonts w:hint="eastAsia" w:asciiTheme="minorEastAsia" w:hAnsiTheme="minorEastAsia" w:eastAsiaTheme="minorEastAsia" w:cstheme="minorEastAsia"/>
          <w:sz w:val="24"/>
          <w:szCs w:val="24"/>
        </w:rPr>
        <w:t>透气、亲肤不闷汗，版型宽松、活动无束缚</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缝线牢固、配饰完整无脱落隐患。适配院内公益活动、亲子互动、节日主题活动等场景。</w:t>
      </w:r>
    </w:p>
    <w:p w14:paraId="684CB4C7">
      <w:pPr>
        <w:keepNext w:val="0"/>
        <w:keepLines w:val="0"/>
        <w:widowControl/>
        <w:numPr>
          <w:ilvl w:val="0"/>
          <w:numId w:val="7"/>
        </w:numPr>
        <w:suppressLineNumbers w:val="0"/>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成人IP形象</w:t>
      </w:r>
      <w:r>
        <w:rPr>
          <w:rFonts w:hint="eastAsia" w:asciiTheme="minorEastAsia" w:hAnsiTheme="minorEastAsia" w:eastAsiaTheme="minorEastAsia" w:cstheme="minorEastAsia"/>
          <w:sz w:val="24"/>
          <w:szCs w:val="24"/>
          <w:lang w:eastAsia="zh-CN"/>
        </w:rPr>
        <w:t>玩偶头套</w:t>
      </w:r>
    </w:p>
    <w:p w14:paraId="5359E956">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1:1还原医院IP形象，成人适配尺码，</w:t>
      </w:r>
      <w:r>
        <w:rPr>
          <w:rFonts w:hint="eastAsia" w:asciiTheme="minorEastAsia" w:hAnsiTheme="minorEastAsia" w:eastAsiaTheme="minorEastAsia" w:cstheme="minorEastAsia"/>
          <w:sz w:val="24"/>
          <w:szCs w:val="24"/>
          <w:lang w:eastAsia="zh-CN"/>
        </w:rPr>
        <w:t>采用毛绒材质填充</w:t>
      </w:r>
      <w:r>
        <w:rPr>
          <w:rFonts w:hint="eastAsia" w:asciiTheme="minorEastAsia" w:hAnsiTheme="minorEastAsia" w:eastAsiaTheme="minorEastAsia" w:cstheme="minorEastAsia"/>
          <w:sz w:val="24"/>
          <w:szCs w:val="24"/>
          <w:lang w:val="en-US" w:eastAsia="zh-CN"/>
        </w:rPr>
        <w:t>PP棉，重量轻便方便佩戴。</w:t>
      </w:r>
      <w:r>
        <w:rPr>
          <w:rFonts w:hint="eastAsia" w:asciiTheme="minorEastAsia" w:hAnsiTheme="minorEastAsia" w:eastAsiaTheme="minorEastAsia" w:cstheme="minorEastAsia"/>
          <w:sz w:val="24"/>
          <w:szCs w:val="24"/>
        </w:rPr>
        <w:t>适配院内公益活动、亲子互动、节日主题活动等场景。</w:t>
      </w:r>
    </w:p>
    <w:p w14:paraId="02AC71AB">
      <w:pPr>
        <w:keepNext w:val="0"/>
        <w:keepLines w:val="0"/>
        <w:widowControl/>
        <w:suppressLineNumbers w:val="0"/>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（二）配送安装及场地清理服务</w:t>
      </w:r>
    </w:p>
    <w:p w14:paraId="10F37F0F">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 送货交付：所有产品分类防护包装，配送至院内指定点位，到货后逐件清点核验，确保无破损、无遗漏、完整交付。</w:t>
      </w:r>
    </w:p>
    <w:p w14:paraId="7087B6A5">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 场地清理：配送全程防护院内设施，避免划伤、污染；所有包装垃圾、杂物由供应商全额清运，做到工完场清，经院方查验合格后方可完工。</w:t>
      </w:r>
    </w:p>
    <w:p w14:paraId="1C380450">
      <w:pPr>
        <w:keepNext w:val="0"/>
        <w:keepLines w:val="0"/>
        <w:widowControl/>
        <w:suppressLineNumbers w:val="0"/>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（三）配套免费增值服务</w:t>
      </w:r>
    </w:p>
    <w:p w14:paraId="6E98F4AA">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全品类免费打样：免费提供产品效果图、尺寸图、工艺施工图，</w:t>
      </w:r>
      <w:r>
        <w:rPr>
          <w:rFonts w:hint="eastAsia" w:asciiTheme="minorEastAsia" w:hAnsiTheme="minorEastAsia" w:eastAsiaTheme="minorEastAsia" w:cstheme="minorEastAsia"/>
          <w:sz w:val="24"/>
          <w:szCs w:val="24"/>
          <w:lang w:eastAsia="zh-CN"/>
        </w:rPr>
        <w:t>五</w:t>
      </w:r>
      <w:r>
        <w:rPr>
          <w:rFonts w:hint="eastAsia" w:asciiTheme="minorEastAsia" w:hAnsiTheme="minorEastAsia" w:eastAsiaTheme="minorEastAsia" w:cstheme="minorEastAsia"/>
          <w:sz w:val="24"/>
          <w:szCs w:val="24"/>
        </w:rPr>
        <w:t>类产品全部实物打样，打样费用包干，无额外收费。</w:t>
      </w:r>
    </w:p>
    <w:p w14:paraId="78B89FAC">
      <w:pPr>
        <w:keepNext w:val="0"/>
        <w:keepLines w:val="0"/>
        <w:widowControl/>
        <w:suppressLineNumbers w:val="0"/>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三、技术要求</w:t>
      </w:r>
    </w:p>
    <w:p w14:paraId="68202700">
      <w:pPr>
        <w:keepNext w:val="0"/>
        <w:keepLines w:val="0"/>
        <w:widowControl/>
        <w:suppressLineNumbers w:val="0"/>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（一）IP形象标准</w:t>
      </w:r>
    </w:p>
    <w:p w14:paraId="6BC405C5">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整体风格童趣治愈、柔和安全，无尖锐、暗沉元素。支持多尺寸精准缩放，五官、身形核心比例统一，细节、配色、风格完全贴合医院</w:t>
      </w:r>
      <w:r>
        <w:rPr>
          <w:rFonts w:hint="eastAsia" w:asciiTheme="minorEastAsia" w:hAnsiTheme="minorEastAsia" w:eastAsiaTheme="minorEastAsia" w:cstheme="minorEastAsia"/>
          <w:sz w:val="24"/>
          <w:szCs w:val="24"/>
          <w:lang w:val="en-US" w:eastAsia="zh-CN"/>
        </w:rPr>
        <w:t>IP形象</w:t>
      </w:r>
      <w:r>
        <w:rPr>
          <w:rFonts w:hint="eastAsia" w:asciiTheme="minorEastAsia" w:hAnsiTheme="minorEastAsia" w:eastAsiaTheme="minorEastAsia" w:cstheme="minorEastAsia"/>
          <w:sz w:val="24"/>
          <w:szCs w:val="24"/>
        </w:rPr>
        <w:t>，适配全品类产品落地。</w:t>
      </w:r>
    </w:p>
    <w:p w14:paraId="17D04CDF">
      <w:pPr>
        <w:keepNext w:val="0"/>
        <w:keepLines w:val="0"/>
        <w:widowControl/>
        <w:suppressLineNumbers w:val="0"/>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（二）方案调整响应要求</w:t>
      </w:r>
    </w:p>
    <w:p w14:paraId="44E52A77">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全程主动对接院方需求，积极响应合理修改意见，不限合理修改次数，限时出具优化方案，直至院方书面定稿，精准优化产品造型、配色、刺绣、版型、工艺等细节。</w:t>
      </w:r>
    </w:p>
    <w:p w14:paraId="7DEE83FE">
      <w:pPr>
        <w:keepNext w:val="0"/>
        <w:keepLines w:val="0"/>
        <w:widowControl/>
        <w:suppressLineNumbers w:val="0"/>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（三）材质工艺硬性标准</w:t>
      </w:r>
    </w:p>
    <w:p w14:paraId="286F0095">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毛绒公仔严格执行GB 31701婴幼儿及儿童纺织产品A类安全标准，可提供质检报告，甲醛、重金属等有害物质合规。钥匙扣亚克力无气泡裂纹、色彩均匀，PVC腕带环保无毒；成人玩偶服面料合规、工艺严谨，符合成人穿戴安全标准。</w:t>
      </w:r>
    </w:p>
    <w:p w14:paraId="61A53AE8">
      <w:pPr>
        <w:keepNext w:val="0"/>
        <w:keepLines w:val="0"/>
        <w:widowControl/>
        <w:suppressLineNumbers w:val="0"/>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（四）知识产权要求</w:t>
      </w:r>
    </w:p>
    <w:p w14:paraId="7948FA7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所有成果著作权、使用权验收后归西安市儿童医院独家永久所有，供应商不得商用、复用或转借第三方。版权纠纷引发的所有损失与责任由供应商承担。交付时需移交全套三视图、分层源文件、工艺图、效果图等资料，供院方存档复用。</w:t>
      </w:r>
    </w:p>
    <w:p w14:paraId="29C954D8">
      <w:pPr>
        <w:keepNext w:val="0"/>
        <w:keepLines w:val="0"/>
        <w:widowControl/>
        <w:suppressLineNumbers w:val="0"/>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四、服务要求</w:t>
      </w:r>
    </w:p>
    <w:p w14:paraId="69CFED7B">
      <w:pPr>
        <w:keepNext w:val="0"/>
        <w:keepLines w:val="0"/>
        <w:widowControl/>
        <w:suppressLineNumbers w:val="0"/>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（一）人员对接要求</w:t>
      </w:r>
    </w:p>
    <w:p w14:paraId="0B68A1F8">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组建专属项目团队，设置固定对接人，专属对接医院，工作日2小时内响应需求，全程同步项目进度，人员调整需提前报备交接。配备资深文创IP设计师，具备儿童文创、玩偶定制同类项目经验，严禁擅自更改产品规格、配色、材质、工艺。</w:t>
      </w:r>
    </w:p>
    <w:p w14:paraId="704BC57E">
      <w:pPr>
        <w:keepNext w:val="0"/>
        <w:keepLines w:val="0"/>
        <w:widowControl/>
        <w:suppressLineNumbers w:val="0"/>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（二）样品及成品标准</w:t>
      </w:r>
    </w:p>
    <w:p w14:paraId="31A52E11">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批量生产前需提供全品类实物样品、样衣供院方审核确认，样品费用包干。批量成品必须与确认样品完全一致，存在瑕疵、偏差、降级问题无条件免费重做更换，院方有权拒收不合格产品。</w:t>
      </w:r>
    </w:p>
    <w:p w14:paraId="0D6E7937">
      <w:pPr>
        <w:keepNext w:val="0"/>
        <w:keepLines w:val="0"/>
        <w:widowControl/>
        <w:suppressLineNumbers w:val="0"/>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五、商务要求</w:t>
      </w:r>
    </w:p>
    <w:p w14:paraId="0588BD6C">
      <w:pPr>
        <w:keepNext w:val="0"/>
        <w:keepLines w:val="0"/>
        <w:widowControl/>
        <w:suppressLineNumbers w:val="0"/>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（一）服务期限</w:t>
      </w:r>
    </w:p>
    <w:p w14:paraId="56BAB615">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收到中标通知书后25个工作日内完成全套产品效果图、尺寸图、工艺图设计并通过院方定稿，后续按约定周期完成打样、生产、配送、安装全流程交付。</w:t>
      </w:r>
    </w:p>
    <w:p w14:paraId="702C97A6">
      <w:pPr>
        <w:keepNext w:val="0"/>
        <w:keepLines w:val="0"/>
        <w:widowControl/>
        <w:suppressLineNumbers w:val="0"/>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（二）报价包干说明</w:t>
      </w:r>
    </w:p>
    <w:p w14:paraId="0F8BF634">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本项目为全费用包干价，包含</w:t>
      </w:r>
      <w:r>
        <w:rPr>
          <w:rFonts w:hint="eastAsia" w:asciiTheme="minorEastAsia" w:hAnsiTheme="minorEastAsia" w:eastAsiaTheme="minorEastAsia" w:cstheme="minorEastAsia"/>
          <w:sz w:val="24"/>
          <w:szCs w:val="24"/>
          <w:lang w:eastAsia="zh-CN"/>
        </w:rPr>
        <w:t>设计</w:t>
      </w:r>
      <w:r>
        <w:rPr>
          <w:rFonts w:hint="eastAsia" w:asciiTheme="minorEastAsia" w:hAnsiTheme="minorEastAsia" w:eastAsiaTheme="minorEastAsia" w:cstheme="minorEastAsia"/>
          <w:sz w:val="24"/>
          <w:szCs w:val="24"/>
        </w:rPr>
        <w:t>打样、开版制版、原材料、生产加工、包装运输、安装清运、税费、售后维保等全部费用，无隐形收费、无二次加价。</w:t>
      </w:r>
    </w:p>
    <w:p w14:paraId="2502FA79">
      <w:pPr>
        <w:keepNext w:val="0"/>
        <w:keepLines w:val="0"/>
        <w:widowControl/>
        <w:suppressLineNumbers w:val="0"/>
        <w:spacing w:line="360"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（三）验收与结</w:t>
      </w:r>
      <w:r>
        <w:rPr>
          <w:rFonts w:hint="eastAsia" w:asciiTheme="minorEastAsia" w:hAnsiTheme="minorEastAsia" w:eastAsiaTheme="minorEastAsia" w:cstheme="minorEastAsia"/>
          <w:sz w:val="24"/>
          <w:szCs w:val="24"/>
          <w:highlight w:val="none"/>
        </w:rPr>
        <w:t>算</w:t>
      </w:r>
    </w:p>
    <w:p w14:paraId="139D66F7">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1. 分阶段验收：</w:t>
      </w:r>
      <w:r>
        <w:rPr>
          <w:rFonts w:hint="eastAsia" w:asciiTheme="minorEastAsia" w:hAnsiTheme="minorEastAsia" w:eastAsiaTheme="minorEastAsia" w:cstheme="minorEastAsia"/>
          <w:sz w:val="24"/>
          <w:szCs w:val="24"/>
          <w:highlight w:val="none"/>
          <w:lang w:eastAsia="zh-CN"/>
        </w:rPr>
        <w:t>收到货后</w:t>
      </w:r>
      <w:r>
        <w:rPr>
          <w:rFonts w:hint="eastAsia" w:asciiTheme="minorEastAsia" w:hAnsiTheme="minorEastAsia" w:eastAsiaTheme="minorEastAsia" w:cstheme="minorEastAsia"/>
          <w:sz w:val="24"/>
          <w:szCs w:val="24"/>
          <w:highlight w:val="none"/>
          <w:lang w:val="en-US" w:eastAsia="zh-CN"/>
        </w:rPr>
        <w:t>10个工作日内验收，</w:t>
      </w:r>
      <w:r>
        <w:rPr>
          <w:rFonts w:hint="eastAsia" w:asciiTheme="minorEastAsia" w:hAnsiTheme="minorEastAsia" w:eastAsiaTheme="minorEastAsia" w:cstheme="minorEastAsia"/>
          <w:sz w:val="24"/>
          <w:szCs w:val="24"/>
          <w:highlight w:val="none"/>
        </w:rPr>
        <w:t>依次完成设计方案、样品、批量成品、安装竣工验收，不合格产品无条件免费整改、补货、重做</w:t>
      </w:r>
      <w:r>
        <w:rPr>
          <w:rFonts w:hint="eastAsia" w:asciiTheme="minorEastAsia" w:hAnsiTheme="minorEastAsia" w:eastAsiaTheme="minorEastAsia" w:cstheme="minorEastAsia"/>
          <w:sz w:val="24"/>
          <w:szCs w:val="24"/>
          <w:highlight w:val="none"/>
          <w:lang w:val="en-US" w:eastAsia="zh-CN"/>
        </w:rPr>
        <w:t>。</w:t>
      </w:r>
    </w:p>
    <w:p w14:paraId="76876E7E">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 </w:t>
      </w:r>
      <w:r>
        <w:rPr>
          <w:rFonts w:hint="eastAsia" w:asciiTheme="minorEastAsia" w:hAnsiTheme="minorEastAsia" w:eastAsiaTheme="minorEastAsia" w:cstheme="minorEastAsia"/>
          <w:sz w:val="24"/>
          <w:szCs w:val="24"/>
          <w:highlight w:val="none"/>
          <w:lang w:eastAsia="zh-CN"/>
        </w:rPr>
        <w:t>付款方式</w:t>
      </w:r>
      <w:r>
        <w:rPr>
          <w:rFonts w:hint="eastAsia" w:asciiTheme="minorEastAsia" w:hAnsiTheme="minorEastAsia" w:eastAsiaTheme="minorEastAsia" w:cstheme="minorEastAsia"/>
          <w:sz w:val="24"/>
          <w:szCs w:val="24"/>
          <w:highlight w:val="none"/>
        </w:rPr>
        <w:t>：验收合格</w:t>
      </w:r>
      <w:r>
        <w:rPr>
          <w:rFonts w:hint="eastAsia" w:asciiTheme="minorEastAsia" w:hAnsiTheme="minorEastAsia" w:eastAsiaTheme="minorEastAsia" w:cstheme="minorEastAsia"/>
          <w:sz w:val="24"/>
          <w:szCs w:val="24"/>
          <w:highlight w:val="none"/>
          <w:lang w:eastAsia="zh-CN"/>
        </w:rPr>
        <w:t>后</w:t>
      </w:r>
      <w:r>
        <w:rPr>
          <w:rFonts w:hint="eastAsia" w:asciiTheme="minorEastAsia" w:hAnsiTheme="minorEastAsia" w:eastAsiaTheme="minorEastAsia" w:cstheme="minorEastAsia"/>
          <w:sz w:val="24"/>
          <w:szCs w:val="24"/>
          <w:highlight w:val="none"/>
          <w:lang w:val="en-US" w:eastAsia="zh-CN"/>
        </w:rPr>
        <w:t>20个工作日内</w:t>
      </w:r>
      <w:r>
        <w:rPr>
          <w:rFonts w:hint="eastAsia" w:asciiTheme="minorEastAsia" w:hAnsiTheme="minorEastAsia" w:eastAsiaTheme="minorEastAsia" w:cstheme="minorEastAsia"/>
          <w:sz w:val="24"/>
          <w:szCs w:val="24"/>
          <w:highlight w:val="none"/>
          <w:lang w:eastAsia="zh-CN"/>
        </w:rPr>
        <w:t>按照</w:t>
      </w:r>
      <w:r>
        <w:rPr>
          <w:rFonts w:hint="eastAsia" w:asciiTheme="minorEastAsia" w:hAnsiTheme="minorEastAsia" w:eastAsiaTheme="minorEastAsia" w:cstheme="minorEastAsia"/>
          <w:sz w:val="24"/>
          <w:szCs w:val="24"/>
          <w:highlight w:val="none"/>
        </w:rPr>
        <w:t>中标单价</w:t>
      </w:r>
      <w:r>
        <w:rPr>
          <w:rFonts w:hint="eastAsia" w:asciiTheme="minorEastAsia" w:hAnsiTheme="minorEastAsia" w:eastAsiaTheme="minorEastAsia" w:cstheme="minorEastAsia"/>
          <w:kern w:val="2"/>
          <w:sz w:val="24"/>
          <w:szCs w:val="24"/>
          <w:highlight w:val="none"/>
        </w:rPr>
        <w:t>及实际验收合格数量</w:t>
      </w:r>
      <w:r>
        <w:rPr>
          <w:rFonts w:hint="eastAsia" w:asciiTheme="minorEastAsia" w:hAnsiTheme="minorEastAsia" w:eastAsiaTheme="minorEastAsia" w:cstheme="minorEastAsia"/>
          <w:sz w:val="24"/>
          <w:szCs w:val="24"/>
          <w:highlight w:val="none"/>
          <w:lang w:eastAsia="zh-CN"/>
        </w:rPr>
        <w:t>进行</w:t>
      </w:r>
      <w:r>
        <w:rPr>
          <w:rFonts w:hint="eastAsia" w:asciiTheme="minorEastAsia" w:hAnsiTheme="minorEastAsia" w:eastAsiaTheme="minorEastAsia" w:cstheme="minorEastAsia"/>
          <w:sz w:val="24"/>
          <w:szCs w:val="24"/>
          <w:highlight w:val="none"/>
        </w:rPr>
        <w:t>据实结算</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kern w:val="2"/>
          <w:sz w:val="24"/>
          <w:szCs w:val="24"/>
          <w:highlight w:val="none"/>
        </w:rPr>
        <w:t>甲方一次性支付实际结算费用总额的</w:t>
      </w:r>
      <w:r>
        <w:rPr>
          <w:rFonts w:hint="eastAsia" w:asciiTheme="minorEastAsia" w:hAnsiTheme="minorEastAsia" w:eastAsiaTheme="minorEastAsia" w:cstheme="minorEastAsia"/>
          <w:kern w:val="2"/>
          <w:sz w:val="24"/>
          <w:szCs w:val="24"/>
          <w:highlight w:val="none"/>
          <w:lang w:val="en-US" w:eastAsia="zh-CN"/>
        </w:rPr>
        <w:t>97</w:t>
      </w:r>
      <w:r>
        <w:rPr>
          <w:rFonts w:hint="eastAsia" w:asciiTheme="minorEastAsia" w:hAnsiTheme="minorEastAsia" w:eastAsiaTheme="minorEastAsia" w:cstheme="minorEastAsia"/>
          <w:kern w:val="2"/>
          <w:sz w:val="24"/>
          <w:szCs w:val="24"/>
          <w:highlight w:val="none"/>
        </w:rPr>
        <w:t>%，留存</w:t>
      </w:r>
      <w:r>
        <w:rPr>
          <w:rFonts w:hint="eastAsia" w:asciiTheme="minorEastAsia" w:hAnsiTheme="minorEastAsia" w:eastAsiaTheme="minorEastAsia" w:cstheme="minorEastAsia"/>
          <w:kern w:val="2"/>
          <w:sz w:val="24"/>
          <w:szCs w:val="24"/>
          <w:highlight w:val="none"/>
          <w:lang w:val="en-US" w:eastAsia="zh-CN"/>
        </w:rPr>
        <w:t>3</w:t>
      </w:r>
      <w:r>
        <w:rPr>
          <w:rFonts w:hint="eastAsia" w:asciiTheme="minorEastAsia" w:hAnsiTheme="minorEastAsia" w:eastAsiaTheme="minorEastAsia" w:cstheme="minorEastAsia"/>
          <w:kern w:val="2"/>
          <w:sz w:val="24"/>
          <w:szCs w:val="24"/>
          <w:highlight w:val="none"/>
        </w:rPr>
        <w:t>%作为尾款，质保期</w:t>
      </w:r>
      <w:r>
        <w:rPr>
          <w:rFonts w:hint="eastAsia" w:asciiTheme="minorEastAsia" w:hAnsiTheme="minorEastAsia" w:eastAsiaTheme="minorEastAsia" w:cstheme="minorEastAsia"/>
          <w:kern w:val="2"/>
          <w:sz w:val="24"/>
          <w:szCs w:val="24"/>
          <w:highlight w:val="none"/>
          <w:lang w:val="en-US" w:eastAsia="zh-CN"/>
        </w:rPr>
        <w:t>1年</w:t>
      </w:r>
      <w:r>
        <w:rPr>
          <w:rFonts w:hint="eastAsia" w:asciiTheme="minorEastAsia" w:hAnsiTheme="minorEastAsia" w:eastAsiaTheme="minorEastAsia" w:cstheme="minorEastAsia"/>
          <w:kern w:val="2"/>
          <w:sz w:val="24"/>
          <w:szCs w:val="24"/>
          <w:highlight w:val="none"/>
        </w:rPr>
        <w:t>满后无质量问题免息付清</w:t>
      </w:r>
      <w:r>
        <w:rPr>
          <w:rFonts w:hint="eastAsia" w:asciiTheme="minorEastAsia" w:hAnsiTheme="minorEastAsia" w:eastAsiaTheme="minorEastAsia" w:cstheme="minorEastAsia"/>
          <w:sz w:val="24"/>
          <w:szCs w:val="24"/>
          <w:highlight w:val="none"/>
        </w:rPr>
        <w:t>，总价款不超20万元预算上限。</w:t>
      </w:r>
    </w:p>
    <w:p w14:paraId="78032680">
      <w:pPr>
        <w:keepNext w:val="0"/>
        <w:keepLines w:val="0"/>
        <w:widowControl/>
        <w:suppressLineNumbers w:val="0"/>
        <w:spacing w:line="360"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（四）售后服务</w:t>
      </w:r>
    </w:p>
    <w:p w14:paraId="22213833">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自</w:t>
      </w:r>
      <w:r>
        <w:rPr>
          <w:rFonts w:hint="eastAsia" w:asciiTheme="minorEastAsia" w:hAnsiTheme="minorEastAsia" w:eastAsiaTheme="minorEastAsia" w:cstheme="minorEastAsia"/>
          <w:sz w:val="24"/>
          <w:szCs w:val="24"/>
        </w:rPr>
        <w:t>验收合格当日起</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年内，</w:t>
      </w:r>
      <w:r>
        <w:rPr>
          <w:rFonts w:hint="eastAsia" w:asciiTheme="minorEastAsia" w:hAnsiTheme="minorEastAsia" w:eastAsiaTheme="minorEastAsia" w:cstheme="minorEastAsia"/>
          <w:sz w:val="24"/>
          <w:szCs w:val="24"/>
        </w:rPr>
        <w:t>全程免费维修、补发、更换：</w:t>
      </w:r>
    </w:p>
    <w:p w14:paraId="3B7994E2">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 毛绒公仔：非人为掉毛、开线、脱绣、变形、破损等问题免费返修重做；</w:t>
      </w:r>
    </w:p>
    <w:p w14:paraId="509E90C5">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 钥匙扣：非人为开裂、掉色、腕带断裂、配件脱落免费换新；</w:t>
      </w:r>
    </w:p>
    <w:p w14:paraId="05A02FB9">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 玩偶服：非人为开线、破损、配饰脱落、版型变形免费修补更换；</w:t>
      </w:r>
    </w:p>
    <w:p w14:paraId="41AA2C36">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4. 玩偶</w:t>
      </w:r>
      <w:r>
        <w:rPr>
          <w:rFonts w:hint="eastAsia" w:asciiTheme="minorEastAsia" w:hAnsiTheme="minorEastAsia" w:eastAsiaTheme="minorEastAsia" w:cstheme="minorEastAsia"/>
          <w:sz w:val="24"/>
          <w:szCs w:val="24"/>
          <w:lang w:eastAsia="zh-CN"/>
        </w:rPr>
        <w:t>头套：</w:t>
      </w:r>
      <w:r>
        <w:rPr>
          <w:rFonts w:hint="eastAsia" w:asciiTheme="minorEastAsia" w:hAnsiTheme="minorEastAsia" w:eastAsiaTheme="minorEastAsia" w:cstheme="minorEastAsia"/>
          <w:sz w:val="24"/>
          <w:szCs w:val="24"/>
        </w:rPr>
        <w:t>非人为开线、破损、配饰脱落、版型变形免费修补更换；</w:t>
      </w:r>
    </w:p>
    <w:p w14:paraId="1711359A">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5. </w:t>
      </w:r>
      <w:r>
        <w:rPr>
          <w:rFonts w:hint="eastAsia" w:asciiTheme="minorEastAsia" w:hAnsiTheme="minorEastAsia" w:eastAsiaTheme="minorEastAsia" w:cstheme="minorEastAsia"/>
          <w:sz w:val="24"/>
          <w:szCs w:val="24"/>
        </w:rPr>
        <w:t>设立专属售后对接人，建立售后台账，全程可追溯，紧急问题优先加急处理。</w:t>
      </w:r>
    </w:p>
    <w:p w14:paraId="158BC46D">
      <w:pPr>
        <w:keepNext w:val="0"/>
        <w:keepLines w:val="0"/>
        <w:widowControl/>
        <w:suppressLineNumbers w:val="0"/>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六、其他要求</w:t>
      </w:r>
    </w:p>
    <w:p w14:paraId="262C2658">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一</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履约全程提交图纸、质检报告、源文件、验收资料、售后台账等全套资料供院方存档。</w:t>
      </w:r>
    </w:p>
    <w:p w14:paraId="00F0B4D9">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（二）增值技术指导</w:t>
      </w:r>
    </w:p>
    <w:p w14:paraId="1414F85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根据我院</w:t>
      </w:r>
      <w:r>
        <w:rPr>
          <w:rFonts w:hint="eastAsia" w:asciiTheme="minorEastAsia" w:hAnsiTheme="minorEastAsia" w:eastAsiaTheme="minorEastAsia" w:cstheme="minorEastAsia"/>
          <w:sz w:val="24"/>
          <w:szCs w:val="24"/>
        </w:rPr>
        <w:t>IP后续衍生开发、复用优化等</w:t>
      </w:r>
      <w:r>
        <w:rPr>
          <w:rFonts w:hint="eastAsia" w:asciiTheme="minorEastAsia" w:hAnsiTheme="minorEastAsia" w:eastAsiaTheme="minorEastAsia" w:cstheme="minorEastAsia"/>
          <w:sz w:val="24"/>
          <w:szCs w:val="24"/>
          <w:lang w:eastAsia="zh-CN"/>
        </w:rPr>
        <w:t>情况给予后期技术指导</w:t>
      </w:r>
      <w:r>
        <w:rPr>
          <w:rFonts w:hint="eastAsia" w:asciiTheme="minorEastAsia" w:hAnsiTheme="minorEastAsia" w:eastAsiaTheme="minorEastAsia" w:cstheme="minorEastAsia"/>
          <w:sz w:val="24"/>
          <w:szCs w:val="24"/>
        </w:rPr>
        <w:t>。</w:t>
      </w:r>
    </w:p>
    <w:p w14:paraId="2FC0A5E0">
      <w:pPr>
        <w:rPr>
          <w:rStyle w:val="30"/>
          <w:rFonts w:hint="eastAsia" w:ascii="宋体" w:eastAsia="宋体" w:cs="宋体"/>
          <w:color w:val="auto"/>
          <w:sz w:val="36"/>
          <w:szCs w:val="21"/>
          <w:highlight w:val="none"/>
        </w:rPr>
      </w:pPr>
      <w:r>
        <w:rPr>
          <w:rStyle w:val="30"/>
          <w:rFonts w:hint="eastAsia" w:ascii="宋体" w:eastAsia="宋体" w:cs="宋体"/>
          <w:color w:val="auto"/>
          <w:sz w:val="36"/>
          <w:szCs w:val="21"/>
          <w:highlight w:val="none"/>
        </w:rPr>
        <w:br w:type="page"/>
      </w:r>
    </w:p>
    <w:p w14:paraId="2ABB4366">
      <w:pPr>
        <w:tabs>
          <w:tab w:val="left" w:pos="480"/>
        </w:tabs>
        <w:spacing w:line="360" w:lineRule="auto"/>
        <w:jc w:val="center"/>
        <w:outlineLvl w:val="0"/>
        <w:rPr>
          <w:rFonts w:hAnsi="宋体" w:cs="宋体"/>
          <w:bCs/>
          <w:color w:val="auto"/>
          <w:kern w:val="2"/>
          <w:sz w:val="36"/>
          <w:szCs w:val="36"/>
          <w:highlight w:val="none"/>
        </w:rPr>
      </w:pPr>
      <w:bookmarkStart w:id="143" w:name="_Toc30501"/>
      <w:r>
        <w:rPr>
          <w:rStyle w:val="30"/>
          <w:rFonts w:hint="eastAsia" w:ascii="宋体" w:eastAsia="宋体" w:cs="宋体"/>
          <w:color w:val="auto"/>
          <w:sz w:val="36"/>
          <w:szCs w:val="21"/>
          <w:highlight w:val="none"/>
        </w:rPr>
        <w:t>第六章  竞争性磋商响应文件格式</w:t>
      </w:r>
      <w:bookmarkEnd w:id="133"/>
      <w:bookmarkEnd w:id="134"/>
      <w:bookmarkEnd w:id="135"/>
      <w:bookmarkEnd w:id="136"/>
      <w:bookmarkEnd w:id="137"/>
      <w:bookmarkEnd w:id="143"/>
    </w:p>
    <w:p w14:paraId="27600943">
      <w:pPr>
        <w:rPr>
          <w:rFonts w:hAnsi="宋体" w:cs="宋体"/>
          <w:color w:val="auto"/>
          <w:highlight w:val="none"/>
        </w:rPr>
      </w:pPr>
    </w:p>
    <w:p w14:paraId="7E87AE6D">
      <w:pPr>
        <w:rPr>
          <w:rFonts w:hAnsi="宋体" w:cs="宋体"/>
          <w:color w:val="auto"/>
          <w:highlight w:val="none"/>
        </w:rPr>
      </w:pPr>
    </w:p>
    <w:p w14:paraId="3AEE0798">
      <w:pPr>
        <w:rPr>
          <w:rFonts w:hAnsi="宋体" w:cs="宋体"/>
          <w:b/>
          <w:color w:val="auto"/>
          <w:sz w:val="32"/>
          <w:szCs w:val="32"/>
          <w:highlight w:val="none"/>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SXZCZB2026-ZCCS-0917.1B2</w:t>
      </w:r>
      <w:r>
        <w:rPr>
          <w:rFonts w:hint="eastAsia" w:hAnsi="宋体" w:cs="宋体"/>
          <w:b/>
          <w:bCs/>
          <w:color w:val="auto"/>
          <w:sz w:val="32"/>
          <w:szCs w:val="32"/>
          <w:highlight w:val="none"/>
        </w:rPr>
        <w:t xml:space="preserve">         </w:t>
      </w:r>
      <w:r>
        <w:rPr>
          <w:rFonts w:hint="eastAsia" w:hAnsi="宋体" w:cs="宋体"/>
          <w:b/>
          <w:bCs/>
          <w:color w:val="auto"/>
          <w:sz w:val="32"/>
          <w:szCs w:val="32"/>
          <w:highlight w:val="none"/>
        </w:rPr>
        <w:tab/>
      </w:r>
      <w:r>
        <w:rPr>
          <w:rFonts w:hint="eastAsia" w:hAnsi="宋体" w:cs="宋体"/>
          <w:b/>
          <w:bCs/>
          <w:color w:val="auto"/>
          <w:sz w:val="32"/>
          <w:szCs w:val="32"/>
          <w:highlight w:val="none"/>
        </w:rPr>
        <w:tab/>
      </w:r>
      <w:r>
        <w:rPr>
          <w:rFonts w:hint="eastAsia" w:hAnsi="宋体" w:cs="宋体"/>
          <w:b/>
          <w:color w:val="auto"/>
          <w:sz w:val="32"/>
          <w:szCs w:val="32"/>
          <w:highlight w:val="none"/>
        </w:rPr>
        <w:t>（正本或副本）</w:t>
      </w:r>
    </w:p>
    <w:p w14:paraId="4C98D5D6">
      <w:pPr>
        <w:jc w:val="right"/>
        <w:rPr>
          <w:rFonts w:hAnsi="宋体" w:cs="宋体"/>
          <w:b/>
          <w:color w:val="auto"/>
          <w:sz w:val="32"/>
          <w:szCs w:val="32"/>
          <w:highlight w:val="none"/>
        </w:rPr>
      </w:pPr>
    </w:p>
    <w:p w14:paraId="15C224EE">
      <w:pPr>
        <w:jc w:val="right"/>
        <w:rPr>
          <w:rFonts w:hAnsi="宋体" w:cs="宋体"/>
          <w:b/>
          <w:color w:val="auto"/>
          <w:sz w:val="32"/>
          <w:szCs w:val="32"/>
          <w:highlight w:val="none"/>
        </w:rPr>
      </w:pPr>
    </w:p>
    <w:p w14:paraId="7AA1BD7D">
      <w:pPr>
        <w:pStyle w:val="9"/>
        <w:rPr>
          <w:color w:val="auto"/>
          <w:highlight w:val="none"/>
        </w:rPr>
      </w:pPr>
    </w:p>
    <w:p w14:paraId="6B8825D7">
      <w:pPr>
        <w:jc w:val="center"/>
        <w:rPr>
          <w:rFonts w:hint="eastAsia" w:hAnsi="宋体" w:cs="宋体"/>
          <w:b/>
          <w:color w:val="auto"/>
          <w:sz w:val="56"/>
          <w:szCs w:val="56"/>
          <w:highlight w:val="none"/>
          <w:lang w:eastAsia="zh-CN"/>
        </w:rPr>
      </w:pPr>
      <w:r>
        <w:rPr>
          <w:rFonts w:hint="eastAsia" w:hAnsi="宋体" w:cs="宋体"/>
          <w:b/>
          <w:color w:val="auto"/>
          <w:sz w:val="56"/>
          <w:szCs w:val="56"/>
          <w:highlight w:val="none"/>
          <w:lang w:eastAsia="zh-CN"/>
        </w:rPr>
        <w:t>吉祥物衍生品制作项目(三次)</w:t>
      </w:r>
    </w:p>
    <w:p w14:paraId="2DF1B197">
      <w:pPr>
        <w:rPr>
          <w:rFonts w:hAnsi="宋体" w:cs="宋体"/>
          <w:color w:val="auto"/>
          <w:highlight w:val="none"/>
        </w:rPr>
      </w:pPr>
    </w:p>
    <w:p w14:paraId="2045A4C9">
      <w:pPr>
        <w:jc w:val="center"/>
        <w:rPr>
          <w:rFonts w:hint="eastAsia" w:hAnsi="宋体" w:cs="宋体"/>
          <w:b/>
          <w:color w:val="auto"/>
          <w:sz w:val="56"/>
          <w:szCs w:val="56"/>
          <w:highlight w:val="none"/>
        </w:rPr>
      </w:pPr>
    </w:p>
    <w:p w14:paraId="50EAEA5F">
      <w:pPr>
        <w:jc w:val="center"/>
        <w:rPr>
          <w:rFonts w:hint="eastAsia" w:hAnsi="宋体" w:cs="宋体"/>
          <w:b/>
          <w:color w:val="auto"/>
          <w:sz w:val="56"/>
          <w:szCs w:val="56"/>
          <w:highlight w:val="none"/>
        </w:rPr>
      </w:pPr>
    </w:p>
    <w:p w14:paraId="6BE67C48">
      <w:pPr>
        <w:jc w:val="center"/>
        <w:rPr>
          <w:rFonts w:hAnsi="宋体" w:cs="宋体"/>
          <w:b/>
          <w:color w:val="auto"/>
          <w:sz w:val="56"/>
          <w:szCs w:val="56"/>
          <w:highlight w:val="none"/>
        </w:rPr>
      </w:pPr>
      <w:r>
        <w:rPr>
          <w:rFonts w:hint="eastAsia" w:hAnsi="宋体" w:cs="宋体"/>
          <w:b/>
          <w:color w:val="auto"/>
          <w:sz w:val="56"/>
          <w:szCs w:val="56"/>
          <w:highlight w:val="none"/>
        </w:rPr>
        <w:t>竞争性磋商响应文件</w:t>
      </w:r>
    </w:p>
    <w:p w14:paraId="10BA74D6">
      <w:pPr>
        <w:jc w:val="center"/>
        <w:rPr>
          <w:rFonts w:hAnsi="宋体" w:cs="宋体"/>
          <w:b/>
          <w:color w:val="auto"/>
          <w:sz w:val="36"/>
          <w:szCs w:val="36"/>
          <w:highlight w:val="none"/>
        </w:rPr>
      </w:pPr>
    </w:p>
    <w:p w14:paraId="7DD1E4B1">
      <w:pPr>
        <w:rPr>
          <w:rFonts w:hAnsi="宋体" w:cs="宋体"/>
          <w:b/>
          <w:color w:val="auto"/>
          <w:sz w:val="36"/>
          <w:szCs w:val="36"/>
          <w:highlight w:val="none"/>
        </w:rPr>
      </w:pPr>
    </w:p>
    <w:p w14:paraId="2A31E9D6">
      <w:pPr>
        <w:pStyle w:val="9"/>
        <w:rPr>
          <w:color w:val="auto"/>
          <w:highlight w:val="none"/>
        </w:rPr>
      </w:pPr>
    </w:p>
    <w:p w14:paraId="451C77CF">
      <w:pPr>
        <w:rPr>
          <w:rFonts w:hAnsi="宋体" w:cs="宋体"/>
          <w:b/>
          <w:color w:val="auto"/>
          <w:sz w:val="36"/>
          <w:szCs w:val="36"/>
          <w:highlight w:val="none"/>
        </w:rPr>
      </w:pPr>
    </w:p>
    <w:p w14:paraId="04633E36">
      <w:pPr>
        <w:tabs>
          <w:tab w:val="center" w:pos="5346"/>
        </w:tabs>
        <w:spacing w:line="480" w:lineRule="auto"/>
        <w:jc w:val="center"/>
        <w:rPr>
          <w:rFonts w:hint="eastAsia" w:hAnsi="宋体" w:cs="宋体"/>
          <w:b/>
          <w:color w:val="auto"/>
          <w:sz w:val="32"/>
          <w:szCs w:val="32"/>
          <w:highlight w:val="none"/>
        </w:rPr>
      </w:pPr>
    </w:p>
    <w:p w14:paraId="4E14E2EE">
      <w:pPr>
        <w:tabs>
          <w:tab w:val="center" w:pos="5346"/>
        </w:tabs>
        <w:spacing w:line="480" w:lineRule="auto"/>
        <w:jc w:val="center"/>
        <w:rPr>
          <w:rFonts w:hAnsi="宋体" w:cs="宋体"/>
          <w:b/>
          <w:color w:val="auto"/>
          <w:sz w:val="32"/>
          <w:szCs w:val="32"/>
          <w:highlight w:val="none"/>
        </w:rPr>
      </w:pPr>
      <w:r>
        <w:rPr>
          <w:rFonts w:hint="eastAsia" w:hAnsi="宋体" w:cs="宋体"/>
          <w:b/>
          <w:color w:val="auto"/>
          <w:sz w:val="32"/>
          <w:szCs w:val="32"/>
          <w:highlight w:val="none"/>
        </w:rPr>
        <w:t>供应商名称（公章）</w:t>
      </w:r>
    </w:p>
    <w:p w14:paraId="5C454820">
      <w:pPr>
        <w:jc w:val="center"/>
        <w:rPr>
          <w:rFonts w:hAnsi="宋体" w:cs="宋体"/>
          <w:b/>
          <w:color w:val="auto"/>
          <w:sz w:val="44"/>
          <w:highlight w:val="none"/>
        </w:rPr>
      </w:pPr>
      <w:r>
        <w:rPr>
          <w:rFonts w:hint="eastAsia" w:hAnsi="宋体" w:cs="宋体"/>
          <w:b/>
          <w:color w:val="auto"/>
          <w:sz w:val="32"/>
          <w:szCs w:val="32"/>
          <w:highlight w:val="none"/>
        </w:rPr>
        <w:t xml:space="preserve"> 年   月</w:t>
      </w:r>
      <w:r>
        <w:rPr>
          <w:rFonts w:hint="eastAsia" w:hAnsi="宋体" w:cs="宋体"/>
          <w:b/>
          <w:color w:val="auto"/>
          <w:sz w:val="36"/>
          <w:szCs w:val="36"/>
          <w:highlight w:val="none"/>
        </w:rPr>
        <w:br w:type="page"/>
      </w:r>
      <w:bookmarkStart w:id="144" w:name="_Toc344572156"/>
    </w:p>
    <w:p w14:paraId="1F15D2FC">
      <w:pPr>
        <w:jc w:val="center"/>
        <w:rPr>
          <w:rFonts w:hAnsi="宋体" w:cs="宋体"/>
          <w:b/>
          <w:color w:val="auto"/>
          <w:sz w:val="44"/>
          <w:highlight w:val="none"/>
        </w:rPr>
      </w:pPr>
      <w:r>
        <w:rPr>
          <w:rFonts w:hint="eastAsia" w:hAnsi="宋体" w:cs="宋体"/>
          <w:b/>
          <w:color w:val="auto"/>
          <w:sz w:val="44"/>
          <w:highlight w:val="none"/>
        </w:rPr>
        <w:t>目  录</w:t>
      </w:r>
    </w:p>
    <w:p w14:paraId="40A0C0CE">
      <w:pPr>
        <w:pStyle w:val="9"/>
        <w:rPr>
          <w:color w:val="auto"/>
          <w:highlight w:val="none"/>
        </w:rPr>
      </w:pPr>
    </w:p>
    <w:p w14:paraId="5D846A2B">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一、磋商响应函</w:t>
      </w:r>
    </w:p>
    <w:p w14:paraId="68801BDC">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二、磋商报价表</w:t>
      </w:r>
    </w:p>
    <w:p w14:paraId="4037647A">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三、磋商方案说明书</w:t>
      </w:r>
    </w:p>
    <w:p w14:paraId="3396175F">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四、商务条款偏离表</w:t>
      </w:r>
    </w:p>
    <w:p w14:paraId="6245E076">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五、陕西省政府采购供应商拒绝政府采购领域商业贿赂承诺书</w:t>
      </w:r>
    </w:p>
    <w:p w14:paraId="3A2B9EB2">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六、特定资格证明文件</w:t>
      </w:r>
    </w:p>
    <w:p w14:paraId="02A05832">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七、其他</w:t>
      </w:r>
    </w:p>
    <w:p w14:paraId="333EEFD0">
      <w:pPr>
        <w:pStyle w:val="7"/>
        <w:spacing w:line="360" w:lineRule="auto"/>
        <w:rPr>
          <w:rFonts w:ascii="宋体" w:hAnsi="宋体" w:cs="宋体"/>
          <w:color w:val="auto"/>
          <w:highlight w:val="none"/>
        </w:rPr>
      </w:pPr>
    </w:p>
    <w:p w14:paraId="598F2FF4">
      <w:pPr>
        <w:pStyle w:val="7"/>
        <w:spacing w:line="360" w:lineRule="auto"/>
        <w:rPr>
          <w:rFonts w:ascii="宋体" w:hAnsi="宋体" w:cs="宋体"/>
          <w:color w:val="auto"/>
          <w:highlight w:val="none"/>
        </w:rPr>
      </w:pPr>
    </w:p>
    <w:p w14:paraId="633FAF57">
      <w:pPr>
        <w:pStyle w:val="7"/>
        <w:ind w:firstLine="880"/>
        <w:rPr>
          <w:rFonts w:ascii="宋体" w:hAnsi="宋体" w:cs="宋体"/>
          <w:bCs/>
          <w:color w:val="auto"/>
          <w:sz w:val="44"/>
          <w:highlight w:val="none"/>
        </w:rPr>
      </w:pPr>
    </w:p>
    <w:p w14:paraId="527405D6">
      <w:pPr>
        <w:pStyle w:val="7"/>
        <w:ind w:firstLine="880"/>
        <w:rPr>
          <w:rFonts w:ascii="宋体" w:hAnsi="宋体" w:cs="宋体"/>
          <w:bCs/>
          <w:color w:val="auto"/>
          <w:sz w:val="44"/>
          <w:highlight w:val="none"/>
        </w:rPr>
      </w:pPr>
    </w:p>
    <w:bookmarkEnd w:id="144"/>
    <w:p w14:paraId="57D57A6A">
      <w:pPr>
        <w:pStyle w:val="9"/>
        <w:rPr>
          <w:color w:val="auto"/>
          <w:highlight w:val="none"/>
        </w:rPr>
      </w:pPr>
      <w:bookmarkStart w:id="145" w:name="_Toc363474027"/>
      <w:bookmarkStart w:id="146" w:name="_Toc403077648"/>
      <w:bookmarkStart w:id="147" w:name="_Toc204524343"/>
    </w:p>
    <w:p w14:paraId="2F8C6C7F">
      <w:pPr>
        <w:pStyle w:val="9"/>
        <w:rPr>
          <w:color w:val="auto"/>
          <w:highlight w:val="none"/>
        </w:rPr>
      </w:pPr>
    </w:p>
    <w:p w14:paraId="72048236">
      <w:pPr>
        <w:pStyle w:val="9"/>
        <w:rPr>
          <w:color w:val="auto"/>
          <w:highlight w:val="none"/>
        </w:rPr>
      </w:pPr>
    </w:p>
    <w:p w14:paraId="6D3BB7F1">
      <w:pPr>
        <w:spacing w:line="520" w:lineRule="exact"/>
        <w:jc w:val="center"/>
        <w:outlineLvl w:val="1"/>
        <w:rPr>
          <w:rFonts w:hAnsi="宋体" w:cs="宋体"/>
          <w:b/>
          <w:color w:val="auto"/>
          <w:sz w:val="32"/>
          <w:szCs w:val="32"/>
          <w:highlight w:val="none"/>
        </w:rPr>
      </w:pPr>
      <w:r>
        <w:rPr>
          <w:rFonts w:hint="eastAsia" w:hAnsi="宋体" w:cs="宋体"/>
          <w:b/>
          <w:color w:val="auto"/>
          <w:sz w:val="32"/>
          <w:szCs w:val="32"/>
          <w:highlight w:val="none"/>
        </w:rPr>
        <w:br w:type="page"/>
      </w:r>
      <w:bookmarkStart w:id="148" w:name="_Toc15762"/>
      <w:bookmarkStart w:id="149" w:name="_Toc32002"/>
      <w:bookmarkStart w:id="150" w:name="_Toc9551"/>
      <w:bookmarkStart w:id="151" w:name="_Toc16320"/>
      <w:bookmarkStart w:id="152" w:name="_Toc28508"/>
      <w:bookmarkStart w:id="153" w:name="_Toc6128"/>
      <w:bookmarkStart w:id="154" w:name="_Toc4367"/>
      <w:r>
        <w:rPr>
          <w:rFonts w:hint="eastAsia" w:hAnsi="宋体" w:cs="宋体"/>
          <w:b/>
          <w:color w:val="auto"/>
          <w:sz w:val="32"/>
          <w:szCs w:val="32"/>
          <w:highlight w:val="none"/>
        </w:rPr>
        <w:t>一、磋商</w:t>
      </w:r>
      <w:bookmarkEnd w:id="145"/>
      <w:bookmarkEnd w:id="146"/>
      <w:r>
        <w:rPr>
          <w:rFonts w:hint="eastAsia" w:hAnsi="宋体" w:cs="宋体"/>
          <w:b/>
          <w:color w:val="auto"/>
          <w:sz w:val="32"/>
          <w:szCs w:val="32"/>
          <w:highlight w:val="none"/>
        </w:rPr>
        <w:t>响应函</w:t>
      </w:r>
      <w:bookmarkEnd w:id="148"/>
      <w:bookmarkEnd w:id="149"/>
      <w:bookmarkEnd w:id="150"/>
      <w:bookmarkEnd w:id="151"/>
      <w:bookmarkEnd w:id="152"/>
      <w:bookmarkEnd w:id="153"/>
      <w:bookmarkEnd w:id="154"/>
    </w:p>
    <w:p w14:paraId="4A4ED100">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陕西至诚项目管理集团有限公司</w:t>
      </w:r>
    </w:p>
    <w:p w14:paraId="4DA502E5">
      <w:pPr>
        <w:spacing w:line="360" w:lineRule="auto"/>
        <w:ind w:firstLine="496" w:firstLineChars="200"/>
        <w:rPr>
          <w:rFonts w:hAnsi="宋体" w:cs="宋体"/>
          <w:color w:val="auto"/>
          <w:spacing w:val="4"/>
          <w:szCs w:val="24"/>
          <w:highlight w:val="none"/>
        </w:rPr>
      </w:pPr>
      <w:r>
        <w:rPr>
          <w:rFonts w:hint="eastAsia" w:hAnsi="宋体" w:cs="宋体"/>
          <w:color w:val="auto"/>
          <w:spacing w:val="4"/>
          <w:szCs w:val="24"/>
          <w:highlight w:val="none"/>
        </w:rPr>
        <w:t>根据贵方“</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”项目的磋商邀请</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，签字代表</w:t>
      </w:r>
      <w:r>
        <w:rPr>
          <w:rFonts w:hint="eastAsia" w:hAnsi="宋体" w:cs="宋体"/>
          <w:color w:val="auto"/>
          <w:spacing w:val="4"/>
          <w:szCs w:val="24"/>
          <w:highlight w:val="none"/>
          <w:u w:val="single"/>
        </w:rPr>
        <w:t>（全名、职务）</w:t>
      </w:r>
      <w:r>
        <w:rPr>
          <w:rFonts w:hint="eastAsia" w:hAnsi="宋体" w:cs="宋体"/>
          <w:color w:val="auto"/>
          <w:spacing w:val="4"/>
          <w:szCs w:val="24"/>
          <w:highlight w:val="none"/>
        </w:rPr>
        <w:t>经正式授权并代表供应商</w:t>
      </w:r>
      <w:r>
        <w:rPr>
          <w:rFonts w:hint="eastAsia" w:hAnsi="宋体" w:cs="宋体"/>
          <w:color w:val="auto"/>
          <w:spacing w:val="4"/>
          <w:szCs w:val="24"/>
          <w:highlight w:val="none"/>
          <w:u w:val="single"/>
        </w:rPr>
        <w:t>(供应商名称、地址)</w:t>
      </w:r>
      <w:r>
        <w:rPr>
          <w:rFonts w:hint="eastAsia" w:hAnsi="宋体" w:cs="宋体"/>
          <w:color w:val="auto"/>
          <w:spacing w:val="4"/>
          <w:szCs w:val="24"/>
          <w:highlight w:val="none"/>
        </w:rPr>
        <w:t xml:space="preserve"> 提交竞争性磋商响应文件正本壹份、副本一式</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份、报价一览表</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份、电子版</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w:t>
      </w:r>
    </w:p>
    <w:p w14:paraId="36BE293B">
      <w:pPr>
        <w:spacing w:line="360" w:lineRule="auto"/>
        <w:ind w:left="624" w:leftChars="251" w:hanging="22" w:hangingChars="9"/>
        <w:jc w:val="left"/>
        <w:rPr>
          <w:rFonts w:hAnsi="宋体" w:cs="宋体"/>
          <w:color w:val="auto"/>
          <w:spacing w:val="4"/>
          <w:szCs w:val="24"/>
          <w:highlight w:val="none"/>
        </w:rPr>
      </w:pPr>
      <w:r>
        <w:rPr>
          <w:rFonts w:hint="eastAsia" w:hAnsi="宋体" w:cs="宋体"/>
          <w:color w:val="auto"/>
          <w:spacing w:val="4"/>
          <w:szCs w:val="24"/>
          <w:highlight w:val="none"/>
        </w:rPr>
        <w:t>我方承诺如下：</w:t>
      </w:r>
    </w:p>
    <w:p w14:paraId="74D415E5">
      <w:pPr>
        <w:numPr>
          <w:ilvl w:val="0"/>
          <w:numId w:val="8"/>
        </w:numPr>
        <w:tabs>
          <w:tab w:val="left" w:pos="2160"/>
        </w:tabs>
        <w:spacing w:line="360" w:lineRule="auto"/>
        <w:ind w:firstLine="496" w:firstLineChars="200"/>
        <w:jc w:val="left"/>
        <w:rPr>
          <w:rFonts w:hAnsi="宋体" w:cs="宋体"/>
          <w:color w:val="auto"/>
          <w:spacing w:val="4"/>
          <w:highlight w:val="none"/>
        </w:rPr>
      </w:pPr>
      <w:r>
        <w:rPr>
          <w:rFonts w:hint="eastAsia" w:hAnsi="宋体" w:cs="宋体"/>
          <w:color w:val="auto"/>
          <w:spacing w:val="4"/>
          <w:szCs w:val="24"/>
          <w:highlight w:val="none"/>
        </w:rPr>
        <w:t>磋商报价</w:t>
      </w:r>
      <w:r>
        <w:rPr>
          <w:rFonts w:hint="eastAsia" w:hAnsi="宋体" w:cs="宋体"/>
          <w:color w:val="auto"/>
          <w:spacing w:val="4"/>
          <w:highlight w:val="none"/>
        </w:rPr>
        <w:t>为小写：</w:t>
      </w:r>
      <w:r>
        <w:rPr>
          <w:rFonts w:hint="eastAsia" w:hAnsi="宋体" w:cs="宋体"/>
          <w:color w:val="auto"/>
          <w:spacing w:val="4"/>
          <w:highlight w:val="none"/>
          <w:u w:val="single"/>
        </w:rPr>
        <w:t xml:space="preserve">         </w:t>
      </w:r>
      <w:r>
        <w:rPr>
          <w:rFonts w:hint="eastAsia" w:hAnsi="宋体" w:cs="宋体"/>
          <w:color w:val="auto"/>
          <w:spacing w:val="4"/>
          <w:highlight w:val="none"/>
        </w:rPr>
        <w:t>（大写：</w:t>
      </w:r>
      <w:r>
        <w:rPr>
          <w:rFonts w:hint="eastAsia" w:hAnsi="宋体" w:cs="宋体"/>
          <w:color w:val="auto"/>
          <w:spacing w:val="4"/>
          <w:highlight w:val="none"/>
          <w:u w:val="single"/>
        </w:rPr>
        <w:t xml:space="preserve">         </w:t>
      </w:r>
      <w:r>
        <w:rPr>
          <w:rFonts w:hint="eastAsia" w:hAnsi="宋体" w:cs="宋体"/>
          <w:color w:val="auto"/>
          <w:spacing w:val="4"/>
          <w:highlight w:val="none"/>
        </w:rPr>
        <w:t>）。</w:t>
      </w:r>
    </w:p>
    <w:p w14:paraId="320904C4">
      <w:pPr>
        <w:numPr>
          <w:ilvl w:val="0"/>
          <w:numId w:val="8"/>
        </w:num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如果成交，我们根据竞争性磋商文件的规定，履行合同的责任和义务。</w:t>
      </w:r>
    </w:p>
    <w:p w14:paraId="1B3D3FC1">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3）我们已详细阅读和审核全部竞争性磋商文件（含修改部分，如有的话），及有关附件，我们知道必须放弃提出含糊不清或误解的问题的权利。</w:t>
      </w:r>
    </w:p>
    <w:p w14:paraId="707D9FA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4）我们同意在磋商有效期内（</w:t>
      </w:r>
      <w:r>
        <w:rPr>
          <w:rFonts w:hint="eastAsia" w:hAnsi="宋体" w:cs="宋体"/>
          <w:color w:val="auto"/>
          <w:spacing w:val="4"/>
          <w:szCs w:val="24"/>
          <w:highlight w:val="none"/>
          <w:u w:val="single"/>
        </w:rPr>
        <w:t>自磋商之日起   天</w:t>
      </w:r>
      <w:r>
        <w:rPr>
          <w:rFonts w:hint="eastAsia" w:hAnsi="宋体" w:cs="宋体"/>
          <w:color w:val="auto"/>
          <w:spacing w:val="4"/>
          <w:szCs w:val="24"/>
          <w:highlight w:val="none"/>
        </w:rPr>
        <w:t>），本磋商响应函对我方具有约束力。</w:t>
      </w:r>
    </w:p>
    <w:p w14:paraId="5D967CBF">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 xml:space="preserve">5）同意提供贵方可能另外要求的与本磋商有关的任何证据和资料。 </w:t>
      </w:r>
    </w:p>
    <w:p w14:paraId="27DA2408">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6）我们同意，如果成交，向陕西至诚项目管理集团有限公司交纳招标代理服务费。</w:t>
      </w:r>
    </w:p>
    <w:p w14:paraId="557C71D9">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7）与本磋商有关的一切正式往来通讯为：</w:t>
      </w:r>
    </w:p>
    <w:p w14:paraId="47E34D3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联系地址：</w:t>
      </w:r>
    </w:p>
    <w:p w14:paraId="050A0FFB">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邮政编码：</w:t>
      </w:r>
    </w:p>
    <w:p w14:paraId="2E3ACE8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电    话：</w:t>
      </w:r>
    </w:p>
    <w:p w14:paraId="3EF35813">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传    真：</w:t>
      </w:r>
    </w:p>
    <w:p w14:paraId="4B2A890A">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供应商名称（盖章）：</w:t>
      </w:r>
    </w:p>
    <w:p w14:paraId="2AA7A8F9">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供应商法定代表人</w:t>
      </w:r>
      <w:r>
        <w:rPr>
          <w:rFonts w:hint="eastAsia" w:hAnsi="宋体" w:cs="宋体"/>
          <w:color w:val="auto"/>
          <w:spacing w:val="4"/>
          <w:highlight w:val="none"/>
        </w:rPr>
        <w:t>/被授权人</w:t>
      </w:r>
      <w:r>
        <w:rPr>
          <w:rFonts w:hint="eastAsia" w:hAnsi="宋体" w:cs="宋体"/>
          <w:color w:val="auto"/>
          <w:spacing w:val="4"/>
          <w:szCs w:val="24"/>
          <w:highlight w:val="none"/>
        </w:rPr>
        <w:t>签字</w:t>
      </w:r>
      <w:r>
        <w:rPr>
          <w:rFonts w:hint="eastAsia" w:hAnsi="宋体" w:cs="宋体"/>
          <w:color w:val="auto"/>
          <w:spacing w:val="4"/>
          <w:highlight w:val="none"/>
        </w:rPr>
        <w:t>或盖章</w:t>
      </w:r>
      <w:r>
        <w:rPr>
          <w:rFonts w:hint="eastAsia" w:hAnsi="宋体" w:cs="宋体"/>
          <w:color w:val="auto"/>
          <w:szCs w:val="24"/>
          <w:highlight w:val="none"/>
        </w:rPr>
        <w:t>：</w:t>
      </w:r>
    </w:p>
    <w:p w14:paraId="0AA810C1">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日    期：</w:t>
      </w:r>
    </w:p>
    <w:p w14:paraId="5055B004">
      <w:pPr>
        <w:pStyle w:val="3"/>
        <w:spacing w:beforeLines="100" w:line="360" w:lineRule="auto"/>
        <w:jc w:val="center"/>
        <w:rPr>
          <w:rFonts w:ascii="宋体" w:hAnsi="宋体" w:cs="宋体"/>
          <w:bCs w:val="0"/>
          <w:color w:val="auto"/>
          <w:sz w:val="32"/>
          <w:highlight w:val="none"/>
        </w:rPr>
      </w:pPr>
      <w:r>
        <w:rPr>
          <w:rFonts w:hint="eastAsia" w:ascii="宋体" w:hAnsi="宋体" w:cs="宋体"/>
          <w:color w:val="auto"/>
          <w:highlight w:val="none"/>
        </w:rPr>
        <w:br w:type="page"/>
      </w:r>
      <w:bookmarkStart w:id="155" w:name="_Toc28910"/>
      <w:bookmarkStart w:id="156" w:name="_Toc403077651"/>
      <w:bookmarkStart w:id="157" w:name="_Toc732"/>
      <w:bookmarkStart w:id="158" w:name="_Toc363474030"/>
      <w:bookmarkStart w:id="159" w:name="_Toc13482"/>
      <w:bookmarkStart w:id="160" w:name="_Toc9730"/>
      <w:bookmarkStart w:id="161" w:name="_Toc17800"/>
      <w:bookmarkStart w:id="162" w:name="_Toc27989"/>
      <w:bookmarkStart w:id="163" w:name="_Toc2362"/>
      <w:r>
        <w:rPr>
          <w:rFonts w:hint="eastAsia" w:ascii="宋体" w:hAnsi="宋体" w:cs="宋体"/>
          <w:bCs w:val="0"/>
          <w:color w:val="auto"/>
          <w:sz w:val="32"/>
          <w:highlight w:val="none"/>
        </w:rPr>
        <w:t>二、磋商报价表</w:t>
      </w:r>
      <w:bookmarkEnd w:id="155"/>
      <w:bookmarkEnd w:id="156"/>
      <w:bookmarkEnd w:id="157"/>
      <w:bookmarkEnd w:id="158"/>
      <w:bookmarkEnd w:id="159"/>
      <w:bookmarkEnd w:id="160"/>
      <w:bookmarkEnd w:id="161"/>
      <w:bookmarkEnd w:id="162"/>
      <w:bookmarkEnd w:id="163"/>
    </w:p>
    <w:p w14:paraId="22052E7E">
      <w:pPr>
        <w:spacing w:line="360" w:lineRule="auto"/>
        <w:jc w:val="center"/>
        <w:outlineLvl w:val="2"/>
        <w:rPr>
          <w:rFonts w:hAnsi="宋体" w:cs="宋体"/>
          <w:color w:val="auto"/>
          <w:szCs w:val="24"/>
          <w:highlight w:val="none"/>
        </w:rPr>
      </w:pPr>
      <w:bookmarkStart w:id="164" w:name="_Toc29008"/>
      <w:bookmarkStart w:id="165" w:name="_Toc4848"/>
      <w:bookmarkStart w:id="166" w:name="_Toc7982"/>
      <w:bookmarkStart w:id="167" w:name="_Toc11518"/>
      <w:bookmarkStart w:id="168" w:name="_Toc32277"/>
      <w:bookmarkStart w:id="169" w:name="_Toc1405"/>
      <w:bookmarkStart w:id="170" w:name="_Toc12732"/>
      <w:r>
        <w:rPr>
          <w:rFonts w:hint="eastAsia" w:hAnsi="宋体" w:cs="宋体"/>
          <w:color w:val="auto"/>
          <w:szCs w:val="24"/>
          <w:highlight w:val="none"/>
        </w:rPr>
        <w:t>2.1报价一览表</w:t>
      </w:r>
      <w:bookmarkEnd w:id="164"/>
      <w:bookmarkEnd w:id="165"/>
      <w:bookmarkEnd w:id="166"/>
      <w:bookmarkEnd w:id="167"/>
      <w:bookmarkEnd w:id="168"/>
      <w:bookmarkEnd w:id="169"/>
      <w:bookmarkEnd w:id="170"/>
    </w:p>
    <w:p w14:paraId="48BA4C8C">
      <w:pPr>
        <w:spacing w:line="360" w:lineRule="auto"/>
        <w:jc w:val="center"/>
        <w:rPr>
          <w:rFonts w:hAnsi="宋体" w:cs="宋体"/>
          <w:color w:val="auto"/>
          <w:szCs w:val="24"/>
          <w:highlight w:val="none"/>
        </w:rPr>
      </w:pPr>
    </w:p>
    <w:p w14:paraId="41A9D600">
      <w:pPr>
        <w:jc w:val="left"/>
        <w:rPr>
          <w:rFonts w:hAnsi="宋体" w:cs="宋体"/>
          <w:color w:val="auto"/>
          <w:highlight w:val="none"/>
        </w:rPr>
      </w:pPr>
      <w:r>
        <w:rPr>
          <w:rFonts w:hint="eastAsia" w:hAnsi="宋体" w:cs="宋体"/>
          <w:color w:val="auto"/>
          <w:highlight w:val="none"/>
        </w:rPr>
        <w:t xml:space="preserve">项目名称：                                                 </w:t>
      </w:r>
    </w:p>
    <w:p w14:paraId="47CEA6B9">
      <w:pPr>
        <w:jc w:val="left"/>
        <w:rPr>
          <w:rFonts w:hAnsi="宋体" w:cs="宋体"/>
          <w:color w:val="auto"/>
          <w:highlight w:val="none"/>
        </w:rPr>
      </w:pPr>
      <w:r>
        <w:rPr>
          <w:rFonts w:hint="eastAsia" w:hAnsi="宋体" w:cs="宋体"/>
          <w:color w:val="auto"/>
          <w:highlight w:val="none"/>
        </w:rPr>
        <w:t xml:space="preserve">项目编号：                                               </w:t>
      </w:r>
    </w:p>
    <w:tbl>
      <w:tblPr>
        <w:tblStyle w:val="2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1"/>
        <w:gridCol w:w="2667"/>
        <w:gridCol w:w="2883"/>
        <w:gridCol w:w="1492"/>
      </w:tblGrid>
      <w:tr w14:paraId="29C0E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295" w:type="pct"/>
            <w:vAlign w:val="center"/>
          </w:tcPr>
          <w:p w14:paraId="0238951F">
            <w:pPr>
              <w:jc w:val="center"/>
              <w:rPr>
                <w:rFonts w:hint="eastAsia" w:hAnsi="宋体" w:cs="宋体"/>
                <w:color w:val="auto"/>
                <w:szCs w:val="24"/>
                <w:highlight w:val="none"/>
              </w:rPr>
            </w:pPr>
            <w:r>
              <w:rPr>
                <w:rFonts w:hint="eastAsia" w:hAnsi="宋体" w:cs="宋体"/>
                <w:color w:val="auto"/>
                <w:szCs w:val="24"/>
                <w:highlight w:val="none"/>
              </w:rPr>
              <w:t>磋商总报价</w:t>
            </w:r>
          </w:p>
          <w:p w14:paraId="2104935E">
            <w:pPr>
              <w:jc w:val="center"/>
              <w:rPr>
                <w:rFonts w:hAnsi="宋体" w:cs="宋体"/>
                <w:color w:val="auto"/>
                <w:szCs w:val="24"/>
                <w:highlight w:val="none"/>
              </w:rPr>
            </w:pPr>
            <w:r>
              <w:rPr>
                <w:rFonts w:hint="eastAsia" w:hAnsi="宋体" w:cs="宋体"/>
                <w:color w:val="auto"/>
                <w:szCs w:val="24"/>
                <w:highlight w:val="none"/>
                <w:lang w:eastAsia="zh-CN"/>
              </w:rPr>
              <w:t>（</w:t>
            </w:r>
            <w:r>
              <w:rPr>
                <w:rFonts w:hint="eastAsia" w:hAnsi="宋体" w:cs="宋体"/>
                <w:color w:val="auto"/>
                <w:szCs w:val="24"/>
                <w:highlight w:val="none"/>
                <w:lang w:val="en-US" w:eastAsia="zh-CN"/>
              </w:rPr>
              <w:t>单价合计</w:t>
            </w:r>
            <w:r>
              <w:rPr>
                <w:rFonts w:hint="eastAsia" w:hAnsi="宋体" w:cs="宋体"/>
                <w:color w:val="auto"/>
                <w:szCs w:val="24"/>
                <w:highlight w:val="none"/>
                <w:lang w:eastAsia="zh-CN"/>
              </w:rPr>
              <w:t>）</w:t>
            </w:r>
            <w:r>
              <w:rPr>
                <w:rFonts w:hint="eastAsia" w:hAnsi="宋体" w:cs="宋体"/>
                <w:color w:val="auto"/>
                <w:szCs w:val="24"/>
                <w:highlight w:val="none"/>
              </w:rPr>
              <w:t>（元）</w:t>
            </w:r>
          </w:p>
        </w:tc>
        <w:tc>
          <w:tcPr>
            <w:tcW w:w="1403" w:type="pct"/>
            <w:vAlign w:val="center"/>
          </w:tcPr>
          <w:p w14:paraId="41A0A004">
            <w:pPr>
              <w:jc w:val="center"/>
              <w:rPr>
                <w:rFonts w:hAnsi="宋体" w:cs="宋体"/>
                <w:color w:val="auto"/>
                <w:szCs w:val="24"/>
                <w:highlight w:val="none"/>
              </w:rPr>
            </w:pPr>
            <w:r>
              <w:rPr>
                <w:rFonts w:hint="eastAsia" w:hAnsi="宋体" w:cs="宋体"/>
                <w:color w:val="auto"/>
                <w:szCs w:val="24"/>
                <w:highlight w:val="none"/>
              </w:rPr>
              <w:t>服务期限</w:t>
            </w:r>
          </w:p>
        </w:tc>
        <w:tc>
          <w:tcPr>
            <w:tcW w:w="1517" w:type="pct"/>
            <w:vAlign w:val="center"/>
          </w:tcPr>
          <w:p w14:paraId="27A30377">
            <w:pPr>
              <w:jc w:val="center"/>
              <w:rPr>
                <w:rFonts w:hint="default" w:hAnsi="宋体" w:eastAsia="宋体" w:cs="宋体"/>
                <w:color w:val="auto"/>
                <w:szCs w:val="24"/>
                <w:highlight w:val="none"/>
                <w:lang w:val="en-US" w:eastAsia="zh-CN"/>
              </w:rPr>
            </w:pPr>
            <w:r>
              <w:rPr>
                <w:rFonts w:hint="eastAsia" w:hAnsi="宋体" w:cs="宋体"/>
                <w:color w:val="auto"/>
                <w:szCs w:val="24"/>
                <w:highlight w:val="none"/>
                <w:lang w:val="en-US" w:eastAsia="zh-CN"/>
              </w:rPr>
              <w:t>项目负责人</w:t>
            </w:r>
          </w:p>
        </w:tc>
        <w:tc>
          <w:tcPr>
            <w:tcW w:w="782" w:type="pct"/>
            <w:vAlign w:val="center"/>
          </w:tcPr>
          <w:p w14:paraId="40941689">
            <w:pPr>
              <w:jc w:val="center"/>
              <w:rPr>
                <w:rFonts w:hAnsi="宋体" w:cs="宋体"/>
                <w:color w:val="auto"/>
                <w:szCs w:val="24"/>
                <w:highlight w:val="none"/>
              </w:rPr>
            </w:pPr>
            <w:r>
              <w:rPr>
                <w:rFonts w:hint="eastAsia" w:hAnsi="宋体" w:cs="宋体"/>
                <w:color w:val="auto"/>
                <w:szCs w:val="24"/>
                <w:highlight w:val="none"/>
              </w:rPr>
              <w:t>备注</w:t>
            </w:r>
          </w:p>
        </w:tc>
      </w:tr>
      <w:tr w14:paraId="6AC8A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295" w:type="pct"/>
            <w:vAlign w:val="center"/>
          </w:tcPr>
          <w:p w14:paraId="46BC479A">
            <w:pPr>
              <w:jc w:val="center"/>
              <w:rPr>
                <w:rFonts w:hAnsi="宋体" w:cs="宋体"/>
                <w:color w:val="auto"/>
                <w:szCs w:val="24"/>
                <w:highlight w:val="none"/>
              </w:rPr>
            </w:pPr>
          </w:p>
        </w:tc>
        <w:tc>
          <w:tcPr>
            <w:tcW w:w="1403" w:type="pct"/>
            <w:vAlign w:val="center"/>
          </w:tcPr>
          <w:p w14:paraId="6AB5F815">
            <w:pPr>
              <w:jc w:val="center"/>
              <w:rPr>
                <w:rFonts w:hAnsi="宋体" w:cs="宋体"/>
                <w:color w:val="auto"/>
                <w:szCs w:val="24"/>
                <w:highlight w:val="none"/>
              </w:rPr>
            </w:pPr>
          </w:p>
        </w:tc>
        <w:tc>
          <w:tcPr>
            <w:tcW w:w="1517" w:type="pct"/>
            <w:vAlign w:val="center"/>
          </w:tcPr>
          <w:p w14:paraId="2618C123">
            <w:pPr>
              <w:jc w:val="center"/>
              <w:rPr>
                <w:rFonts w:hAnsi="宋体" w:cs="宋体"/>
                <w:color w:val="auto"/>
                <w:szCs w:val="24"/>
                <w:highlight w:val="none"/>
              </w:rPr>
            </w:pPr>
          </w:p>
        </w:tc>
        <w:tc>
          <w:tcPr>
            <w:tcW w:w="782" w:type="pct"/>
            <w:vAlign w:val="center"/>
          </w:tcPr>
          <w:p w14:paraId="519A2B1E">
            <w:pPr>
              <w:jc w:val="center"/>
              <w:rPr>
                <w:rFonts w:hAnsi="宋体" w:cs="宋体"/>
                <w:color w:val="auto"/>
                <w:szCs w:val="24"/>
                <w:highlight w:val="none"/>
              </w:rPr>
            </w:pPr>
          </w:p>
        </w:tc>
      </w:tr>
      <w:tr w14:paraId="14E6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5000" w:type="pct"/>
            <w:gridSpan w:val="4"/>
            <w:vAlign w:val="center"/>
          </w:tcPr>
          <w:p w14:paraId="1F9ADA3F">
            <w:pPr>
              <w:jc w:val="center"/>
              <w:rPr>
                <w:rFonts w:hAnsi="宋体" w:cs="宋体"/>
                <w:color w:val="auto"/>
                <w:szCs w:val="24"/>
                <w:highlight w:val="none"/>
              </w:rPr>
            </w:pPr>
            <w:r>
              <w:rPr>
                <w:rFonts w:hint="eastAsia" w:hAnsi="宋体" w:cs="宋体"/>
                <w:color w:val="auto"/>
                <w:szCs w:val="24"/>
                <w:highlight w:val="none"/>
              </w:rPr>
              <w:t>磋商报价</w:t>
            </w:r>
            <w:r>
              <w:rPr>
                <w:rFonts w:hint="eastAsia" w:hAnsi="宋体" w:cs="宋体"/>
                <w:color w:val="auto"/>
                <w:szCs w:val="24"/>
                <w:highlight w:val="none"/>
                <w:lang w:eastAsia="zh-CN"/>
              </w:rPr>
              <w:t>（</w:t>
            </w:r>
            <w:r>
              <w:rPr>
                <w:rFonts w:hint="eastAsia" w:hAnsi="宋体" w:cs="宋体"/>
                <w:color w:val="auto"/>
                <w:szCs w:val="24"/>
                <w:highlight w:val="none"/>
                <w:lang w:val="en-US" w:eastAsia="zh-CN"/>
              </w:rPr>
              <w:t>单价合计</w:t>
            </w:r>
            <w:r>
              <w:rPr>
                <w:rFonts w:hint="eastAsia" w:hAnsi="宋体" w:cs="宋体"/>
                <w:color w:val="auto"/>
                <w:szCs w:val="24"/>
                <w:highlight w:val="none"/>
                <w:lang w:eastAsia="zh-CN"/>
              </w:rPr>
              <w:t>）</w:t>
            </w:r>
            <w:r>
              <w:rPr>
                <w:rFonts w:hint="eastAsia" w:hAnsi="宋体" w:cs="宋体"/>
                <w:color w:val="auto"/>
                <w:szCs w:val="24"/>
                <w:highlight w:val="none"/>
              </w:rPr>
              <w:t>（大写）：                             （小写：￥       ）</w:t>
            </w:r>
          </w:p>
        </w:tc>
      </w:tr>
      <w:tr w14:paraId="66878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5000" w:type="pct"/>
            <w:gridSpan w:val="4"/>
            <w:vAlign w:val="center"/>
          </w:tcPr>
          <w:p w14:paraId="5927F395">
            <w:pPr>
              <w:rPr>
                <w:rFonts w:hAnsi="宋体" w:cs="宋体"/>
                <w:color w:val="auto"/>
                <w:szCs w:val="24"/>
                <w:highlight w:val="none"/>
              </w:rPr>
            </w:pPr>
            <w:r>
              <w:rPr>
                <w:rFonts w:hint="eastAsia" w:hAnsi="宋体" w:cs="宋体"/>
                <w:color w:val="auto"/>
                <w:szCs w:val="24"/>
                <w:highlight w:val="none"/>
              </w:rPr>
              <w:t>备注：表内报价内容以元为单位，保留小数点后（</w:t>
            </w:r>
            <w:r>
              <w:rPr>
                <w:rFonts w:hint="eastAsia" w:hAnsi="宋体" w:cs="宋体"/>
                <w:b/>
                <w:color w:val="auto"/>
                <w:szCs w:val="24"/>
                <w:highlight w:val="none"/>
              </w:rPr>
              <w:t>两位</w:t>
            </w:r>
            <w:r>
              <w:rPr>
                <w:rFonts w:hint="eastAsia" w:hAnsi="宋体" w:cs="宋体"/>
                <w:color w:val="auto"/>
                <w:szCs w:val="24"/>
                <w:highlight w:val="none"/>
              </w:rPr>
              <w:t>）。</w:t>
            </w:r>
          </w:p>
        </w:tc>
      </w:tr>
    </w:tbl>
    <w:p w14:paraId="39E5AAA3">
      <w:pPr>
        <w:rPr>
          <w:rFonts w:hAnsi="宋体" w:cs="宋体"/>
          <w:color w:val="auto"/>
          <w:szCs w:val="24"/>
          <w:highlight w:val="none"/>
        </w:rPr>
      </w:pPr>
    </w:p>
    <w:p w14:paraId="2F7749F7">
      <w:pPr>
        <w:rPr>
          <w:rFonts w:hAnsi="宋体" w:cs="宋体"/>
          <w:color w:val="auto"/>
          <w:szCs w:val="24"/>
          <w:highlight w:val="none"/>
        </w:rPr>
      </w:pPr>
    </w:p>
    <w:p w14:paraId="1C89D53B">
      <w:pPr>
        <w:rPr>
          <w:rFonts w:hAnsi="宋体" w:cs="宋体"/>
          <w:color w:val="auto"/>
          <w:szCs w:val="24"/>
          <w:highlight w:val="none"/>
        </w:rPr>
      </w:pPr>
    </w:p>
    <w:p w14:paraId="56B99D8B">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45CC3094">
      <w:pPr>
        <w:spacing w:line="280" w:lineRule="exact"/>
        <w:ind w:right="617" w:rightChars="257"/>
        <w:jc w:val="left"/>
        <w:rPr>
          <w:rFonts w:hAnsi="宋体" w:cs="宋体"/>
          <w:color w:val="auto"/>
          <w:szCs w:val="24"/>
          <w:highlight w:val="none"/>
        </w:rPr>
      </w:pPr>
    </w:p>
    <w:p w14:paraId="66697A65">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3FC90BA5">
      <w:pPr>
        <w:spacing w:line="280" w:lineRule="exact"/>
        <w:ind w:right="617" w:rightChars="257"/>
        <w:jc w:val="left"/>
        <w:rPr>
          <w:rFonts w:hAnsi="宋体" w:cs="宋体"/>
          <w:color w:val="auto"/>
          <w:szCs w:val="24"/>
          <w:highlight w:val="none"/>
        </w:rPr>
      </w:pPr>
    </w:p>
    <w:p w14:paraId="2B746868">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34D2F902">
      <w:pPr>
        <w:jc w:val="center"/>
        <w:rPr>
          <w:rFonts w:hAnsi="宋体" w:cs="宋体"/>
          <w:color w:val="auto"/>
          <w:szCs w:val="24"/>
          <w:highlight w:val="none"/>
        </w:rPr>
      </w:pPr>
    </w:p>
    <w:p w14:paraId="38B43EA8">
      <w:pPr>
        <w:spacing w:beforeLines="50" w:afterLines="50" w:line="400" w:lineRule="atLeast"/>
        <w:rPr>
          <w:rFonts w:hAnsi="宋体" w:cs="宋体"/>
          <w:color w:val="auto"/>
          <w:szCs w:val="24"/>
          <w:highlight w:val="none"/>
          <w:u w:val="singl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1420DEBA">
      <w:pPr>
        <w:jc w:val="center"/>
        <w:rPr>
          <w:rFonts w:hAnsi="宋体" w:cs="宋体"/>
          <w:b/>
          <w:color w:val="auto"/>
          <w:sz w:val="30"/>
          <w:szCs w:val="30"/>
          <w:highlight w:val="none"/>
        </w:rPr>
      </w:pPr>
    </w:p>
    <w:p w14:paraId="6666C101">
      <w:pPr>
        <w:jc w:val="center"/>
        <w:outlineLvl w:val="2"/>
        <w:rPr>
          <w:rFonts w:hAnsi="宋体" w:cs="宋体"/>
          <w:b/>
          <w:color w:val="auto"/>
          <w:sz w:val="30"/>
          <w:szCs w:val="30"/>
          <w:highlight w:val="none"/>
        </w:rPr>
      </w:pPr>
      <w:r>
        <w:rPr>
          <w:rFonts w:hint="eastAsia" w:hAnsi="宋体" w:cs="宋体"/>
          <w:b/>
          <w:color w:val="auto"/>
          <w:sz w:val="30"/>
          <w:szCs w:val="30"/>
          <w:highlight w:val="none"/>
        </w:rPr>
        <w:br w:type="page"/>
      </w:r>
      <w:bookmarkStart w:id="171" w:name="_Toc8017"/>
      <w:bookmarkStart w:id="172" w:name="_Toc19127"/>
      <w:bookmarkStart w:id="173" w:name="_Toc8370"/>
      <w:bookmarkStart w:id="174" w:name="_Toc9220"/>
      <w:bookmarkStart w:id="175" w:name="_Toc11197"/>
      <w:bookmarkStart w:id="176" w:name="_Toc9760"/>
      <w:bookmarkStart w:id="177" w:name="_Toc4955"/>
      <w:r>
        <w:rPr>
          <w:rFonts w:hint="eastAsia" w:hAnsi="宋体" w:cs="宋体"/>
          <w:b/>
          <w:color w:val="auto"/>
          <w:sz w:val="30"/>
          <w:szCs w:val="30"/>
          <w:highlight w:val="none"/>
        </w:rPr>
        <w:t>2.2分项报价表</w:t>
      </w:r>
      <w:bookmarkEnd w:id="171"/>
      <w:bookmarkEnd w:id="172"/>
      <w:bookmarkEnd w:id="173"/>
      <w:bookmarkEnd w:id="174"/>
      <w:bookmarkEnd w:id="175"/>
      <w:bookmarkEnd w:id="176"/>
      <w:bookmarkEnd w:id="177"/>
    </w:p>
    <w:tbl>
      <w:tblPr>
        <w:tblStyle w:val="2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2"/>
        <w:gridCol w:w="2108"/>
        <w:gridCol w:w="3796"/>
        <w:gridCol w:w="843"/>
        <w:gridCol w:w="1054"/>
        <w:gridCol w:w="1081"/>
      </w:tblGrid>
      <w:tr w14:paraId="61DE5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000" w:type="pct"/>
            <w:gridSpan w:val="6"/>
            <w:tcBorders>
              <w:top w:val="nil"/>
              <w:left w:val="nil"/>
              <w:bottom w:val="nil"/>
              <w:right w:val="nil"/>
            </w:tcBorders>
            <w:shd w:val="clear" w:color="auto" w:fill="auto"/>
            <w:vAlign w:val="center"/>
          </w:tcPr>
          <w:p w14:paraId="1FF69C21">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西安市儿童医院吉祥物衍生品分项报价表</w:t>
            </w:r>
          </w:p>
        </w:tc>
      </w:tr>
      <w:tr w14:paraId="57AB0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332" w:type="pct"/>
            <w:tcBorders>
              <w:top w:val="single" w:color="000000" w:sz="4" w:space="0"/>
              <w:left w:val="single" w:color="000000" w:sz="4" w:space="0"/>
              <w:bottom w:val="single" w:color="000000" w:sz="4" w:space="0"/>
              <w:right w:val="single" w:color="000000" w:sz="4" w:space="0"/>
            </w:tcBorders>
            <w:shd w:val="clear" w:color="auto" w:fill="D9E1F2"/>
            <w:vAlign w:val="center"/>
          </w:tcPr>
          <w:p w14:paraId="484BFDB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108" w:type="pct"/>
            <w:tcBorders>
              <w:top w:val="single" w:color="000000" w:sz="4" w:space="0"/>
              <w:left w:val="single" w:color="000000" w:sz="4" w:space="0"/>
              <w:bottom w:val="single" w:color="000000" w:sz="4" w:space="0"/>
              <w:right w:val="single" w:color="000000" w:sz="4" w:space="0"/>
            </w:tcBorders>
            <w:shd w:val="clear" w:color="auto" w:fill="D9E1F2"/>
            <w:vAlign w:val="center"/>
          </w:tcPr>
          <w:p w14:paraId="4778F10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项目名称</w:t>
            </w:r>
          </w:p>
        </w:tc>
        <w:tc>
          <w:tcPr>
            <w:tcW w:w="1995" w:type="pct"/>
            <w:tcBorders>
              <w:top w:val="single" w:color="000000" w:sz="4" w:space="0"/>
              <w:left w:val="single" w:color="000000" w:sz="4" w:space="0"/>
              <w:bottom w:val="single" w:color="000000" w:sz="4" w:space="0"/>
              <w:right w:val="single" w:color="000000" w:sz="4" w:space="0"/>
            </w:tcBorders>
            <w:shd w:val="clear" w:color="auto" w:fill="D9E1F2"/>
            <w:vAlign w:val="center"/>
          </w:tcPr>
          <w:p w14:paraId="6FDA811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材质规格</w:t>
            </w:r>
          </w:p>
        </w:tc>
        <w:tc>
          <w:tcPr>
            <w:tcW w:w="443" w:type="pct"/>
            <w:tcBorders>
              <w:top w:val="single" w:color="000000" w:sz="4" w:space="0"/>
              <w:left w:val="single" w:color="000000" w:sz="4" w:space="0"/>
              <w:bottom w:val="single" w:color="000000" w:sz="4" w:space="0"/>
              <w:right w:val="single" w:color="000000" w:sz="4" w:space="0"/>
            </w:tcBorders>
            <w:shd w:val="clear" w:color="auto" w:fill="D9E1F2"/>
            <w:vAlign w:val="center"/>
          </w:tcPr>
          <w:p w14:paraId="359B188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554" w:type="pct"/>
            <w:tcBorders>
              <w:top w:val="single" w:color="000000" w:sz="4" w:space="0"/>
              <w:left w:val="single" w:color="000000" w:sz="4" w:space="0"/>
              <w:bottom w:val="single" w:color="000000" w:sz="4" w:space="0"/>
              <w:right w:val="single" w:color="000000" w:sz="4" w:space="0"/>
            </w:tcBorders>
            <w:shd w:val="clear" w:color="auto" w:fill="D9E1F2"/>
            <w:vAlign w:val="center"/>
          </w:tcPr>
          <w:p w14:paraId="4352A504">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单价</w:t>
            </w:r>
          </w:p>
          <w:p w14:paraId="559D4D7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限价</w:t>
            </w:r>
          </w:p>
        </w:tc>
        <w:tc>
          <w:tcPr>
            <w:tcW w:w="565" w:type="pct"/>
            <w:tcBorders>
              <w:top w:val="single" w:color="000000" w:sz="4" w:space="0"/>
              <w:left w:val="single" w:color="000000" w:sz="4" w:space="0"/>
              <w:bottom w:val="single" w:color="000000" w:sz="4" w:space="0"/>
              <w:right w:val="single" w:color="000000" w:sz="4" w:space="0"/>
            </w:tcBorders>
            <w:shd w:val="clear" w:color="auto" w:fill="D9E1F2"/>
            <w:vAlign w:val="center"/>
          </w:tcPr>
          <w:p w14:paraId="625463D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单价（元）</w:t>
            </w:r>
          </w:p>
        </w:tc>
      </w:tr>
      <w:tr w14:paraId="1EAB0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5E6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6D4A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IP形象公仔玩偶</w:t>
            </w:r>
          </w:p>
        </w:tc>
        <w:tc>
          <w:tcPr>
            <w:tcW w:w="19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B43A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30cm高，面料和填充物为聚酯纤维</w:t>
            </w:r>
          </w:p>
        </w:tc>
        <w:tc>
          <w:tcPr>
            <w:tcW w:w="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B60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36A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5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6D938">
            <w:pPr>
              <w:jc w:val="center"/>
              <w:rPr>
                <w:rFonts w:hint="eastAsia" w:ascii="宋体" w:hAnsi="宋体" w:eastAsia="宋体" w:cs="宋体"/>
                <w:i w:val="0"/>
                <w:iCs w:val="0"/>
                <w:color w:val="000000"/>
                <w:sz w:val="22"/>
                <w:szCs w:val="22"/>
                <w:u w:val="none"/>
              </w:rPr>
            </w:pPr>
          </w:p>
        </w:tc>
      </w:tr>
      <w:tr w14:paraId="30B72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3" w:hRule="atLeast"/>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65A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1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487A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IP形象公仔玩偶</w:t>
            </w:r>
          </w:p>
        </w:tc>
        <w:tc>
          <w:tcPr>
            <w:tcW w:w="19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C563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45cm高，面料和填充物为聚酯纤维</w:t>
            </w:r>
          </w:p>
        </w:tc>
        <w:tc>
          <w:tcPr>
            <w:tcW w:w="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BDD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D7F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5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39BE1">
            <w:pPr>
              <w:jc w:val="center"/>
              <w:rPr>
                <w:rFonts w:hint="eastAsia" w:ascii="宋体" w:hAnsi="宋体" w:eastAsia="宋体" w:cs="宋体"/>
                <w:i w:val="0"/>
                <w:iCs w:val="0"/>
                <w:color w:val="000000"/>
                <w:sz w:val="22"/>
                <w:szCs w:val="22"/>
                <w:u w:val="none"/>
              </w:rPr>
            </w:pPr>
          </w:p>
        </w:tc>
      </w:tr>
      <w:tr w14:paraId="43971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1CC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14FE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IP形象公仔钥匙扣</w:t>
            </w:r>
          </w:p>
        </w:tc>
        <w:tc>
          <w:tcPr>
            <w:tcW w:w="19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7E9D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7cm高，材料：亚克力+pvc手腕带</w:t>
            </w:r>
          </w:p>
        </w:tc>
        <w:tc>
          <w:tcPr>
            <w:tcW w:w="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F61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0A9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5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8B49E">
            <w:pPr>
              <w:jc w:val="center"/>
              <w:rPr>
                <w:rFonts w:hint="eastAsia" w:ascii="宋体" w:hAnsi="宋体" w:eastAsia="宋体" w:cs="宋体"/>
                <w:i w:val="0"/>
                <w:iCs w:val="0"/>
                <w:color w:val="000000"/>
                <w:sz w:val="22"/>
                <w:szCs w:val="22"/>
                <w:u w:val="none"/>
              </w:rPr>
            </w:pPr>
          </w:p>
        </w:tc>
      </w:tr>
      <w:tr w14:paraId="12E68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8" w:hRule="atLeast"/>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720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1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8C6C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玩偶服</w:t>
            </w:r>
          </w:p>
        </w:tc>
        <w:tc>
          <w:tcPr>
            <w:tcW w:w="19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9A6C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成人可穿，加厚仿醋酸锻</w:t>
            </w:r>
          </w:p>
        </w:tc>
        <w:tc>
          <w:tcPr>
            <w:tcW w:w="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BA1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9B0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1600</w:t>
            </w:r>
          </w:p>
        </w:tc>
        <w:tc>
          <w:tcPr>
            <w:tcW w:w="5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1AD0B">
            <w:pPr>
              <w:jc w:val="center"/>
              <w:rPr>
                <w:rFonts w:hint="eastAsia" w:ascii="宋体" w:hAnsi="宋体" w:eastAsia="宋体" w:cs="宋体"/>
                <w:i w:val="0"/>
                <w:iCs w:val="0"/>
                <w:color w:val="000000"/>
                <w:sz w:val="22"/>
                <w:szCs w:val="22"/>
                <w:u w:val="none"/>
              </w:rPr>
            </w:pPr>
          </w:p>
        </w:tc>
      </w:tr>
      <w:tr w14:paraId="3EAA2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4" w:hRule="atLeast"/>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D1C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F84D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玩偶头套</w:t>
            </w:r>
          </w:p>
        </w:tc>
        <w:tc>
          <w:tcPr>
            <w:tcW w:w="19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4DC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成人可穿，毛绒材质填充pp棉</w:t>
            </w:r>
          </w:p>
        </w:tc>
        <w:tc>
          <w:tcPr>
            <w:tcW w:w="4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234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620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1600</w:t>
            </w:r>
          </w:p>
        </w:tc>
        <w:tc>
          <w:tcPr>
            <w:tcW w:w="5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E8BF2">
            <w:pPr>
              <w:jc w:val="center"/>
              <w:rPr>
                <w:rFonts w:hint="eastAsia" w:ascii="宋体" w:hAnsi="宋体" w:eastAsia="宋体" w:cs="宋体"/>
                <w:i w:val="0"/>
                <w:iCs w:val="0"/>
                <w:color w:val="000000"/>
                <w:sz w:val="22"/>
                <w:szCs w:val="22"/>
                <w:u w:val="none"/>
              </w:rPr>
            </w:pPr>
          </w:p>
        </w:tc>
      </w:tr>
      <w:tr w14:paraId="38085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8684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分项报价合计：     元</w:t>
            </w:r>
          </w:p>
        </w:tc>
      </w:tr>
      <w:tr w14:paraId="12906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000" w:type="pct"/>
            <w:gridSpan w:val="6"/>
            <w:tcBorders>
              <w:top w:val="nil"/>
              <w:left w:val="nil"/>
              <w:bottom w:val="nil"/>
              <w:right w:val="nil"/>
            </w:tcBorders>
            <w:shd w:val="clear" w:color="auto" w:fill="auto"/>
            <w:vAlign w:val="center"/>
          </w:tcPr>
          <w:p w14:paraId="2182F0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注：1. 报价应包含货物本体、包装、运输、税费等全部费用；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单价不得超过对应分项最高限价。</w:t>
            </w:r>
          </w:p>
        </w:tc>
      </w:tr>
    </w:tbl>
    <w:p w14:paraId="4065B6C4">
      <w:pPr>
        <w:spacing w:line="280" w:lineRule="exact"/>
        <w:ind w:right="617" w:rightChars="257"/>
        <w:jc w:val="left"/>
        <w:rPr>
          <w:rFonts w:hint="eastAsia" w:hAnsi="宋体" w:cs="宋体"/>
          <w:color w:val="auto"/>
          <w:szCs w:val="24"/>
          <w:highlight w:val="none"/>
        </w:rPr>
      </w:pPr>
    </w:p>
    <w:p w14:paraId="4F38A0AC">
      <w:pPr>
        <w:spacing w:line="280" w:lineRule="exact"/>
        <w:ind w:right="617" w:rightChars="257"/>
        <w:jc w:val="left"/>
        <w:rPr>
          <w:rFonts w:hint="eastAsia" w:hAnsi="宋体" w:cs="宋体"/>
          <w:color w:val="auto"/>
          <w:szCs w:val="24"/>
          <w:highlight w:val="none"/>
        </w:rPr>
      </w:pPr>
    </w:p>
    <w:p w14:paraId="70E6345A">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3B2D9598">
      <w:pPr>
        <w:spacing w:line="280" w:lineRule="exact"/>
        <w:ind w:right="617" w:rightChars="257"/>
        <w:jc w:val="left"/>
        <w:rPr>
          <w:rFonts w:hAnsi="宋体" w:cs="宋体"/>
          <w:color w:val="auto"/>
          <w:szCs w:val="24"/>
          <w:highlight w:val="none"/>
        </w:rPr>
      </w:pPr>
    </w:p>
    <w:p w14:paraId="61569194">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00ADA5B7">
      <w:pPr>
        <w:spacing w:line="280" w:lineRule="exact"/>
        <w:ind w:right="617" w:rightChars="257"/>
        <w:jc w:val="left"/>
        <w:rPr>
          <w:rFonts w:hAnsi="宋体" w:cs="宋体"/>
          <w:color w:val="auto"/>
          <w:szCs w:val="24"/>
          <w:highlight w:val="none"/>
        </w:rPr>
      </w:pPr>
    </w:p>
    <w:p w14:paraId="1F8E8F6F">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79F3E566">
      <w:pPr>
        <w:rPr>
          <w:rFonts w:hAnsi="宋体" w:cs="宋体"/>
          <w:color w:val="auto"/>
          <w:highlight w:val="none"/>
        </w:rPr>
      </w:pPr>
    </w:p>
    <w:bookmarkEnd w:id="147"/>
    <w:p w14:paraId="2000A8C6">
      <w:pPr>
        <w:jc w:val="center"/>
        <w:outlineLvl w:val="1"/>
        <w:rPr>
          <w:rFonts w:hAnsi="宋体" w:cs="宋体"/>
          <w:color w:val="auto"/>
          <w:sz w:val="32"/>
          <w:szCs w:val="32"/>
          <w:highlight w:val="none"/>
        </w:rPr>
      </w:pPr>
      <w:bookmarkStart w:id="178" w:name="_Toc344572163"/>
      <w:r>
        <w:rPr>
          <w:rFonts w:hint="eastAsia" w:hAnsi="宋体" w:cs="宋体"/>
          <w:color w:val="auto"/>
          <w:sz w:val="32"/>
          <w:szCs w:val="32"/>
          <w:highlight w:val="none"/>
        </w:rPr>
        <w:br w:type="page"/>
      </w:r>
      <w:bookmarkStart w:id="179" w:name="_Toc24936"/>
      <w:bookmarkStart w:id="180" w:name="_Toc16294"/>
      <w:bookmarkStart w:id="181" w:name="_Toc5944"/>
      <w:bookmarkStart w:id="182" w:name="_Toc24059"/>
      <w:bookmarkStart w:id="183" w:name="_Toc32541"/>
      <w:bookmarkStart w:id="184" w:name="_Toc3628"/>
      <w:bookmarkStart w:id="185" w:name="_Toc32126"/>
      <w:r>
        <w:rPr>
          <w:rFonts w:hint="eastAsia" w:hAnsi="宋体" w:cs="宋体"/>
          <w:b/>
          <w:bCs/>
          <w:color w:val="auto"/>
          <w:sz w:val="32"/>
          <w:szCs w:val="32"/>
          <w:highlight w:val="none"/>
        </w:rPr>
        <w:t>三、磋商方案说明书</w:t>
      </w:r>
      <w:bookmarkEnd w:id="179"/>
      <w:bookmarkEnd w:id="180"/>
      <w:bookmarkEnd w:id="181"/>
      <w:bookmarkEnd w:id="182"/>
      <w:bookmarkEnd w:id="183"/>
      <w:bookmarkEnd w:id="184"/>
      <w:bookmarkEnd w:id="185"/>
    </w:p>
    <w:p w14:paraId="51430E57">
      <w:pPr>
        <w:spacing w:after="120" w:line="440" w:lineRule="exact"/>
        <w:rPr>
          <w:rFonts w:hAnsi="宋体" w:cs="宋体"/>
          <w:color w:val="auto"/>
          <w:szCs w:val="24"/>
          <w:highlight w:val="none"/>
        </w:rPr>
      </w:pPr>
      <w:r>
        <w:rPr>
          <w:rFonts w:hint="eastAsia" w:hAnsi="宋体" w:cs="宋体"/>
          <w:color w:val="auto"/>
          <w:szCs w:val="24"/>
          <w:highlight w:val="none"/>
        </w:rPr>
        <w:t>项目名称：</w:t>
      </w:r>
    </w:p>
    <w:p w14:paraId="737B5831">
      <w:pPr>
        <w:tabs>
          <w:tab w:val="left" w:pos="1800"/>
        </w:tabs>
        <w:spacing w:after="120" w:line="440" w:lineRule="exact"/>
        <w:rPr>
          <w:rFonts w:hAnsi="宋体" w:cs="宋体"/>
          <w:color w:val="auto"/>
          <w:szCs w:val="24"/>
          <w:highlight w:val="none"/>
        </w:rPr>
      </w:pPr>
      <w:r>
        <w:rPr>
          <w:rFonts w:hint="eastAsia" w:hAnsi="宋体" w:cs="宋体"/>
          <w:color w:val="auto"/>
          <w:szCs w:val="24"/>
          <w:highlight w:val="none"/>
        </w:rPr>
        <w:t>项目编号：</w:t>
      </w:r>
    </w:p>
    <w:p w14:paraId="5EB4FC56">
      <w:pPr>
        <w:spacing w:line="480" w:lineRule="auto"/>
        <w:ind w:firstLine="480" w:firstLineChars="200"/>
        <w:rPr>
          <w:rFonts w:hAnsi="宋体" w:cs="宋体"/>
          <w:b/>
          <w:bCs/>
          <w:color w:val="auto"/>
          <w:szCs w:val="24"/>
          <w:highlight w:val="none"/>
        </w:rPr>
      </w:pPr>
      <w:r>
        <w:rPr>
          <w:rFonts w:hint="eastAsia" w:hAnsi="宋体" w:cs="宋体"/>
          <w:color w:val="auto"/>
          <w:szCs w:val="24"/>
          <w:highlight w:val="none"/>
        </w:rPr>
        <w:t>按照磋商文件的要求编制的磋商方案说明书</w:t>
      </w:r>
      <w:r>
        <w:rPr>
          <w:rFonts w:hint="eastAsia" w:hAnsi="宋体" w:cs="宋体"/>
          <w:b/>
          <w:bCs/>
          <w:color w:val="auto"/>
          <w:szCs w:val="24"/>
          <w:highlight w:val="none"/>
        </w:rPr>
        <w:t>（可参照第三章评审办法进行响应）。</w:t>
      </w:r>
    </w:p>
    <w:p w14:paraId="5E60BAA9">
      <w:pPr>
        <w:pStyle w:val="9"/>
        <w:rPr>
          <w:color w:val="auto"/>
          <w:highlight w:val="none"/>
        </w:rPr>
      </w:pPr>
    </w:p>
    <w:p w14:paraId="30601DCC">
      <w:pPr>
        <w:pStyle w:val="9"/>
        <w:rPr>
          <w:color w:val="auto"/>
          <w:highlight w:val="none"/>
        </w:rPr>
      </w:pPr>
    </w:p>
    <w:p w14:paraId="45C2FAC7">
      <w:pPr>
        <w:rPr>
          <w:rFonts w:hAnsi="宋体" w:cs="宋体"/>
          <w:color w:val="auto"/>
          <w:highlight w:val="none"/>
        </w:rPr>
      </w:pPr>
    </w:p>
    <w:p w14:paraId="545438FB">
      <w:pPr>
        <w:pStyle w:val="9"/>
        <w:rPr>
          <w:color w:val="auto"/>
          <w:highlight w:val="none"/>
        </w:rPr>
      </w:pPr>
    </w:p>
    <w:p w14:paraId="47A97442">
      <w:pPr>
        <w:spacing w:line="480" w:lineRule="auto"/>
        <w:ind w:left="3725" w:leftChars="1552"/>
        <w:rPr>
          <w:rFonts w:hAnsi="宋体" w:cs="宋体"/>
          <w:color w:val="auto"/>
          <w:szCs w:val="24"/>
          <w:highlight w:val="none"/>
        </w:rPr>
      </w:pPr>
      <w:r>
        <w:rPr>
          <w:rFonts w:hint="eastAsia" w:hAnsi="宋体" w:cs="宋体"/>
          <w:color w:val="auto"/>
          <w:szCs w:val="24"/>
          <w:highlight w:val="none"/>
        </w:rPr>
        <w:t>法定代表人/被授权人签字或盖章：</w:t>
      </w:r>
    </w:p>
    <w:p w14:paraId="5FB502F9">
      <w:pPr>
        <w:spacing w:line="480" w:lineRule="auto"/>
        <w:ind w:left="3725" w:leftChars="1552"/>
        <w:rPr>
          <w:rFonts w:hAnsi="宋体" w:cs="宋体"/>
          <w:color w:val="auto"/>
          <w:szCs w:val="24"/>
          <w:highlight w:val="none"/>
        </w:rPr>
      </w:pPr>
    </w:p>
    <w:p w14:paraId="22D0F3D4">
      <w:pPr>
        <w:spacing w:line="480" w:lineRule="auto"/>
        <w:ind w:left="3725" w:leftChars="1552"/>
        <w:rPr>
          <w:rFonts w:hAnsi="宋体" w:cs="宋体"/>
          <w:color w:val="auto"/>
          <w:szCs w:val="24"/>
          <w:highlight w:val="none"/>
        </w:rPr>
      </w:pPr>
      <w:r>
        <w:rPr>
          <w:rFonts w:hint="eastAsia" w:hAnsi="宋体" w:cs="宋体"/>
          <w:color w:val="auto"/>
          <w:szCs w:val="24"/>
          <w:highlight w:val="none"/>
        </w:rPr>
        <w:t>公      章：</w:t>
      </w:r>
    </w:p>
    <w:p w14:paraId="051DA24D">
      <w:pPr>
        <w:spacing w:line="480" w:lineRule="auto"/>
        <w:ind w:left="3725" w:leftChars="1552" w:firstLine="5668" w:firstLineChars="2362"/>
        <w:rPr>
          <w:rFonts w:hAnsi="宋体" w:cs="宋体"/>
          <w:color w:val="auto"/>
          <w:szCs w:val="24"/>
          <w:highlight w:val="none"/>
        </w:rPr>
      </w:pPr>
    </w:p>
    <w:p w14:paraId="5050BA67">
      <w:pPr>
        <w:spacing w:line="480" w:lineRule="auto"/>
        <w:ind w:left="3725" w:leftChars="1552"/>
        <w:rPr>
          <w:rFonts w:hAnsi="宋体" w:cs="宋体"/>
          <w:color w:val="auto"/>
          <w:szCs w:val="24"/>
          <w:highlight w:val="none"/>
        </w:rPr>
      </w:pPr>
      <w:r>
        <w:rPr>
          <w:rFonts w:hint="eastAsia" w:hAnsi="宋体" w:cs="宋体"/>
          <w:color w:val="auto"/>
          <w:szCs w:val="24"/>
          <w:highlight w:val="none"/>
        </w:rPr>
        <w:t>日      期：</w:t>
      </w:r>
    </w:p>
    <w:p w14:paraId="2B718856">
      <w:pPr>
        <w:spacing w:after="120" w:line="480" w:lineRule="auto"/>
        <w:rPr>
          <w:rFonts w:hAnsi="宋体" w:cs="宋体"/>
          <w:b/>
          <w:color w:val="auto"/>
          <w:szCs w:val="24"/>
          <w:highlight w:val="none"/>
        </w:rPr>
      </w:pPr>
    </w:p>
    <w:p w14:paraId="2DEE8BF7">
      <w:pPr>
        <w:spacing w:after="120"/>
        <w:rPr>
          <w:rFonts w:hAnsi="宋体" w:cs="宋体"/>
          <w:b/>
          <w:color w:val="auto"/>
          <w:szCs w:val="24"/>
          <w:highlight w:val="none"/>
        </w:rPr>
      </w:pPr>
    </w:p>
    <w:p w14:paraId="18991D2F">
      <w:pPr>
        <w:spacing w:after="120"/>
        <w:rPr>
          <w:rFonts w:hAnsi="宋体" w:cs="宋体"/>
          <w:b/>
          <w:color w:val="auto"/>
          <w:szCs w:val="24"/>
          <w:highlight w:val="none"/>
        </w:rPr>
      </w:pPr>
    </w:p>
    <w:p w14:paraId="56AE92DD">
      <w:pPr>
        <w:spacing w:after="120"/>
        <w:rPr>
          <w:rFonts w:hAnsi="宋体" w:cs="宋体"/>
          <w:b/>
          <w:color w:val="auto"/>
          <w:szCs w:val="24"/>
          <w:highlight w:val="none"/>
        </w:rPr>
      </w:pPr>
    </w:p>
    <w:p w14:paraId="2E2F23CF">
      <w:pPr>
        <w:rPr>
          <w:rFonts w:hAnsi="宋体" w:cs="宋体"/>
          <w:b/>
          <w:color w:val="auto"/>
          <w:szCs w:val="24"/>
          <w:highlight w:val="none"/>
        </w:rPr>
      </w:pPr>
      <w:r>
        <w:rPr>
          <w:rFonts w:hint="eastAsia" w:hAnsi="宋体" w:cs="宋体"/>
          <w:b/>
          <w:color w:val="auto"/>
          <w:szCs w:val="24"/>
          <w:highlight w:val="none"/>
        </w:rPr>
        <w:br w:type="page"/>
      </w:r>
      <w:bookmarkStart w:id="186" w:name="_Toc2621"/>
      <w:bookmarkStart w:id="187" w:name="_Toc23455"/>
      <w:bookmarkStart w:id="188" w:name="_Toc21284"/>
      <w:bookmarkStart w:id="189" w:name="_Toc1379"/>
      <w:bookmarkStart w:id="190" w:name="_Toc9218"/>
      <w:bookmarkStart w:id="191" w:name="_Toc8845"/>
      <w:bookmarkStart w:id="192" w:name="_Toc15265"/>
      <w:bookmarkStart w:id="193" w:name="_Toc5662"/>
    </w:p>
    <w:p w14:paraId="3EED5C15">
      <w:pPr>
        <w:ind w:firstLine="161" w:firstLineChars="50"/>
        <w:jc w:val="center"/>
        <w:outlineLvl w:val="1"/>
        <w:rPr>
          <w:rFonts w:hAnsi="宋体" w:cs="宋体"/>
          <w:color w:val="auto"/>
          <w:sz w:val="32"/>
          <w:szCs w:val="32"/>
          <w:highlight w:val="none"/>
        </w:rPr>
      </w:pPr>
      <w:bookmarkStart w:id="194" w:name="_Toc4503"/>
      <w:bookmarkStart w:id="195" w:name="_Toc24464"/>
      <w:bookmarkStart w:id="196" w:name="_Toc3626"/>
      <w:bookmarkStart w:id="197" w:name="_Toc31151"/>
      <w:r>
        <w:rPr>
          <w:rFonts w:hint="eastAsia" w:hAnsi="宋体" w:cs="宋体"/>
          <w:b/>
          <w:bCs/>
          <w:color w:val="auto"/>
          <w:sz w:val="32"/>
          <w:szCs w:val="32"/>
          <w:highlight w:val="none"/>
        </w:rPr>
        <w:t>四、</w:t>
      </w:r>
      <w:bookmarkEnd w:id="186"/>
      <w:bookmarkEnd w:id="187"/>
      <w:bookmarkEnd w:id="188"/>
      <w:bookmarkEnd w:id="189"/>
      <w:bookmarkEnd w:id="190"/>
      <w:r>
        <w:rPr>
          <w:rFonts w:hint="eastAsia" w:hAnsi="宋体" w:cs="宋体"/>
          <w:b/>
          <w:bCs/>
          <w:color w:val="auto"/>
          <w:sz w:val="32"/>
          <w:szCs w:val="32"/>
          <w:highlight w:val="none"/>
        </w:rPr>
        <w:t>商务条款偏离表</w:t>
      </w:r>
      <w:bookmarkEnd w:id="191"/>
      <w:bookmarkEnd w:id="192"/>
      <w:bookmarkEnd w:id="193"/>
      <w:bookmarkEnd w:id="194"/>
      <w:bookmarkEnd w:id="195"/>
      <w:bookmarkEnd w:id="196"/>
      <w:bookmarkEnd w:id="197"/>
    </w:p>
    <w:p w14:paraId="20385B01">
      <w:pPr>
        <w:pStyle w:val="19"/>
        <w:widowControl w:val="0"/>
        <w:spacing w:before="0" w:beforeAutospacing="0" w:after="0" w:afterAutospacing="0"/>
        <w:jc w:val="both"/>
        <w:rPr>
          <w:rFonts w:cs="宋体"/>
          <w:color w:val="auto"/>
          <w:highlight w:val="none"/>
        </w:rPr>
      </w:pPr>
    </w:p>
    <w:p w14:paraId="51C350C8">
      <w:pPr>
        <w:pStyle w:val="19"/>
        <w:widowControl w:val="0"/>
        <w:spacing w:beforeLines="50" w:beforeAutospacing="0" w:afterLines="50" w:afterAutospacing="0"/>
        <w:rPr>
          <w:rFonts w:cs="宋体"/>
          <w:color w:val="auto"/>
          <w:highlight w:val="none"/>
        </w:rPr>
      </w:pPr>
      <w:r>
        <w:rPr>
          <w:rFonts w:hint="eastAsia" w:cs="宋体"/>
          <w:color w:val="auto"/>
          <w:highlight w:val="none"/>
        </w:rPr>
        <w:t>项目编号：</w:t>
      </w:r>
    </w:p>
    <w:p w14:paraId="390A83D6">
      <w:pPr>
        <w:pStyle w:val="19"/>
        <w:widowControl w:val="0"/>
        <w:spacing w:beforeLines="50" w:beforeAutospacing="0" w:afterLines="50" w:afterAutospacing="0"/>
        <w:rPr>
          <w:rFonts w:cs="宋体"/>
          <w:color w:val="auto"/>
          <w:highlight w:val="none"/>
          <w:u w:val="single"/>
        </w:rPr>
      </w:pPr>
      <w:r>
        <w:rPr>
          <w:rFonts w:hint="eastAsia" w:cs="宋体"/>
          <w:color w:val="auto"/>
          <w:highlight w:val="none"/>
        </w:rPr>
        <w:t>项目名称：</w:t>
      </w:r>
    </w:p>
    <w:p w14:paraId="40FDBF82">
      <w:pPr>
        <w:pStyle w:val="19"/>
        <w:widowControl w:val="0"/>
        <w:spacing w:before="0" w:beforeAutospacing="0" w:after="0" w:afterAutospacing="0"/>
        <w:ind w:firstLine="480" w:firstLineChars="200"/>
        <w:jc w:val="center"/>
        <w:rPr>
          <w:rFonts w:cs="宋体"/>
          <w:color w:val="auto"/>
          <w:highlight w:val="none"/>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09A1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AC0DE5D">
            <w:pPr>
              <w:pStyle w:val="19"/>
              <w:widowControl w:val="0"/>
              <w:spacing w:before="0" w:beforeAutospacing="0" w:after="0" w:afterAutospacing="0"/>
              <w:jc w:val="center"/>
              <w:rPr>
                <w:rFonts w:cs="宋体"/>
                <w:color w:val="auto"/>
                <w:highlight w:val="none"/>
              </w:rPr>
            </w:pPr>
            <w:r>
              <w:rPr>
                <w:rFonts w:hint="eastAsia" w:cs="宋体"/>
                <w:color w:val="auto"/>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59951533">
            <w:pPr>
              <w:pStyle w:val="19"/>
              <w:widowControl w:val="0"/>
              <w:spacing w:before="0" w:beforeAutospacing="0" w:after="0" w:afterAutospacing="0"/>
              <w:jc w:val="center"/>
              <w:rPr>
                <w:rFonts w:cs="宋体"/>
                <w:color w:val="auto"/>
                <w:highlight w:val="none"/>
              </w:rPr>
            </w:pPr>
            <w:r>
              <w:rPr>
                <w:rFonts w:hint="eastAsia" w:cs="宋体"/>
                <w:color w:val="auto"/>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vAlign w:val="center"/>
          </w:tcPr>
          <w:p w14:paraId="0872A75D">
            <w:pPr>
              <w:pStyle w:val="19"/>
              <w:widowControl w:val="0"/>
              <w:spacing w:before="0" w:beforeAutospacing="0" w:after="0" w:afterAutospacing="0"/>
              <w:jc w:val="center"/>
              <w:rPr>
                <w:rFonts w:cs="宋体"/>
                <w:color w:val="auto"/>
                <w:highlight w:val="none"/>
              </w:rPr>
            </w:pPr>
            <w:r>
              <w:rPr>
                <w:rFonts w:hint="eastAsia" w:cs="宋体"/>
                <w:color w:val="auto"/>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vAlign w:val="center"/>
          </w:tcPr>
          <w:p w14:paraId="68AD2072">
            <w:pPr>
              <w:pStyle w:val="19"/>
              <w:widowControl w:val="0"/>
              <w:spacing w:before="0" w:beforeAutospacing="0" w:after="0" w:afterAutospacing="0"/>
              <w:jc w:val="center"/>
              <w:rPr>
                <w:rFonts w:cs="宋体"/>
                <w:color w:val="auto"/>
                <w:highlight w:val="none"/>
              </w:rPr>
            </w:pPr>
            <w:r>
              <w:rPr>
                <w:rFonts w:hint="eastAsia" w:cs="宋体"/>
                <w:color w:val="auto"/>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1F2BBA4E">
            <w:pPr>
              <w:pStyle w:val="19"/>
              <w:widowControl w:val="0"/>
              <w:spacing w:before="0" w:beforeAutospacing="0" w:after="0" w:afterAutospacing="0"/>
              <w:jc w:val="center"/>
              <w:rPr>
                <w:rFonts w:cs="宋体"/>
                <w:color w:val="auto"/>
                <w:highlight w:val="none"/>
              </w:rPr>
            </w:pPr>
            <w:r>
              <w:rPr>
                <w:rFonts w:hint="eastAsia" w:cs="宋体"/>
                <w:color w:val="auto"/>
                <w:highlight w:val="none"/>
              </w:rPr>
              <w:t>说明</w:t>
            </w:r>
          </w:p>
        </w:tc>
      </w:tr>
      <w:tr w14:paraId="1CA4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74BF68B4">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F1EDE94">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C9A58A2">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168542A6">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F5E6D6F">
            <w:pPr>
              <w:pStyle w:val="19"/>
              <w:widowControl w:val="0"/>
              <w:spacing w:before="0" w:beforeAutospacing="0" w:after="0" w:afterAutospacing="0"/>
              <w:ind w:firstLine="480" w:firstLineChars="200"/>
              <w:jc w:val="center"/>
              <w:rPr>
                <w:rFonts w:cs="宋体"/>
                <w:color w:val="auto"/>
                <w:highlight w:val="none"/>
              </w:rPr>
            </w:pPr>
          </w:p>
        </w:tc>
      </w:tr>
      <w:tr w14:paraId="13335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C1604B3">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454390D0">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718106C8">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C7A52AF">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DE9F6AA">
            <w:pPr>
              <w:pStyle w:val="19"/>
              <w:widowControl w:val="0"/>
              <w:spacing w:before="0" w:beforeAutospacing="0" w:after="0" w:afterAutospacing="0"/>
              <w:ind w:firstLine="480" w:firstLineChars="200"/>
              <w:jc w:val="center"/>
              <w:rPr>
                <w:rFonts w:cs="宋体"/>
                <w:color w:val="auto"/>
                <w:highlight w:val="none"/>
              </w:rPr>
            </w:pPr>
          </w:p>
        </w:tc>
      </w:tr>
      <w:tr w14:paraId="28272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5A6DBF0">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2427623">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110A7B37">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572C3411">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55F0A0B">
            <w:pPr>
              <w:pStyle w:val="19"/>
              <w:widowControl w:val="0"/>
              <w:spacing w:before="0" w:beforeAutospacing="0" w:after="0" w:afterAutospacing="0"/>
              <w:ind w:firstLine="480" w:firstLineChars="200"/>
              <w:jc w:val="center"/>
              <w:rPr>
                <w:rFonts w:cs="宋体"/>
                <w:color w:val="auto"/>
                <w:highlight w:val="none"/>
              </w:rPr>
            </w:pPr>
          </w:p>
        </w:tc>
      </w:tr>
      <w:tr w14:paraId="4F79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DBDA084">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17075A0">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0264917">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01A5F00C">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136F0DF">
            <w:pPr>
              <w:pStyle w:val="19"/>
              <w:widowControl w:val="0"/>
              <w:spacing w:before="0" w:beforeAutospacing="0" w:after="0" w:afterAutospacing="0"/>
              <w:ind w:firstLine="480" w:firstLineChars="200"/>
              <w:jc w:val="center"/>
              <w:rPr>
                <w:rFonts w:cs="宋体"/>
                <w:color w:val="auto"/>
                <w:highlight w:val="none"/>
              </w:rPr>
            </w:pPr>
          </w:p>
        </w:tc>
      </w:tr>
      <w:tr w14:paraId="3CF03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DBBDB0C">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2F34D91">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2E32AE31">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22D2BDB">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6CE1F97">
            <w:pPr>
              <w:pStyle w:val="19"/>
              <w:widowControl w:val="0"/>
              <w:spacing w:before="0" w:beforeAutospacing="0" w:after="0" w:afterAutospacing="0"/>
              <w:ind w:firstLine="480" w:firstLineChars="200"/>
              <w:jc w:val="center"/>
              <w:rPr>
                <w:rFonts w:cs="宋体"/>
                <w:color w:val="auto"/>
                <w:highlight w:val="none"/>
              </w:rPr>
            </w:pPr>
          </w:p>
        </w:tc>
      </w:tr>
      <w:tr w14:paraId="65D61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9E37F9E">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B8A730F">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F0EC614">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06D9D65">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95A448B">
            <w:pPr>
              <w:pStyle w:val="19"/>
              <w:widowControl w:val="0"/>
              <w:spacing w:before="0" w:beforeAutospacing="0" w:after="0" w:afterAutospacing="0"/>
              <w:ind w:firstLine="480" w:firstLineChars="200"/>
              <w:jc w:val="center"/>
              <w:rPr>
                <w:rFonts w:cs="宋体"/>
                <w:color w:val="auto"/>
                <w:highlight w:val="none"/>
              </w:rPr>
            </w:pPr>
          </w:p>
        </w:tc>
      </w:tr>
      <w:tr w14:paraId="24B82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A38C4F2">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DBF0584">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63609A4">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D6C7B01">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A6A5DD7">
            <w:pPr>
              <w:pStyle w:val="19"/>
              <w:widowControl w:val="0"/>
              <w:spacing w:before="0" w:beforeAutospacing="0" w:after="0" w:afterAutospacing="0"/>
              <w:ind w:firstLine="480" w:firstLineChars="200"/>
              <w:jc w:val="center"/>
              <w:rPr>
                <w:rFonts w:cs="宋体"/>
                <w:color w:val="auto"/>
                <w:highlight w:val="none"/>
              </w:rPr>
            </w:pPr>
          </w:p>
        </w:tc>
      </w:tr>
    </w:tbl>
    <w:p w14:paraId="0719B666">
      <w:pPr>
        <w:pStyle w:val="19"/>
        <w:widowControl w:val="0"/>
        <w:spacing w:before="0" w:beforeAutospacing="0" w:after="0" w:afterAutospacing="0"/>
        <w:rPr>
          <w:rFonts w:cs="宋体"/>
          <w:color w:val="auto"/>
          <w:highlight w:val="none"/>
        </w:rPr>
      </w:pPr>
      <w:r>
        <w:rPr>
          <w:rFonts w:hint="eastAsia" w:cs="宋体"/>
          <w:color w:val="auto"/>
          <w:highlight w:val="none"/>
        </w:rPr>
        <w:t>说明：</w:t>
      </w:r>
    </w:p>
    <w:p w14:paraId="37C98074">
      <w:pPr>
        <w:pStyle w:val="19"/>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1.参照第四章合同条款要求内容进行响应。</w:t>
      </w:r>
    </w:p>
    <w:p w14:paraId="52E629A3">
      <w:pPr>
        <w:pStyle w:val="19"/>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2.本表只填写磋商响应文件中与磋商文件有偏离（包括正偏离和负偏离）的内容，磋商响应文件中商务响应与磋商文件要求完全一致的，不用在此表中列出，但必须提交空白表。</w:t>
      </w:r>
    </w:p>
    <w:p w14:paraId="42B76AC1">
      <w:pPr>
        <w:pStyle w:val="19"/>
        <w:widowControl w:val="0"/>
        <w:spacing w:before="0" w:beforeAutospacing="0" w:after="0" w:afterAutospacing="0"/>
        <w:ind w:firstLine="480" w:firstLineChars="200"/>
        <w:rPr>
          <w:rFonts w:cs="宋体"/>
          <w:color w:val="auto"/>
          <w:highlight w:val="none"/>
        </w:rPr>
      </w:pPr>
      <w:r>
        <w:rPr>
          <w:rFonts w:hint="eastAsia" w:cs="宋体"/>
          <w:color w:val="auto"/>
          <w:highlight w:val="none"/>
        </w:rPr>
        <w:t>2.供应商必须据实填写，不得虚假响应，否则将取消其磋商或成交资格，并按有关规定进行处罚。</w:t>
      </w:r>
    </w:p>
    <w:p w14:paraId="68E23BE7">
      <w:pPr>
        <w:pStyle w:val="19"/>
        <w:widowControl w:val="0"/>
        <w:spacing w:before="0" w:beforeAutospacing="0" w:after="0" w:afterAutospacing="0"/>
        <w:ind w:firstLine="480" w:firstLineChars="200"/>
        <w:jc w:val="center"/>
        <w:rPr>
          <w:rFonts w:cs="宋体"/>
          <w:color w:val="auto"/>
          <w:highlight w:val="none"/>
        </w:rPr>
      </w:pPr>
    </w:p>
    <w:p w14:paraId="2E9A1915">
      <w:pPr>
        <w:pStyle w:val="19"/>
        <w:widowControl w:val="0"/>
        <w:spacing w:before="0" w:beforeAutospacing="0" w:after="0" w:afterAutospacing="0"/>
        <w:ind w:firstLine="480" w:firstLineChars="200"/>
        <w:rPr>
          <w:rFonts w:cs="宋体"/>
          <w:color w:val="auto"/>
          <w:highlight w:val="none"/>
        </w:rPr>
      </w:pPr>
      <w:r>
        <w:rPr>
          <w:rFonts w:hint="eastAsia" w:cs="宋体"/>
          <w:color w:val="auto"/>
          <w:highlight w:val="none"/>
        </w:rPr>
        <w:t>供应商名称：                          （单位公章）</w:t>
      </w:r>
    </w:p>
    <w:p w14:paraId="01A4475E">
      <w:pPr>
        <w:pStyle w:val="19"/>
        <w:widowControl w:val="0"/>
        <w:spacing w:before="0" w:beforeAutospacing="0" w:after="0" w:afterAutospacing="0"/>
        <w:ind w:firstLine="480" w:firstLineChars="200"/>
        <w:jc w:val="center"/>
        <w:rPr>
          <w:rFonts w:cs="宋体"/>
          <w:color w:val="auto"/>
          <w:highlight w:val="none"/>
        </w:rPr>
      </w:pPr>
    </w:p>
    <w:p w14:paraId="33770F2C">
      <w:pPr>
        <w:spacing w:line="400" w:lineRule="exact"/>
        <w:ind w:firstLine="480" w:firstLineChars="200"/>
        <w:rPr>
          <w:rFonts w:hAnsi="宋体" w:cs="宋体"/>
          <w:color w:val="auto"/>
          <w:szCs w:val="24"/>
          <w:highlight w:val="none"/>
        </w:rPr>
      </w:pPr>
      <w:r>
        <w:rPr>
          <w:rFonts w:hint="eastAsia" w:hAnsi="宋体" w:cs="宋体"/>
          <w:color w:val="auto"/>
          <w:highlight w:val="none"/>
        </w:rPr>
        <w:t xml:space="preserve">法定代表人或委托代理人：              （签字或盖章） </w:t>
      </w:r>
    </w:p>
    <w:p w14:paraId="360ECF27">
      <w:pPr>
        <w:spacing w:line="360" w:lineRule="auto"/>
        <w:ind w:left="600" w:leftChars="250"/>
        <w:rPr>
          <w:rFonts w:hAnsi="宋体" w:cs="宋体"/>
          <w:b/>
          <w:bCs/>
          <w:color w:val="auto"/>
          <w:sz w:val="28"/>
          <w:szCs w:val="28"/>
          <w:highlight w:val="none"/>
        </w:rPr>
      </w:pPr>
    </w:p>
    <w:p w14:paraId="7444CDF5">
      <w:pPr>
        <w:spacing w:line="440" w:lineRule="exact"/>
        <w:ind w:left="3725" w:leftChars="1552"/>
        <w:rPr>
          <w:rFonts w:hAnsi="宋体" w:cs="宋体"/>
          <w:color w:val="auto"/>
          <w:szCs w:val="24"/>
          <w:highlight w:val="none"/>
        </w:rPr>
      </w:pPr>
    </w:p>
    <w:p w14:paraId="0D435002">
      <w:pPr>
        <w:spacing w:line="440" w:lineRule="exact"/>
        <w:ind w:left="3725" w:leftChars="1552"/>
        <w:rPr>
          <w:rFonts w:hAnsi="宋体" w:cs="宋体"/>
          <w:color w:val="auto"/>
          <w:szCs w:val="24"/>
          <w:highlight w:val="none"/>
        </w:rPr>
      </w:pPr>
    </w:p>
    <w:p w14:paraId="07609532">
      <w:pPr>
        <w:spacing w:line="440" w:lineRule="exact"/>
        <w:ind w:left="3725" w:leftChars="1552"/>
        <w:rPr>
          <w:rFonts w:hAnsi="宋体" w:cs="宋体"/>
          <w:color w:val="auto"/>
          <w:szCs w:val="24"/>
          <w:highlight w:val="none"/>
        </w:rPr>
      </w:pPr>
    </w:p>
    <w:bookmarkEnd w:id="178"/>
    <w:p w14:paraId="1A318D22">
      <w:pPr>
        <w:spacing w:line="360" w:lineRule="auto"/>
        <w:jc w:val="center"/>
        <w:outlineLvl w:val="1"/>
        <w:rPr>
          <w:rFonts w:hAnsi="宋体" w:cs="宋体"/>
          <w:b/>
          <w:bCs/>
          <w:color w:val="auto"/>
          <w:sz w:val="30"/>
          <w:szCs w:val="30"/>
          <w:highlight w:val="none"/>
        </w:rPr>
      </w:pPr>
      <w:bookmarkStart w:id="198" w:name="_Toc403077656"/>
      <w:bookmarkStart w:id="199" w:name="_Toc363474033"/>
      <w:r>
        <w:rPr>
          <w:rFonts w:hint="eastAsia" w:hAnsi="宋体" w:cs="宋体"/>
          <w:b/>
          <w:bCs/>
          <w:color w:val="auto"/>
          <w:sz w:val="30"/>
          <w:szCs w:val="30"/>
          <w:highlight w:val="none"/>
        </w:rPr>
        <w:br w:type="page"/>
      </w:r>
      <w:bookmarkStart w:id="200" w:name="_Toc3253"/>
      <w:bookmarkStart w:id="201" w:name="_Toc18722"/>
      <w:bookmarkStart w:id="202" w:name="_Toc7544"/>
      <w:bookmarkStart w:id="203" w:name="_Toc1542"/>
      <w:bookmarkStart w:id="204" w:name="_Toc3386"/>
      <w:bookmarkStart w:id="205" w:name="_Toc27470"/>
      <w:bookmarkStart w:id="206" w:name="_Toc11212"/>
      <w:r>
        <w:rPr>
          <w:rFonts w:hint="eastAsia" w:hAnsi="宋体" w:cs="宋体"/>
          <w:b/>
          <w:bCs/>
          <w:color w:val="auto"/>
          <w:sz w:val="30"/>
          <w:szCs w:val="30"/>
          <w:highlight w:val="none"/>
        </w:rPr>
        <w:t>五、陕西省政府采购供应商拒绝政府采购领域商业贿赂承诺书</w:t>
      </w:r>
      <w:bookmarkEnd w:id="198"/>
      <w:bookmarkEnd w:id="199"/>
      <w:bookmarkEnd w:id="200"/>
      <w:bookmarkEnd w:id="201"/>
      <w:bookmarkEnd w:id="202"/>
      <w:bookmarkEnd w:id="203"/>
      <w:bookmarkEnd w:id="204"/>
      <w:bookmarkEnd w:id="205"/>
      <w:bookmarkEnd w:id="206"/>
    </w:p>
    <w:p w14:paraId="423DFD3E">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为响应党中央、国务院关于治理政府采购领域商业贿赂行为的号召，我公司在此庄严承诺：</w:t>
      </w:r>
    </w:p>
    <w:p w14:paraId="72D2804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1、在参与政府采购活动中遵纪守法、诚信经营、公平竞标。</w:t>
      </w:r>
    </w:p>
    <w:p w14:paraId="3B57AFCD">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2、不向政府采购人、采购代理机构和政府采购评审专家进行任何形式的商业贿赂以谋取交易机会。</w:t>
      </w:r>
    </w:p>
    <w:p w14:paraId="26A4AE1C">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3、不向政府采购代理机构和采购人提供虚假资质文件或采用虚假应标方式参与政府采购市场竞争并谋取中标、成交。</w:t>
      </w:r>
    </w:p>
    <w:p w14:paraId="3C0DE21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4、不采取“围标、陪标”等商业欺诈手段获得政府采购订单。</w:t>
      </w:r>
    </w:p>
    <w:p w14:paraId="05E6639B">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5、不采取不正当手段诋毁、排挤其他供应商。</w:t>
      </w:r>
    </w:p>
    <w:p w14:paraId="37CA2BA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6、不在提供商品和服务时“偷梁换柱、以次充好”损害采购人的合法权益。</w:t>
      </w:r>
    </w:p>
    <w:p w14:paraId="6F7CC560">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7、不与采购人、采购代理机构政府采购评审专家或其他供应商恶意串通，进行质疑和投诉，维护政府采购市场秩序。</w:t>
      </w:r>
    </w:p>
    <w:p w14:paraId="1DB11D9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8、尊重和接受政府采购监督管理部门的监督和政府采购代理机构招标采购要求，承担因违约行为给采购人造成的损失。</w:t>
      </w:r>
    </w:p>
    <w:p w14:paraId="796F5E9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9、不发生其他有悖于政府采购公开、公平、公正和诚信原则的行为。</w:t>
      </w:r>
    </w:p>
    <w:p w14:paraId="1B84A249">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承诺单位（盖章）：</w:t>
      </w:r>
    </w:p>
    <w:p w14:paraId="208C179E">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全权代表（签字）：</w:t>
      </w:r>
    </w:p>
    <w:p w14:paraId="08B46B6E">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地    址：                                                       </w:t>
      </w:r>
    </w:p>
    <w:p w14:paraId="3A40C48A">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邮    编：                                                       </w:t>
      </w:r>
    </w:p>
    <w:p w14:paraId="49DF1C15">
      <w:pPr>
        <w:spacing w:line="600" w:lineRule="exact"/>
        <w:ind w:left="240" w:leftChars="100" w:firstLine="480" w:firstLineChars="200"/>
        <w:rPr>
          <w:rFonts w:hAnsi="宋体" w:cs="宋体"/>
          <w:color w:val="auto"/>
          <w:szCs w:val="24"/>
          <w:highlight w:val="none"/>
        </w:rPr>
      </w:pPr>
      <w:r>
        <w:rPr>
          <w:rFonts w:hint="eastAsia" w:hAnsi="宋体" w:cs="宋体"/>
          <w:color w:val="auto"/>
          <w:szCs w:val="24"/>
          <w:highlight w:val="none"/>
        </w:rPr>
        <w:t xml:space="preserve">电    话：                                                       </w:t>
      </w:r>
    </w:p>
    <w:p w14:paraId="41F4E7C5">
      <w:pPr>
        <w:spacing w:line="600" w:lineRule="exact"/>
        <w:ind w:left="754" w:leftChars="314" w:firstLine="5280" w:firstLineChars="2200"/>
        <w:jc w:val="left"/>
        <w:rPr>
          <w:rFonts w:hAnsi="宋体" w:cs="宋体"/>
          <w:color w:val="auto"/>
          <w:szCs w:val="24"/>
          <w:highlight w:val="none"/>
        </w:rPr>
      </w:pPr>
      <w:r>
        <w:rPr>
          <w:rFonts w:hint="eastAsia" w:hAnsi="宋体" w:cs="宋体"/>
          <w:color w:val="auto"/>
          <w:szCs w:val="24"/>
          <w:highlight w:val="none"/>
        </w:rPr>
        <w:t>年    月    日</w:t>
      </w:r>
    </w:p>
    <w:p w14:paraId="27393930">
      <w:pPr>
        <w:jc w:val="center"/>
        <w:outlineLvl w:val="1"/>
        <w:rPr>
          <w:rFonts w:hAnsi="宋体" w:cs="宋体"/>
          <w:color w:val="auto"/>
          <w:highlight w:val="none"/>
          <w:shd w:val="clear" w:color="auto" w:fill="FFFFFF"/>
        </w:rPr>
      </w:pPr>
      <w:bookmarkStart w:id="207" w:name="_Toc403077657"/>
      <w:bookmarkStart w:id="208" w:name="_Toc363474034"/>
      <w:r>
        <w:rPr>
          <w:rFonts w:hint="eastAsia" w:hAnsi="宋体" w:cs="宋体"/>
          <w:b/>
          <w:bCs/>
          <w:color w:val="auto"/>
          <w:sz w:val="30"/>
          <w:szCs w:val="30"/>
          <w:highlight w:val="none"/>
        </w:rPr>
        <w:br w:type="page"/>
      </w:r>
      <w:bookmarkStart w:id="209" w:name="_Toc13983"/>
      <w:bookmarkStart w:id="210" w:name="_Toc29285"/>
      <w:bookmarkStart w:id="211" w:name="_Toc7842"/>
      <w:bookmarkStart w:id="212" w:name="_Toc6077"/>
      <w:bookmarkStart w:id="213" w:name="_Toc32016"/>
      <w:bookmarkStart w:id="214" w:name="_Toc18794"/>
      <w:bookmarkStart w:id="215" w:name="_Toc6273"/>
      <w:r>
        <w:rPr>
          <w:rFonts w:hint="eastAsia" w:hAnsi="宋体" w:cs="宋体"/>
          <w:b/>
          <w:bCs/>
          <w:color w:val="auto"/>
          <w:sz w:val="30"/>
          <w:szCs w:val="30"/>
          <w:highlight w:val="none"/>
        </w:rPr>
        <w:t>六、特定资格证明文件</w:t>
      </w:r>
      <w:bookmarkEnd w:id="207"/>
      <w:bookmarkEnd w:id="208"/>
      <w:bookmarkEnd w:id="209"/>
      <w:bookmarkEnd w:id="210"/>
      <w:bookmarkEnd w:id="211"/>
      <w:bookmarkEnd w:id="212"/>
      <w:bookmarkEnd w:id="213"/>
      <w:bookmarkEnd w:id="214"/>
      <w:bookmarkEnd w:id="215"/>
    </w:p>
    <w:p w14:paraId="3EF3B66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(1)提供合格有效的法人或者其他组织的营业执照等证明文件，自然人的身份证明；</w:t>
      </w:r>
    </w:p>
    <w:p w14:paraId="39BA730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(2)授权代表参加磋商的，提供法定代表人授权书（附法定代表人、被授权人身份证复印件）；法定代表人直接参加磋商的，须提供法定代表人身份证明及身份证复印件）；</w:t>
      </w:r>
    </w:p>
    <w:p w14:paraId="2798A05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(3)提供2025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0AB51E4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(4)提供磋商响应文件截止日前近六个月内任意一个月的纳税证明或完税证明（任意税种），依法免税的单位应提供相关证明材料；</w:t>
      </w:r>
    </w:p>
    <w:p w14:paraId="3411DA3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(5)提供磋商响应文件截止日前近六个月内任意一个月的社会保障资金缴存单据或社保机构开具的社会保险参保缴费情况证明，依法不需要缴纳社会保障资金的单位应提供相关证明材料；</w:t>
      </w:r>
    </w:p>
    <w:p w14:paraId="4BB666B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211F8DF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(7)参加政府采购活动前3年内，在经营活动中没有重大违法记录的书面声明；</w:t>
      </w:r>
    </w:p>
    <w:p w14:paraId="72AB3F4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(8)提供具有履行合同所必需的设备和专业技术能力的承诺函；</w:t>
      </w:r>
    </w:p>
    <w:p w14:paraId="23DAED2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(9)提供直接控股和管理关系清单。若与其他供应商存在单位负责人为同一人或者存在直接控股、管理关系的，则投标无效；</w:t>
      </w:r>
    </w:p>
    <w:p w14:paraId="1C93A6B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(10)本项目不接受联合体磋商（需提供承诺书）。</w:t>
      </w:r>
    </w:p>
    <w:p w14:paraId="290E4E90">
      <w:pPr>
        <w:spacing w:line="560" w:lineRule="exact"/>
        <w:rPr>
          <w:rFonts w:hAnsi="宋体" w:cs="宋体"/>
          <w:b/>
          <w:bCs/>
          <w:color w:val="auto"/>
          <w:sz w:val="28"/>
          <w:szCs w:val="28"/>
          <w:highlight w:val="none"/>
        </w:rPr>
      </w:pPr>
      <w:r>
        <w:rPr>
          <w:rFonts w:hint="eastAsia" w:hAnsi="宋体" w:cs="宋体"/>
          <w:b/>
          <w:bCs/>
          <w:color w:val="auto"/>
          <w:sz w:val="28"/>
          <w:szCs w:val="28"/>
          <w:highlight w:val="none"/>
        </w:rPr>
        <w:t>后附相关格式：</w:t>
      </w:r>
    </w:p>
    <w:p w14:paraId="5FA13F2A">
      <w:pPr>
        <w:jc w:val="center"/>
        <w:outlineLvl w:val="1"/>
        <w:rPr>
          <w:rFonts w:hAnsi="宋体" w:cs="宋体"/>
          <w:b/>
          <w:bCs/>
          <w:color w:val="auto"/>
          <w:sz w:val="30"/>
          <w:szCs w:val="30"/>
          <w:highlight w:val="none"/>
        </w:rPr>
      </w:pPr>
      <w:r>
        <w:rPr>
          <w:rFonts w:hint="eastAsia" w:hAnsi="宋体" w:cs="宋体"/>
          <w:color w:val="auto"/>
          <w:szCs w:val="24"/>
          <w:highlight w:val="none"/>
        </w:rPr>
        <w:br w:type="page"/>
      </w:r>
      <w:bookmarkStart w:id="216" w:name="_Toc19114"/>
      <w:bookmarkStart w:id="217" w:name="_Toc6853"/>
      <w:bookmarkStart w:id="218" w:name="_Toc23859"/>
      <w:bookmarkStart w:id="219" w:name="_Toc22315"/>
      <w:bookmarkStart w:id="220" w:name="_Toc1742"/>
      <w:bookmarkStart w:id="221" w:name="_Toc24739"/>
      <w:bookmarkStart w:id="222" w:name="_Toc12717"/>
      <w:r>
        <w:rPr>
          <w:rFonts w:hint="eastAsia" w:hAnsi="宋体" w:cs="宋体"/>
          <w:b/>
          <w:bCs/>
          <w:color w:val="auto"/>
          <w:sz w:val="30"/>
          <w:szCs w:val="30"/>
          <w:highlight w:val="none"/>
        </w:rPr>
        <w:t>七、其它</w:t>
      </w:r>
      <w:bookmarkEnd w:id="216"/>
      <w:bookmarkEnd w:id="217"/>
      <w:bookmarkEnd w:id="218"/>
      <w:bookmarkEnd w:id="219"/>
      <w:bookmarkEnd w:id="220"/>
      <w:bookmarkEnd w:id="221"/>
      <w:bookmarkEnd w:id="222"/>
    </w:p>
    <w:p w14:paraId="6C2BBA37">
      <w:pPr>
        <w:pStyle w:val="9"/>
        <w:ind w:left="0" w:leftChars="0" w:firstLine="0" w:firstLineChars="0"/>
        <w:rPr>
          <w:color w:val="auto"/>
          <w:highlight w:val="none"/>
        </w:rPr>
      </w:pPr>
      <w:r>
        <w:rPr>
          <w:rFonts w:hint="eastAsia"/>
          <w:color w:val="auto"/>
          <w:highlight w:val="none"/>
        </w:rPr>
        <w:t>1、依据竞争性磋商文件要求，供应商认为有必要说明的其他内容</w:t>
      </w:r>
    </w:p>
    <w:p w14:paraId="06B0A62D">
      <w:pPr>
        <w:pStyle w:val="9"/>
        <w:ind w:left="0" w:leftChars="0" w:firstLine="0" w:firstLineChars="0"/>
        <w:rPr>
          <w:color w:val="auto"/>
          <w:highlight w:val="none"/>
        </w:rPr>
      </w:pPr>
      <w:r>
        <w:rPr>
          <w:rFonts w:hint="eastAsia"/>
          <w:color w:val="auto"/>
          <w:highlight w:val="none"/>
        </w:rPr>
        <w:t>2、其他可以证明供应商实力的文件。</w:t>
      </w:r>
    </w:p>
    <w:p w14:paraId="331EB4F3">
      <w:pPr>
        <w:spacing w:beforeLines="50" w:afterLines="50" w:line="500" w:lineRule="exact"/>
        <w:outlineLvl w:val="9"/>
        <w:rPr>
          <w:rFonts w:hAnsi="宋体" w:cs="宋体"/>
          <w:b/>
          <w:sz w:val="28"/>
          <w:szCs w:val="28"/>
        </w:rPr>
      </w:pPr>
      <w:r>
        <w:rPr>
          <w:rFonts w:hint="eastAsia" w:hAnsi="宋体" w:cs="宋体"/>
          <w:color w:val="auto"/>
          <w:szCs w:val="24"/>
          <w:highlight w:val="none"/>
        </w:rPr>
        <w:br w:type="page"/>
      </w:r>
      <w:bookmarkStart w:id="223" w:name="_Toc6055"/>
      <w:bookmarkStart w:id="224" w:name="_Toc17513"/>
      <w:bookmarkStart w:id="225" w:name="_Toc29387"/>
      <w:bookmarkStart w:id="226" w:name="_Toc13836"/>
      <w:r>
        <w:rPr>
          <w:rFonts w:hint="eastAsia" w:hAnsi="宋体" w:cs="宋体"/>
          <w:b/>
          <w:sz w:val="28"/>
          <w:szCs w:val="28"/>
        </w:rPr>
        <w:t>附件</w:t>
      </w:r>
      <w:r>
        <w:rPr>
          <w:rFonts w:hint="eastAsia" w:hAnsi="宋体" w:cs="宋体"/>
          <w:b/>
          <w:sz w:val="28"/>
          <w:szCs w:val="28"/>
          <w:lang w:val="en-US" w:eastAsia="zh-CN"/>
        </w:rPr>
        <w:t>1</w:t>
      </w:r>
      <w:r>
        <w:rPr>
          <w:rFonts w:hint="eastAsia" w:hAnsi="宋体" w:cs="宋体"/>
          <w:b/>
          <w:sz w:val="28"/>
          <w:szCs w:val="28"/>
        </w:rPr>
        <w:t>：法定代表人身份证明/法定代表人授权书</w:t>
      </w:r>
      <w:bookmarkEnd w:id="223"/>
      <w:bookmarkEnd w:id="224"/>
      <w:bookmarkEnd w:id="225"/>
    </w:p>
    <w:p w14:paraId="7328220E">
      <w:pPr>
        <w:rPr>
          <w:rFonts w:hAnsi="宋体" w:cs="宋体"/>
          <w:b/>
          <w:bCs/>
          <w:szCs w:val="32"/>
        </w:rPr>
      </w:pPr>
    </w:p>
    <w:p w14:paraId="6195238F">
      <w:pPr>
        <w:pStyle w:val="9"/>
        <w:jc w:val="center"/>
        <w:rPr>
          <w:rFonts w:ascii="宋体" w:hAnsi="宋体" w:cs="宋体"/>
          <w:b/>
          <w:bCs/>
          <w:sz w:val="32"/>
          <w:szCs w:val="32"/>
        </w:rPr>
      </w:pPr>
      <w:r>
        <w:rPr>
          <w:rFonts w:hint="eastAsia" w:ascii="宋体" w:hAnsi="宋体" w:cs="宋体"/>
          <w:b/>
          <w:bCs/>
          <w:sz w:val="32"/>
          <w:szCs w:val="32"/>
        </w:rPr>
        <w:t>法定代表人身份证明</w:t>
      </w:r>
    </w:p>
    <w:p w14:paraId="21BB02D1">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供应商名称：</w:t>
      </w:r>
      <w:r>
        <w:rPr>
          <w:rFonts w:hint="eastAsia" w:hAnsi="宋体" w:cs="宋体"/>
          <w:u w:val="single"/>
          <w:lang w:val="en-US" w:eastAsia="zh-CN"/>
        </w:rPr>
        <w:t xml:space="preserve">                             </w:t>
      </w:r>
    </w:p>
    <w:p w14:paraId="1B4F3168">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统一社会信用代码：</w:t>
      </w:r>
      <w:r>
        <w:rPr>
          <w:rFonts w:hint="eastAsia" w:hAnsi="宋体" w:cs="宋体"/>
          <w:u w:val="single"/>
          <w:lang w:val="en-US" w:eastAsia="zh-CN"/>
        </w:rPr>
        <w:t xml:space="preserve">                        </w:t>
      </w:r>
    </w:p>
    <w:p w14:paraId="1AA03AD7">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注册地址：</w:t>
      </w:r>
      <w:r>
        <w:rPr>
          <w:rFonts w:hint="eastAsia" w:hAnsi="宋体" w:cs="宋体"/>
          <w:u w:val="single"/>
          <w:lang w:val="en-US" w:eastAsia="zh-CN"/>
        </w:rPr>
        <w:t xml:space="preserve">                     </w:t>
      </w:r>
    </w:p>
    <w:p w14:paraId="08701998">
      <w:pPr>
        <w:autoSpaceDE w:val="0"/>
        <w:autoSpaceDN w:val="0"/>
        <w:adjustRightInd w:val="0"/>
        <w:snapToGrid w:val="0"/>
        <w:spacing w:beforeLines="50" w:line="360" w:lineRule="auto"/>
        <w:jc w:val="left"/>
        <w:rPr>
          <w:rFonts w:hAnsi="宋体" w:cs="宋体"/>
        </w:rPr>
      </w:pPr>
      <w:r>
        <w:rPr>
          <w:rFonts w:hint="eastAsia" w:hAnsi="宋体" w:cs="宋体"/>
        </w:rPr>
        <w:t>成立时间：</w:t>
      </w:r>
      <w:r>
        <w:rPr>
          <w:rFonts w:hint="eastAsia" w:hAnsi="宋体" w:cs="宋体"/>
          <w:u w:val="single"/>
          <w:lang w:val="en-US" w:eastAsia="zh-CN"/>
        </w:rPr>
        <w:t xml:space="preserve">       </w:t>
      </w:r>
      <w:r>
        <w:rPr>
          <w:rFonts w:hint="eastAsia" w:hAnsi="宋体" w:cs="宋体"/>
        </w:rPr>
        <w:t>年</w:t>
      </w:r>
      <w:r>
        <w:rPr>
          <w:rFonts w:hint="eastAsia" w:hAnsi="宋体" w:cs="宋体"/>
          <w:u w:val="single"/>
          <w:lang w:val="en-US" w:eastAsia="zh-CN"/>
        </w:rPr>
        <w:t xml:space="preserve">     </w:t>
      </w:r>
      <w:r>
        <w:rPr>
          <w:rFonts w:hint="eastAsia" w:hAnsi="宋体" w:cs="宋体"/>
        </w:rPr>
        <w:t>月</w:t>
      </w:r>
      <w:r>
        <w:rPr>
          <w:rFonts w:hint="eastAsia" w:hAnsi="宋体" w:cs="宋体"/>
          <w:u w:val="single"/>
          <w:lang w:val="en-US" w:eastAsia="zh-CN"/>
        </w:rPr>
        <w:t xml:space="preserve">    </w:t>
      </w:r>
      <w:r>
        <w:rPr>
          <w:rFonts w:hint="eastAsia" w:hAnsi="宋体" w:cs="宋体"/>
        </w:rPr>
        <w:t>日</w:t>
      </w:r>
    </w:p>
    <w:p w14:paraId="0F3B3DEB">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经营期限：</w:t>
      </w:r>
      <w:r>
        <w:rPr>
          <w:rFonts w:hint="eastAsia" w:hAnsi="宋体" w:cs="宋体"/>
          <w:u w:val="single"/>
          <w:lang w:val="en-US" w:eastAsia="zh-CN"/>
        </w:rPr>
        <w:t xml:space="preserve">             </w:t>
      </w:r>
    </w:p>
    <w:p w14:paraId="28615946">
      <w:pPr>
        <w:autoSpaceDE w:val="0"/>
        <w:autoSpaceDN w:val="0"/>
        <w:adjustRightInd w:val="0"/>
        <w:snapToGrid w:val="0"/>
        <w:spacing w:beforeLines="50" w:line="360" w:lineRule="auto"/>
        <w:jc w:val="left"/>
        <w:rPr>
          <w:rFonts w:hAnsi="宋体" w:cs="宋体"/>
        </w:rPr>
      </w:pPr>
      <w:r>
        <w:rPr>
          <w:rFonts w:hint="eastAsia" w:hAnsi="宋体" w:cs="宋体"/>
        </w:rPr>
        <w:t>姓名：</w:t>
      </w:r>
      <w:r>
        <w:rPr>
          <w:rFonts w:hint="eastAsia" w:hAnsi="宋体" w:cs="宋体"/>
          <w:u w:val="single"/>
          <w:lang w:val="en-US" w:eastAsia="zh-CN"/>
        </w:rPr>
        <w:t xml:space="preserve">    </w:t>
      </w:r>
      <w:r>
        <w:rPr>
          <w:rFonts w:hint="eastAsia" w:hAnsi="宋体" w:cs="宋体"/>
        </w:rPr>
        <w:t xml:space="preserve"> 性别：</w:t>
      </w:r>
      <w:r>
        <w:rPr>
          <w:rFonts w:hint="eastAsia" w:hAnsi="宋体" w:cs="宋体"/>
          <w:u w:val="single"/>
          <w:lang w:val="en-US" w:eastAsia="zh-CN"/>
        </w:rPr>
        <w:t xml:space="preserve">    </w:t>
      </w:r>
      <w:r>
        <w:rPr>
          <w:rFonts w:hint="eastAsia" w:hAnsi="宋体" w:cs="宋体"/>
        </w:rPr>
        <w:t xml:space="preserve"> 年龄：</w:t>
      </w:r>
      <w:r>
        <w:rPr>
          <w:rFonts w:hint="eastAsia" w:hAnsi="宋体" w:cs="宋体"/>
          <w:u w:val="single"/>
          <w:lang w:val="en-US" w:eastAsia="zh-CN"/>
        </w:rPr>
        <w:t xml:space="preserve">    </w:t>
      </w:r>
      <w:r>
        <w:rPr>
          <w:rFonts w:hint="eastAsia" w:hAnsi="宋体" w:cs="宋体"/>
        </w:rPr>
        <w:t xml:space="preserve"> 系</w:t>
      </w:r>
      <w:r>
        <w:rPr>
          <w:rFonts w:hint="eastAsia" w:hAnsi="宋体" w:cs="宋体"/>
          <w:u w:val="single"/>
          <w:lang w:val="en-US" w:eastAsia="zh-CN"/>
        </w:rPr>
        <w:t xml:space="preserve">       </w:t>
      </w:r>
      <w:r>
        <w:rPr>
          <w:rFonts w:hint="eastAsia" w:hAnsi="宋体" w:cs="宋体"/>
        </w:rPr>
        <w:t>（供应商名称）的法定代表人。</w:t>
      </w:r>
    </w:p>
    <w:p w14:paraId="4B68513F">
      <w:pPr>
        <w:autoSpaceDE w:val="0"/>
        <w:autoSpaceDN w:val="0"/>
        <w:adjustRightInd w:val="0"/>
        <w:snapToGrid w:val="0"/>
        <w:spacing w:beforeLines="50" w:line="360" w:lineRule="auto"/>
        <w:jc w:val="left"/>
        <w:rPr>
          <w:rFonts w:hAnsi="宋体" w:cs="宋体"/>
        </w:rPr>
      </w:pPr>
      <w:r>
        <w:rPr>
          <w:rFonts w:hint="eastAsia" w:hAnsi="宋体" w:cs="宋体"/>
        </w:rPr>
        <w:t>特此证明。</w:t>
      </w:r>
    </w:p>
    <w:p w14:paraId="0A494497">
      <w:pPr>
        <w:autoSpaceDE w:val="0"/>
        <w:autoSpaceDN w:val="0"/>
        <w:adjustRightInd w:val="0"/>
        <w:snapToGrid w:val="0"/>
        <w:spacing w:beforeLines="50" w:line="360" w:lineRule="auto"/>
        <w:jc w:val="left"/>
        <w:rPr>
          <w:rFonts w:hAnsi="宋体" w:cs="宋体"/>
          <w:szCs w:val="21"/>
        </w:rPr>
      </w:pPr>
      <w:r>
        <w:rPr>
          <w:rFonts w:hint="eastAsia" w:hAnsi="宋体" w:cs="宋体"/>
          <w:szCs w:val="21"/>
        </w:rPr>
        <w:t>附：法定代表人身份证复印件</w:t>
      </w:r>
    </w:p>
    <w:tbl>
      <w:tblPr>
        <w:tblStyle w:val="22"/>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7E726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ign w:val="center"/>
          </w:tcPr>
          <w:p w14:paraId="4B567B86">
            <w:pPr>
              <w:snapToGrid w:val="0"/>
              <w:spacing w:line="480" w:lineRule="auto"/>
              <w:jc w:val="center"/>
              <w:rPr>
                <w:rFonts w:hAnsi="宋体" w:cs="宋体"/>
                <w:szCs w:val="21"/>
              </w:rPr>
            </w:pPr>
          </w:p>
          <w:p w14:paraId="54437B90">
            <w:pPr>
              <w:snapToGrid w:val="0"/>
              <w:spacing w:line="480" w:lineRule="auto"/>
              <w:jc w:val="center"/>
              <w:rPr>
                <w:rFonts w:hAnsi="宋体" w:cs="宋体"/>
                <w:szCs w:val="21"/>
              </w:rPr>
            </w:pPr>
          </w:p>
          <w:p w14:paraId="2C1E6E97">
            <w:pPr>
              <w:autoSpaceDE w:val="0"/>
              <w:autoSpaceDN w:val="0"/>
              <w:adjustRightInd w:val="0"/>
              <w:snapToGrid w:val="0"/>
              <w:spacing w:beforeLines="50" w:line="360" w:lineRule="auto"/>
              <w:jc w:val="center"/>
              <w:rPr>
                <w:rFonts w:hAnsi="宋体" w:cs="宋体"/>
                <w:szCs w:val="21"/>
              </w:rPr>
            </w:pPr>
            <w:r>
              <w:rPr>
                <w:rFonts w:hint="eastAsia" w:hAnsi="宋体" w:cs="宋体"/>
                <w:szCs w:val="21"/>
              </w:rPr>
              <w:t>法定代表人身份证复印件粘贴处</w:t>
            </w:r>
          </w:p>
          <w:p w14:paraId="49F849D6">
            <w:pPr>
              <w:pStyle w:val="9"/>
              <w:jc w:val="center"/>
              <w:rPr>
                <w:rFonts w:ascii="宋体" w:hAnsi="宋体" w:cs="宋体"/>
              </w:rPr>
            </w:pPr>
            <w:r>
              <w:rPr>
                <w:rFonts w:hint="eastAsia" w:ascii="宋体" w:hAnsi="宋体" w:cs="宋体"/>
                <w:szCs w:val="21"/>
              </w:rPr>
              <w:t>（正反面）</w:t>
            </w:r>
          </w:p>
          <w:p w14:paraId="4EF82071">
            <w:pPr>
              <w:snapToGrid w:val="0"/>
              <w:spacing w:line="480" w:lineRule="auto"/>
              <w:jc w:val="center"/>
              <w:rPr>
                <w:rFonts w:hAnsi="宋体" w:cs="宋体"/>
                <w:szCs w:val="21"/>
              </w:rPr>
            </w:pPr>
          </w:p>
          <w:p w14:paraId="368F8AC0">
            <w:pPr>
              <w:snapToGrid w:val="0"/>
              <w:spacing w:line="480" w:lineRule="auto"/>
              <w:jc w:val="center"/>
              <w:rPr>
                <w:rFonts w:hAnsi="宋体" w:cs="宋体"/>
                <w:szCs w:val="21"/>
              </w:rPr>
            </w:pPr>
          </w:p>
        </w:tc>
      </w:tr>
    </w:tbl>
    <w:p w14:paraId="40F8BF47">
      <w:pPr>
        <w:snapToGrid w:val="0"/>
        <w:spacing w:line="480" w:lineRule="auto"/>
        <w:rPr>
          <w:rFonts w:hAnsi="宋体" w:cs="宋体"/>
          <w:szCs w:val="21"/>
        </w:rPr>
      </w:pPr>
    </w:p>
    <w:p w14:paraId="35B8A5D4">
      <w:pPr>
        <w:snapToGrid w:val="0"/>
        <w:rPr>
          <w:rFonts w:hAnsi="宋体" w:cs="宋体"/>
          <w:szCs w:val="21"/>
        </w:rPr>
      </w:pPr>
    </w:p>
    <w:p w14:paraId="670F1B52">
      <w:pPr>
        <w:snapToGrid w:val="0"/>
        <w:rPr>
          <w:rFonts w:hAnsi="宋体" w:cs="宋体"/>
          <w:szCs w:val="21"/>
        </w:rPr>
      </w:pPr>
    </w:p>
    <w:p w14:paraId="711D8911">
      <w:pPr>
        <w:snapToGrid w:val="0"/>
        <w:rPr>
          <w:rFonts w:hAnsi="宋体" w:cs="宋体"/>
          <w:szCs w:val="21"/>
        </w:rPr>
      </w:pPr>
    </w:p>
    <w:p w14:paraId="481FDF61">
      <w:pPr>
        <w:snapToGrid w:val="0"/>
        <w:rPr>
          <w:rFonts w:hAnsi="宋体" w:cs="宋体"/>
          <w:szCs w:val="21"/>
        </w:rPr>
      </w:pPr>
    </w:p>
    <w:p w14:paraId="0E3B3D38">
      <w:pPr>
        <w:adjustRightInd w:val="0"/>
        <w:snapToGrid w:val="0"/>
        <w:spacing w:line="360" w:lineRule="auto"/>
        <w:rPr>
          <w:rFonts w:hAnsi="宋体" w:cs="宋体"/>
        </w:rPr>
      </w:pPr>
    </w:p>
    <w:p w14:paraId="71B959F6">
      <w:pPr>
        <w:adjustRightInd w:val="0"/>
        <w:snapToGrid w:val="0"/>
        <w:spacing w:line="360" w:lineRule="auto"/>
        <w:ind w:right="420"/>
        <w:rPr>
          <w:rFonts w:hAnsi="宋体" w:cs="宋体"/>
        </w:rPr>
      </w:pPr>
    </w:p>
    <w:p w14:paraId="4EC7E010">
      <w:pPr>
        <w:adjustRightInd w:val="0"/>
        <w:snapToGrid w:val="0"/>
        <w:spacing w:line="360" w:lineRule="auto"/>
        <w:ind w:right="420"/>
        <w:rPr>
          <w:rFonts w:hAnsi="宋体" w:cs="宋体"/>
        </w:rPr>
      </w:pPr>
    </w:p>
    <w:p w14:paraId="1A7DE92B">
      <w:pPr>
        <w:adjustRightInd w:val="0"/>
        <w:snapToGrid w:val="0"/>
        <w:spacing w:line="360" w:lineRule="auto"/>
        <w:ind w:right="420"/>
        <w:rPr>
          <w:rFonts w:hAnsi="宋体" w:cs="宋体"/>
        </w:rPr>
      </w:pPr>
    </w:p>
    <w:p w14:paraId="3264A1D7">
      <w:pPr>
        <w:adjustRightInd w:val="0"/>
        <w:snapToGrid w:val="0"/>
        <w:spacing w:line="360" w:lineRule="auto"/>
        <w:ind w:right="420"/>
        <w:rPr>
          <w:rFonts w:hAnsi="宋体" w:cs="宋体"/>
        </w:rPr>
      </w:pPr>
    </w:p>
    <w:p w14:paraId="2EE6EE89">
      <w:pPr>
        <w:adjustRightInd w:val="0"/>
        <w:snapToGrid w:val="0"/>
        <w:spacing w:line="360" w:lineRule="auto"/>
        <w:ind w:right="420"/>
        <w:rPr>
          <w:rFonts w:hAnsi="宋体" w:cs="宋体"/>
        </w:rPr>
      </w:pPr>
      <w:r>
        <w:rPr>
          <w:rFonts w:hint="eastAsia" w:hAnsi="宋体" w:cs="宋体"/>
        </w:rPr>
        <w:t>供应商名称：</w:t>
      </w:r>
      <w:r>
        <w:rPr>
          <w:rFonts w:hint="eastAsia" w:hAnsi="宋体" w:cs="宋体"/>
          <w:u w:val="single"/>
        </w:rPr>
        <w:t xml:space="preserve">      （加盖单位公章）       </w:t>
      </w:r>
    </w:p>
    <w:p w14:paraId="05485543">
      <w:pPr>
        <w:adjustRightInd w:val="0"/>
        <w:snapToGrid w:val="0"/>
        <w:spacing w:line="360" w:lineRule="auto"/>
        <w:ind w:right="420"/>
        <w:rPr>
          <w:rFonts w:hAnsi="宋体" w:cs="宋体"/>
        </w:rPr>
      </w:pPr>
      <w:r>
        <w:rPr>
          <w:rFonts w:hint="eastAsia" w:hAnsi="宋体" w:cs="宋体"/>
        </w:rPr>
        <w:t xml:space="preserve">日期：  </w:t>
      </w:r>
      <w:r>
        <w:rPr>
          <w:rFonts w:hint="eastAsia" w:hAnsi="宋体" w:cs="宋体"/>
          <w:lang w:val="en-US" w:eastAsia="zh-CN"/>
        </w:rPr>
        <w:t xml:space="preserve"> </w:t>
      </w:r>
      <w:r>
        <w:rPr>
          <w:rFonts w:hint="eastAsia" w:hAnsi="宋体" w:cs="宋体"/>
        </w:rPr>
        <w:t xml:space="preserve">  年 </w:t>
      </w:r>
      <w:r>
        <w:rPr>
          <w:rFonts w:hint="eastAsia" w:hAnsi="宋体" w:cs="宋体"/>
          <w:lang w:val="en-US" w:eastAsia="zh-CN"/>
        </w:rPr>
        <w:t xml:space="preserve">  </w:t>
      </w:r>
      <w:r>
        <w:rPr>
          <w:rFonts w:hint="eastAsia" w:hAnsi="宋体" w:cs="宋体"/>
        </w:rPr>
        <w:t xml:space="preserve"> 月 </w:t>
      </w:r>
      <w:r>
        <w:rPr>
          <w:rFonts w:hint="eastAsia" w:hAnsi="宋体" w:cs="宋体"/>
          <w:lang w:val="en-US" w:eastAsia="zh-CN"/>
        </w:rPr>
        <w:t xml:space="preserve">  </w:t>
      </w:r>
      <w:r>
        <w:rPr>
          <w:rFonts w:hint="eastAsia" w:hAnsi="宋体" w:cs="宋体"/>
        </w:rPr>
        <w:t xml:space="preserve"> 日</w:t>
      </w:r>
    </w:p>
    <w:p w14:paraId="0841449C">
      <w:pPr>
        <w:pStyle w:val="9"/>
        <w:rPr>
          <w:rFonts w:ascii="宋体" w:hAnsi="宋体" w:cs="宋体"/>
        </w:rPr>
      </w:pPr>
    </w:p>
    <w:p w14:paraId="2FF5749C">
      <w:pPr>
        <w:spacing w:line="360" w:lineRule="auto"/>
        <w:jc w:val="left"/>
        <w:rPr>
          <w:rFonts w:hAnsi="宋体" w:cs="宋体"/>
          <w:b/>
          <w:bCs/>
          <w:spacing w:val="4"/>
          <w:szCs w:val="24"/>
        </w:rPr>
      </w:pPr>
    </w:p>
    <w:p w14:paraId="5DC21BAA">
      <w:pPr>
        <w:keepNext/>
        <w:spacing w:beforeLines="100"/>
        <w:jc w:val="center"/>
        <w:rPr>
          <w:rFonts w:hAnsi="宋体" w:cs="宋体"/>
          <w:b/>
          <w:bCs/>
          <w:sz w:val="32"/>
          <w:szCs w:val="32"/>
        </w:rPr>
      </w:pPr>
      <w:r>
        <w:rPr>
          <w:rFonts w:hint="eastAsia" w:hAnsi="宋体" w:cs="宋体"/>
          <w:b/>
          <w:bCs/>
          <w:sz w:val="32"/>
          <w:szCs w:val="32"/>
        </w:rPr>
        <w:t>法定代表人授权书</w:t>
      </w:r>
    </w:p>
    <w:p w14:paraId="5868B8C5">
      <w:pPr>
        <w:spacing w:line="500" w:lineRule="exact"/>
        <w:jc w:val="left"/>
        <w:rPr>
          <w:rFonts w:hAnsi="宋体" w:cs="宋体"/>
          <w:spacing w:val="4"/>
          <w:szCs w:val="24"/>
        </w:rPr>
      </w:pPr>
      <w:r>
        <w:rPr>
          <w:rFonts w:hint="eastAsia" w:hAnsi="宋体" w:cs="宋体"/>
          <w:spacing w:val="4"/>
          <w:szCs w:val="24"/>
        </w:rPr>
        <w:t>致：</w:t>
      </w:r>
      <w:r>
        <w:rPr>
          <w:rFonts w:hint="eastAsia" w:hAnsi="宋体" w:cs="宋体"/>
          <w:spacing w:val="4"/>
          <w:szCs w:val="24"/>
          <w:u w:val="single"/>
        </w:rPr>
        <w:t>陕西至诚项目管理集团有限公司</w:t>
      </w:r>
    </w:p>
    <w:p w14:paraId="1ECCF7AC">
      <w:pPr>
        <w:spacing w:line="500" w:lineRule="exact"/>
        <w:ind w:firstLine="496" w:firstLineChars="200"/>
        <w:jc w:val="left"/>
        <w:rPr>
          <w:rFonts w:hAnsi="宋体" w:cs="宋体"/>
          <w:spacing w:val="4"/>
          <w:szCs w:val="24"/>
        </w:rPr>
      </w:pPr>
      <w:r>
        <w:rPr>
          <w:rFonts w:hint="eastAsia" w:hAnsi="宋体" w:cs="宋体"/>
          <w:spacing w:val="4"/>
          <w:szCs w:val="24"/>
          <w:u w:val="single"/>
        </w:rPr>
        <w:t>(供应商名称)</w:t>
      </w:r>
      <w:r>
        <w:rPr>
          <w:rFonts w:hint="eastAsia" w:hAnsi="宋体" w:cs="宋体"/>
          <w:spacing w:val="4"/>
          <w:szCs w:val="24"/>
        </w:rPr>
        <w:t>按中华人民共和国法律于</w:t>
      </w:r>
      <w:r>
        <w:rPr>
          <w:rFonts w:hint="eastAsia" w:hAnsi="宋体" w:cs="宋体"/>
          <w:spacing w:val="4"/>
          <w:szCs w:val="24"/>
          <w:u w:val="single"/>
        </w:rPr>
        <w:t>（  年  月  日 ）</w:t>
      </w:r>
      <w:r>
        <w:rPr>
          <w:rFonts w:hint="eastAsia" w:hAnsi="宋体" w:cs="宋体"/>
          <w:spacing w:val="4"/>
          <w:szCs w:val="24"/>
        </w:rPr>
        <w:t>成立。</w:t>
      </w:r>
      <w:r>
        <w:rPr>
          <w:rFonts w:hint="eastAsia" w:hAnsi="宋体" w:cs="宋体"/>
          <w:spacing w:val="4"/>
          <w:szCs w:val="24"/>
          <w:u w:val="single"/>
        </w:rPr>
        <w:t>(法定代表人姓名)</w:t>
      </w:r>
      <w:r>
        <w:rPr>
          <w:rFonts w:hint="eastAsia" w:hAnsi="宋体" w:cs="宋体"/>
          <w:spacing w:val="4"/>
          <w:szCs w:val="24"/>
        </w:rPr>
        <w:t>特授权</w:t>
      </w:r>
      <w:r>
        <w:rPr>
          <w:rFonts w:hint="eastAsia" w:hAnsi="宋体" w:cs="宋体"/>
          <w:spacing w:val="4"/>
          <w:szCs w:val="24"/>
          <w:u w:val="single"/>
        </w:rPr>
        <w:t xml:space="preserve">（ </w:t>
      </w:r>
      <w:r>
        <w:rPr>
          <w:rFonts w:hint="eastAsia" w:hAnsi="宋体" w:cs="宋体"/>
          <w:szCs w:val="24"/>
          <w:u w:val="single"/>
        </w:rPr>
        <w:t>授权代表</w:t>
      </w:r>
      <w:r>
        <w:rPr>
          <w:rFonts w:hint="eastAsia" w:hAnsi="宋体" w:cs="宋体"/>
          <w:spacing w:val="4"/>
          <w:szCs w:val="24"/>
          <w:u w:val="single"/>
        </w:rPr>
        <w:t>姓名 ）</w:t>
      </w:r>
      <w:r>
        <w:rPr>
          <w:rFonts w:hint="eastAsia" w:hAnsi="宋体" w:cs="宋体"/>
          <w:spacing w:val="4"/>
          <w:szCs w:val="24"/>
        </w:rPr>
        <w:t xml:space="preserve">代表我公司全权办理针对本次 </w:t>
      </w:r>
      <w:r>
        <w:rPr>
          <w:rFonts w:hint="eastAsia" w:asciiTheme="minorEastAsia" w:hAnsiTheme="minorEastAsia" w:eastAsiaTheme="minorEastAsia" w:cstheme="minorEastAsia"/>
          <w:spacing w:val="4"/>
          <w:szCs w:val="24"/>
          <w:highlight w:val="none"/>
          <w:u w:val="single"/>
        </w:rPr>
        <w:t xml:space="preserve">（项目名称、项目编号） </w:t>
      </w:r>
      <w:r>
        <w:rPr>
          <w:rFonts w:hint="eastAsia" w:hAnsi="宋体" w:cs="宋体"/>
          <w:spacing w:val="4"/>
          <w:szCs w:val="24"/>
        </w:rPr>
        <w:t>项目的磋商、签约等具体工作，并签署全部有关的文件、协议及合同。</w:t>
      </w:r>
    </w:p>
    <w:p w14:paraId="07F72C6A">
      <w:pPr>
        <w:spacing w:line="500" w:lineRule="exact"/>
        <w:ind w:firstLine="496" w:firstLineChars="200"/>
        <w:jc w:val="left"/>
        <w:rPr>
          <w:rFonts w:hAnsi="宋体" w:cs="宋体"/>
          <w:spacing w:val="4"/>
          <w:szCs w:val="24"/>
        </w:rPr>
      </w:pPr>
      <w:r>
        <w:rPr>
          <w:rFonts w:hint="eastAsia" w:hAnsi="宋体" w:cs="宋体"/>
          <w:spacing w:val="4"/>
          <w:szCs w:val="24"/>
        </w:rPr>
        <w:t>我公司对</w:t>
      </w:r>
      <w:r>
        <w:rPr>
          <w:rFonts w:hint="eastAsia" w:hAnsi="宋体" w:cs="宋体"/>
          <w:szCs w:val="24"/>
        </w:rPr>
        <w:t>授权代表</w:t>
      </w:r>
      <w:r>
        <w:rPr>
          <w:rFonts w:hint="eastAsia" w:hAnsi="宋体" w:cs="宋体"/>
          <w:spacing w:val="4"/>
          <w:szCs w:val="24"/>
        </w:rPr>
        <w:t>的签名负全部责任。</w:t>
      </w:r>
    </w:p>
    <w:p w14:paraId="05876C8A">
      <w:pPr>
        <w:spacing w:line="500" w:lineRule="exact"/>
        <w:ind w:right="617" w:rightChars="257" w:firstLine="480" w:firstLineChars="200"/>
        <w:jc w:val="left"/>
        <w:rPr>
          <w:rFonts w:hAnsi="宋体" w:cs="宋体"/>
          <w:szCs w:val="24"/>
        </w:rPr>
      </w:pPr>
      <w:r>
        <w:rPr>
          <w:rFonts w:hint="eastAsia" w:hAnsi="宋体" w:cs="宋体"/>
          <w:szCs w:val="24"/>
        </w:rPr>
        <w:t>委托期限：</w:t>
      </w:r>
      <w:r>
        <w:rPr>
          <w:rFonts w:hint="eastAsia" w:hAnsi="宋体" w:cs="宋体"/>
          <w:szCs w:val="24"/>
          <w:lang w:val="zh-CN"/>
        </w:rPr>
        <w:t>自磋商之日起</w:t>
      </w:r>
      <w:r>
        <w:rPr>
          <w:rFonts w:hint="eastAsia" w:hAnsi="宋体" w:cs="宋体"/>
          <w:szCs w:val="24"/>
          <w:u w:val="single"/>
        </w:rPr>
        <w:t>90</w:t>
      </w:r>
      <w:r>
        <w:rPr>
          <w:rFonts w:hint="eastAsia" w:hAnsi="宋体" w:cs="宋体"/>
          <w:szCs w:val="24"/>
          <w:lang w:val="zh-CN"/>
        </w:rPr>
        <w:t>天。</w:t>
      </w:r>
    </w:p>
    <w:p w14:paraId="05F375BC">
      <w:pPr>
        <w:spacing w:line="500" w:lineRule="exact"/>
        <w:ind w:firstLine="496" w:firstLineChars="200"/>
        <w:jc w:val="left"/>
        <w:rPr>
          <w:rFonts w:hAnsi="宋体" w:cs="宋体"/>
          <w:spacing w:val="4"/>
          <w:szCs w:val="24"/>
        </w:rPr>
      </w:pPr>
      <w:r>
        <w:rPr>
          <w:rFonts w:hint="eastAsia" w:hAnsi="宋体" w:cs="宋体"/>
          <w:spacing w:val="4"/>
          <w:szCs w:val="24"/>
        </w:rPr>
        <w:t>本授权书于</w:t>
      </w:r>
      <w:r>
        <w:rPr>
          <w:rFonts w:hint="eastAsia" w:hAnsi="宋体" w:cs="宋体"/>
          <w:spacing w:val="4"/>
          <w:szCs w:val="24"/>
          <w:u w:val="single"/>
        </w:rPr>
        <w:t xml:space="preserve">      年   月   日</w:t>
      </w:r>
      <w:r>
        <w:rPr>
          <w:rFonts w:hint="eastAsia" w:hAnsi="宋体" w:cs="宋体"/>
          <w:spacing w:val="4"/>
          <w:szCs w:val="24"/>
        </w:rPr>
        <w:t>签字生效，特此证明。</w:t>
      </w:r>
    </w:p>
    <w:p w14:paraId="227B6402">
      <w:pPr>
        <w:spacing w:line="360" w:lineRule="auto"/>
        <w:ind w:firstLine="496" w:firstLineChars="200"/>
        <w:jc w:val="left"/>
        <w:rPr>
          <w:rFonts w:hAnsi="宋体" w:cs="宋体"/>
          <w:spacing w:val="4"/>
          <w:szCs w:val="24"/>
        </w:rPr>
      </w:pPr>
    </w:p>
    <w:tbl>
      <w:tblPr>
        <w:tblStyle w:val="22"/>
        <w:tblW w:w="0" w:type="auto"/>
        <w:tblInd w:w="633" w:type="dxa"/>
        <w:tblLayout w:type="fixed"/>
        <w:tblCellMar>
          <w:top w:w="0" w:type="dxa"/>
          <w:left w:w="108" w:type="dxa"/>
          <w:bottom w:w="0" w:type="dxa"/>
          <w:right w:w="108" w:type="dxa"/>
        </w:tblCellMar>
      </w:tblPr>
      <w:tblGrid>
        <w:gridCol w:w="4200"/>
        <w:gridCol w:w="3990"/>
      </w:tblGrid>
      <w:tr w14:paraId="2DBD42B7">
        <w:tblPrEx>
          <w:tblCellMar>
            <w:top w:w="0" w:type="dxa"/>
            <w:left w:w="108" w:type="dxa"/>
            <w:bottom w:w="0" w:type="dxa"/>
            <w:right w:w="108" w:type="dxa"/>
          </w:tblCellMar>
        </w:tblPrEx>
        <w:trPr>
          <w:trHeight w:val="600" w:hRule="atLeast"/>
        </w:trPr>
        <w:tc>
          <w:tcPr>
            <w:tcW w:w="4200" w:type="dxa"/>
            <w:noWrap/>
          </w:tcPr>
          <w:p w14:paraId="3AFBC409">
            <w:pPr>
              <w:spacing w:line="360" w:lineRule="auto"/>
              <w:jc w:val="left"/>
              <w:rPr>
                <w:rFonts w:hAnsi="宋体" w:cs="宋体"/>
                <w:spacing w:val="4"/>
                <w:szCs w:val="24"/>
              </w:rPr>
            </w:pPr>
            <w:r>
              <w:rPr>
                <w:rFonts w:hint="eastAsia" w:hAnsi="宋体" w:cs="宋体"/>
                <w:spacing w:val="4"/>
                <w:szCs w:val="24"/>
              </w:rPr>
              <w:t>被授权人签字或盖章：</w:t>
            </w:r>
          </w:p>
        </w:tc>
        <w:tc>
          <w:tcPr>
            <w:tcW w:w="3990" w:type="dxa"/>
            <w:noWrap/>
          </w:tcPr>
          <w:p w14:paraId="7C507C24">
            <w:pPr>
              <w:spacing w:line="360" w:lineRule="auto"/>
              <w:jc w:val="left"/>
              <w:rPr>
                <w:rFonts w:hAnsi="宋体" w:cs="宋体"/>
                <w:spacing w:val="4"/>
                <w:szCs w:val="24"/>
              </w:rPr>
            </w:pPr>
            <w:r>
              <w:rPr>
                <w:rFonts w:hint="eastAsia" w:hAnsi="宋体" w:cs="宋体"/>
                <w:spacing w:val="4"/>
                <w:szCs w:val="24"/>
              </w:rPr>
              <w:t>法定代表人签字或盖章：</w:t>
            </w:r>
          </w:p>
        </w:tc>
      </w:tr>
      <w:tr w14:paraId="3F57884B">
        <w:tblPrEx>
          <w:tblCellMar>
            <w:top w:w="0" w:type="dxa"/>
            <w:left w:w="108" w:type="dxa"/>
            <w:bottom w:w="0" w:type="dxa"/>
            <w:right w:w="108" w:type="dxa"/>
          </w:tblCellMar>
        </w:tblPrEx>
        <w:trPr>
          <w:trHeight w:val="600" w:hRule="atLeast"/>
        </w:trPr>
        <w:tc>
          <w:tcPr>
            <w:tcW w:w="4200" w:type="dxa"/>
            <w:noWrap/>
          </w:tcPr>
          <w:p w14:paraId="09527564">
            <w:pPr>
              <w:spacing w:line="360" w:lineRule="auto"/>
              <w:jc w:val="left"/>
              <w:rPr>
                <w:rFonts w:hAnsi="宋体" w:cs="宋体"/>
                <w:spacing w:val="4"/>
                <w:szCs w:val="24"/>
              </w:rPr>
            </w:pPr>
            <w:r>
              <w:rPr>
                <w:rFonts w:hint="eastAsia" w:hAnsi="宋体" w:cs="宋体"/>
                <w:spacing w:val="4"/>
                <w:szCs w:val="24"/>
              </w:rPr>
              <w:t>职务：</w:t>
            </w:r>
          </w:p>
        </w:tc>
        <w:tc>
          <w:tcPr>
            <w:tcW w:w="3990" w:type="dxa"/>
            <w:noWrap/>
          </w:tcPr>
          <w:p w14:paraId="4C025114">
            <w:pPr>
              <w:spacing w:line="360" w:lineRule="auto"/>
              <w:jc w:val="left"/>
              <w:rPr>
                <w:rFonts w:hAnsi="宋体" w:cs="宋体"/>
                <w:spacing w:val="4"/>
                <w:szCs w:val="24"/>
              </w:rPr>
            </w:pPr>
            <w:r>
              <w:rPr>
                <w:rFonts w:hint="eastAsia" w:hAnsi="宋体" w:cs="宋体"/>
                <w:spacing w:val="4"/>
                <w:szCs w:val="24"/>
              </w:rPr>
              <w:t>职务：</w:t>
            </w:r>
          </w:p>
        </w:tc>
      </w:tr>
      <w:tr w14:paraId="7F602C08">
        <w:tblPrEx>
          <w:tblCellMar>
            <w:top w:w="0" w:type="dxa"/>
            <w:left w:w="108" w:type="dxa"/>
            <w:bottom w:w="0" w:type="dxa"/>
            <w:right w:w="108" w:type="dxa"/>
          </w:tblCellMar>
        </w:tblPrEx>
        <w:trPr>
          <w:trHeight w:val="600" w:hRule="atLeast"/>
        </w:trPr>
        <w:tc>
          <w:tcPr>
            <w:tcW w:w="4200" w:type="dxa"/>
            <w:noWrap/>
          </w:tcPr>
          <w:p w14:paraId="63059D10">
            <w:pPr>
              <w:spacing w:line="360" w:lineRule="auto"/>
              <w:jc w:val="left"/>
              <w:rPr>
                <w:rFonts w:hAnsi="宋体" w:cs="宋体"/>
                <w:spacing w:val="4"/>
                <w:szCs w:val="24"/>
              </w:rPr>
            </w:pPr>
            <w:r>
              <w:rPr>
                <w:rFonts w:hint="eastAsia" w:hAnsi="宋体" w:cs="宋体"/>
                <w:spacing w:val="4"/>
                <w:szCs w:val="24"/>
              </w:rPr>
              <w:t>身份证号：</w:t>
            </w:r>
          </w:p>
        </w:tc>
        <w:tc>
          <w:tcPr>
            <w:tcW w:w="3990" w:type="dxa"/>
            <w:noWrap/>
          </w:tcPr>
          <w:p w14:paraId="3DC0B433">
            <w:pPr>
              <w:spacing w:line="360" w:lineRule="auto"/>
              <w:jc w:val="left"/>
              <w:rPr>
                <w:rFonts w:hAnsi="宋体" w:cs="宋体"/>
                <w:spacing w:val="4"/>
                <w:szCs w:val="24"/>
              </w:rPr>
            </w:pPr>
            <w:r>
              <w:rPr>
                <w:rFonts w:hint="eastAsia" w:hAnsi="宋体" w:cs="宋体"/>
                <w:spacing w:val="4"/>
                <w:szCs w:val="24"/>
              </w:rPr>
              <w:t>身份证号：</w:t>
            </w:r>
          </w:p>
        </w:tc>
      </w:tr>
      <w:tr w14:paraId="7771EDF6">
        <w:tblPrEx>
          <w:tblCellMar>
            <w:top w:w="0" w:type="dxa"/>
            <w:left w:w="108" w:type="dxa"/>
            <w:bottom w:w="0" w:type="dxa"/>
            <w:right w:w="108" w:type="dxa"/>
          </w:tblCellMar>
        </w:tblPrEx>
        <w:trPr>
          <w:trHeight w:val="600" w:hRule="atLeast"/>
        </w:trPr>
        <w:tc>
          <w:tcPr>
            <w:tcW w:w="4200" w:type="dxa"/>
            <w:noWrap/>
          </w:tcPr>
          <w:p w14:paraId="5402396A">
            <w:pPr>
              <w:spacing w:line="360" w:lineRule="auto"/>
              <w:jc w:val="left"/>
              <w:rPr>
                <w:rFonts w:hAnsi="宋体" w:cs="宋体"/>
                <w:spacing w:val="4"/>
                <w:szCs w:val="24"/>
              </w:rPr>
            </w:pPr>
            <w:r>
              <w:rPr>
                <w:rFonts w:hint="eastAsia" w:hAnsi="宋体" w:cs="宋体"/>
                <w:spacing w:val="4"/>
                <w:szCs w:val="24"/>
              </w:rPr>
              <w:t>所在部门：</w:t>
            </w:r>
          </w:p>
        </w:tc>
        <w:tc>
          <w:tcPr>
            <w:tcW w:w="3990" w:type="dxa"/>
            <w:noWrap/>
          </w:tcPr>
          <w:p w14:paraId="3753A971">
            <w:pPr>
              <w:spacing w:line="360" w:lineRule="auto"/>
              <w:jc w:val="left"/>
              <w:rPr>
                <w:rFonts w:hAnsi="宋体" w:cs="宋体"/>
                <w:spacing w:val="4"/>
                <w:szCs w:val="24"/>
              </w:rPr>
            </w:pPr>
          </w:p>
        </w:tc>
      </w:tr>
    </w:tbl>
    <w:p w14:paraId="0967B7C0">
      <w:pPr>
        <w:spacing w:line="360" w:lineRule="auto"/>
        <w:ind w:firstLine="505" w:firstLineChars="204"/>
        <w:rPr>
          <w:rFonts w:hAnsi="宋体" w:cs="宋体"/>
          <w:spacing w:val="4"/>
          <w:szCs w:val="24"/>
        </w:rPr>
      </w:pPr>
      <w:r>
        <w:rPr>
          <w:rFonts w:hint="eastAsia" w:hAnsi="宋体" w:cs="宋体"/>
          <w:spacing w:val="4"/>
          <w:szCs w:val="24"/>
        </w:rPr>
        <w:t>附：法定代表人、被授权人身份证复印件</w:t>
      </w:r>
    </w:p>
    <w:p w14:paraId="4D9B14D8">
      <w:pPr>
        <w:spacing w:line="360" w:lineRule="auto"/>
        <w:rPr>
          <w:rFonts w:hAnsi="宋体" w:cs="宋体"/>
          <w:spacing w:val="4"/>
          <w:szCs w:val="24"/>
        </w:rPr>
      </w:pPr>
    </w:p>
    <w:tbl>
      <w:tblPr>
        <w:tblStyle w:val="22"/>
        <w:tblW w:w="0" w:type="auto"/>
        <w:tblInd w:w="540" w:type="dxa"/>
        <w:tblLayout w:type="fixed"/>
        <w:tblCellMar>
          <w:top w:w="0" w:type="dxa"/>
          <w:left w:w="108" w:type="dxa"/>
          <w:bottom w:w="0" w:type="dxa"/>
          <w:right w:w="108" w:type="dxa"/>
        </w:tblCellMar>
      </w:tblPr>
      <w:tblGrid>
        <w:gridCol w:w="4246"/>
        <w:gridCol w:w="4111"/>
      </w:tblGrid>
      <w:tr w14:paraId="59DA196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noWrap/>
            <w:vAlign w:val="center"/>
          </w:tcPr>
          <w:p w14:paraId="28F67E0B">
            <w:pPr>
              <w:spacing w:line="360" w:lineRule="auto"/>
              <w:jc w:val="center"/>
              <w:rPr>
                <w:rFonts w:hAnsi="宋体" w:cs="宋体"/>
                <w:szCs w:val="21"/>
                <w:lang w:val="zh-CN"/>
              </w:rPr>
            </w:pPr>
            <w:r>
              <w:rPr>
                <w:rFonts w:hint="eastAsia" w:hAnsi="宋体" w:cs="宋体"/>
                <w:szCs w:val="21"/>
                <w:lang w:val="zh-CN"/>
              </w:rPr>
              <w:t>法定代表人身份证复印件粘贴处</w:t>
            </w:r>
          </w:p>
          <w:p w14:paraId="63B829BB">
            <w:pPr>
              <w:spacing w:line="360" w:lineRule="auto"/>
              <w:jc w:val="center"/>
              <w:rPr>
                <w:rFonts w:hAnsi="宋体" w:cs="宋体"/>
                <w:szCs w:val="21"/>
                <w:u w:val="single"/>
              </w:rPr>
            </w:pPr>
            <w:r>
              <w:rPr>
                <w:rFonts w:hint="eastAsia" w:hAnsi="宋体" w:cs="宋体"/>
                <w:szCs w:val="21"/>
                <w:lang w:val="zh-CN"/>
              </w:rPr>
              <w:t>（正反面）</w:t>
            </w:r>
          </w:p>
        </w:tc>
        <w:tc>
          <w:tcPr>
            <w:tcW w:w="4111" w:type="dxa"/>
            <w:tcBorders>
              <w:top w:val="single" w:color="auto" w:sz="6" w:space="0"/>
              <w:left w:val="single" w:color="auto" w:sz="6" w:space="0"/>
              <w:bottom w:val="single" w:color="auto" w:sz="6" w:space="0"/>
              <w:right w:val="single" w:color="auto" w:sz="6" w:space="0"/>
            </w:tcBorders>
            <w:noWrap/>
            <w:vAlign w:val="center"/>
          </w:tcPr>
          <w:p w14:paraId="53E24149">
            <w:pPr>
              <w:spacing w:line="360" w:lineRule="auto"/>
              <w:jc w:val="center"/>
              <w:rPr>
                <w:rFonts w:hAnsi="宋体" w:cs="宋体"/>
                <w:szCs w:val="21"/>
                <w:lang w:val="zh-CN"/>
              </w:rPr>
            </w:pPr>
            <w:r>
              <w:rPr>
                <w:rFonts w:hint="eastAsia" w:hAnsi="宋体" w:cs="宋体"/>
                <w:szCs w:val="21"/>
                <w:lang w:val="zh-CN"/>
              </w:rPr>
              <w:t>授权代表身份证复印件粘贴处</w:t>
            </w:r>
          </w:p>
          <w:p w14:paraId="41FFB428">
            <w:pPr>
              <w:spacing w:line="360" w:lineRule="auto"/>
              <w:jc w:val="center"/>
              <w:rPr>
                <w:rFonts w:hAnsi="宋体" w:cs="宋体"/>
                <w:u w:val="single"/>
              </w:rPr>
            </w:pPr>
            <w:r>
              <w:rPr>
                <w:rFonts w:hint="eastAsia" w:hAnsi="宋体" w:cs="宋体"/>
                <w:szCs w:val="21"/>
                <w:lang w:val="zh-CN"/>
              </w:rPr>
              <w:t>（正反面）</w:t>
            </w:r>
          </w:p>
        </w:tc>
      </w:tr>
    </w:tbl>
    <w:p w14:paraId="06E473EA">
      <w:pPr>
        <w:spacing w:line="360" w:lineRule="auto"/>
        <w:ind w:firstLine="510"/>
        <w:rPr>
          <w:rFonts w:hAnsi="宋体" w:cs="宋体"/>
          <w:spacing w:val="4"/>
          <w:szCs w:val="24"/>
        </w:rPr>
      </w:pPr>
    </w:p>
    <w:p w14:paraId="1E9C3DF0">
      <w:pPr>
        <w:spacing w:beforeLines="50" w:afterLines="50" w:line="360" w:lineRule="auto"/>
        <w:rPr>
          <w:rFonts w:hAnsi="宋体" w:cs="宋体"/>
          <w:spacing w:val="4"/>
          <w:szCs w:val="24"/>
        </w:rPr>
      </w:pPr>
      <w:r>
        <w:rPr>
          <w:rFonts w:hint="eastAsia" w:hAnsi="宋体" w:cs="宋体"/>
          <w:spacing w:val="4"/>
          <w:szCs w:val="24"/>
        </w:rPr>
        <w:t>供应商名称：</w:t>
      </w:r>
      <w:r>
        <w:rPr>
          <w:rFonts w:hint="eastAsia" w:hAnsi="宋体" w:cs="宋体"/>
          <w:u w:val="single"/>
        </w:rPr>
        <w:t xml:space="preserve">      （加盖单位公章）       </w:t>
      </w:r>
    </w:p>
    <w:p w14:paraId="4681F893">
      <w:pPr>
        <w:spacing w:beforeLines="50" w:afterLines="50" w:line="360" w:lineRule="auto"/>
        <w:rPr>
          <w:rFonts w:hAnsi="宋体" w:cs="宋体"/>
          <w:spacing w:val="4"/>
          <w:szCs w:val="24"/>
        </w:rPr>
      </w:pPr>
      <w:r>
        <w:rPr>
          <w:rFonts w:hint="eastAsia" w:hAnsi="宋体" w:cs="宋体"/>
          <w:spacing w:val="4"/>
          <w:szCs w:val="24"/>
        </w:rPr>
        <w:t>日期：</w:t>
      </w:r>
    </w:p>
    <w:p w14:paraId="100F077E">
      <w:pPr>
        <w:rPr>
          <w:rFonts w:hAnsi="宋体" w:cs="宋体"/>
          <w:spacing w:val="4"/>
          <w:szCs w:val="30"/>
        </w:rPr>
      </w:pPr>
      <w:r>
        <w:rPr>
          <w:rFonts w:hint="eastAsia" w:hAnsi="宋体" w:cs="宋体"/>
          <w:b/>
          <w:sz w:val="28"/>
          <w:szCs w:val="28"/>
        </w:rPr>
        <w:br w:type="page"/>
      </w:r>
      <w:bookmarkStart w:id="227" w:name="_Toc11767"/>
      <w:bookmarkStart w:id="228" w:name="_Toc17295"/>
    </w:p>
    <w:p w14:paraId="695003D6">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附件2：</w:t>
      </w:r>
    </w:p>
    <w:p w14:paraId="5A0F0163">
      <w:pPr>
        <w:widowControl/>
        <w:spacing w:line="360" w:lineRule="auto"/>
        <w:ind w:left="1" w:firstLine="281" w:firstLineChars="100"/>
        <w:jc w:val="center"/>
        <w:rPr>
          <w:rFonts w:hint="eastAsia" w:hAnsi="宋体" w:cs="宋体"/>
          <w:b/>
          <w:sz w:val="28"/>
          <w:szCs w:val="28"/>
        </w:rPr>
      </w:pPr>
    </w:p>
    <w:p w14:paraId="65F8A61C">
      <w:pPr>
        <w:widowControl/>
        <w:spacing w:line="360" w:lineRule="auto"/>
        <w:ind w:left="1" w:firstLine="281" w:firstLineChars="100"/>
        <w:jc w:val="center"/>
        <w:rPr>
          <w:rFonts w:hAnsi="宋体" w:cs="宋体"/>
          <w:b/>
          <w:sz w:val="28"/>
          <w:szCs w:val="28"/>
        </w:rPr>
      </w:pPr>
      <w:r>
        <w:rPr>
          <w:rFonts w:hint="eastAsia" w:hAnsi="宋体" w:cs="宋体"/>
          <w:b/>
          <w:sz w:val="28"/>
          <w:szCs w:val="28"/>
        </w:rPr>
        <w:t>参加政府采购活动前3年内在经营活动中没有重大违法纪录的书面声明</w:t>
      </w:r>
    </w:p>
    <w:p w14:paraId="5F1385AC">
      <w:pPr>
        <w:widowControl/>
        <w:spacing w:line="360" w:lineRule="auto"/>
        <w:ind w:left="1"/>
        <w:jc w:val="center"/>
        <w:rPr>
          <w:rFonts w:hAnsi="宋体" w:cs="宋体"/>
          <w:b/>
          <w:sz w:val="28"/>
          <w:szCs w:val="28"/>
        </w:rPr>
      </w:pPr>
      <w:r>
        <w:rPr>
          <w:rFonts w:hint="eastAsia" w:hAnsi="宋体" w:cs="宋体"/>
          <w:b/>
          <w:sz w:val="28"/>
          <w:szCs w:val="28"/>
        </w:rPr>
        <w:t>（格式）</w:t>
      </w:r>
    </w:p>
    <w:p w14:paraId="17C3462A">
      <w:pPr>
        <w:pStyle w:val="19"/>
        <w:wordWrap w:val="0"/>
        <w:spacing w:beforeAutospacing="0" w:afterAutospacing="0" w:line="560" w:lineRule="exact"/>
        <w:rPr>
          <w:rFonts w:cs="宋体"/>
          <w:u w:val="single"/>
          <w:shd w:val="clear" w:color="auto" w:fill="FFFFFF"/>
        </w:rPr>
      </w:pPr>
      <w:r>
        <w:rPr>
          <w:rFonts w:hint="eastAsia" w:cs="宋体"/>
          <w:u w:val="single"/>
          <w:shd w:val="clear" w:color="auto" w:fill="FFFFFF"/>
        </w:rPr>
        <w:t xml:space="preserve">      （采购人）           ：</w:t>
      </w:r>
    </w:p>
    <w:p w14:paraId="367AC5C9">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我方作为项目名称</w:t>
      </w:r>
      <w:r>
        <w:rPr>
          <w:rFonts w:hint="eastAsia" w:cs="宋体"/>
          <w:shd w:val="clear" w:color="auto" w:fill="FFFFFF"/>
          <w:lang w:eastAsia="zh-CN"/>
        </w:rPr>
        <w:t>：</w:t>
      </w:r>
      <w:r>
        <w:rPr>
          <w:rFonts w:hint="eastAsia" w:cs="宋体"/>
          <w:u w:val="single"/>
          <w:shd w:val="clear" w:color="auto" w:fill="FFFFFF"/>
          <w:lang w:val="en-US" w:eastAsia="zh-CN"/>
        </w:rPr>
        <w:t xml:space="preserve">         </w:t>
      </w:r>
      <w:r>
        <w:rPr>
          <w:rFonts w:hint="eastAsia" w:cs="宋体"/>
          <w:shd w:val="clear" w:color="auto" w:fill="FFFFFF"/>
        </w:rPr>
        <w:t>（</w:t>
      </w:r>
      <w:r>
        <w:rPr>
          <w:rFonts w:hint="eastAsia" w:ascii="宋体" w:hAnsi="宋体" w:cs="宋体"/>
          <w:color w:val="auto"/>
          <w:highlight w:val="none"/>
          <w:shd w:val="clear" w:color="auto" w:fill="FFFFFF"/>
        </w:rPr>
        <w:t>项目编号：</w:t>
      </w:r>
      <w:r>
        <w:rPr>
          <w:rFonts w:hint="eastAsia" w:ascii="宋体" w:hAnsi="宋体" w:cs="宋体"/>
          <w:i/>
          <w:iCs/>
          <w:color w:val="auto"/>
          <w:highlight w:val="none"/>
          <w:u w:val="single"/>
          <w:shd w:val="clear" w:color="auto" w:fill="FFFFFF"/>
        </w:rPr>
        <w:t xml:space="preserve">          </w:t>
      </w:r>
      <w:r>
        <w:rPr>
          <w:rFonts w:hint="eastAsia" w:cs="宋体"/>
          <w:shd w:val="clear" w:color="auto" w:fill="FFFFFF"/>
        </w:rPr>
        <w:t>）的供应商，在此郑重声明：</w:t>
      </w:r>
    </w:p>
    <w:p w14:paraId="1D6A2477">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 xml:space="preserve">在参加本次政府采购活动前3年内的经营活动中（填“没有”或“有”）重大违法记录。供应商在参加政府采购活动前3年内因违法经营被禁止在一定期限内参加政府采购活动，期限届满的，可以参加政府采购活动，但应提供期限届满的证明材料。 </w:t>
      </w:r>
    </w:p>
    <w:p w14:paraId="4A71B3BC">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如有不实，我方将无条件地退出本项目的采购活动，并遵照《</w:t>
      </w:r>
      <w:r>
        <w:rPr>
          <w:rFonts w:hint="eastAsia" w:hAnsi="宋体" w:cs="宋体"/>
          <w:szCs w:val="24"/>
          <w:highlight w:val="none"/>
          <w:lang w:val="en-US" w:eastAsia="zh-CN"/>
        </w:rPr>
        <w:t>中华人民共和国</w:t>
      </w:r>
      <w:r>
        <w:rPr>
          <w:rFonts w:hint="eastAsia" w:cs="宋体"/>
          <w:shd w:val="clear" w:color="auto" w:fill="FFFFFF"/>
        </w:rPr>
        <w:t xml:space="preserve">政府采购法》有关“提供虚假材料的规定”接受处罚。 </w:t>
      </w:r>
    </w:p>
    <w:p w14:paraId="687E4E3B">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shd w:val="clear" w:color="auto" w:fill="FFFFFF"/>
        </w:rPr>
      </w:pPr>
      <w:r>
        <w:rPr>
          <w:rFonts w:hint="eastAsia" w:cs="宋体"/>
          <w:shd w:val="clear" w:color="auto" w:fill="FFFFFF"/>
        </w:rPr>
        <w:t>特此声明！</w:t>
      </w:r>
    </w:p>
    <w:p w14:paraId="2AE64CF4">
      <w:pPr>
        <w:pStyle w:val="19"/>
        <w:wordWrap w:val="0"/>
        <w:spacing w:beforeAutospacing="0" w:afterAutospacing="0" w:line="560" w:lineRule="exact"/>
        <w:ind w:firstLine="420"/>
        <w:rPr>
          <w:rFonts w:cs="宋体"/>
          <w:shd w:val="clear" w:color="auto" w:fill="FFFFFF"/>
        </w:rPr>
      </w:pPr>
    </w:p>
    <w:p w14:paraId="7D8CB890">
      <w:pPr>
        <w:spacing w:line="480" w:lineRule="auto"/>
        <w:ind w:firstLine="3360" w:firstLineChars="1400"/>
        <w:rPr>
          <w:rFonts w:hAnsi="宋体" w:cs="宋体"/>
        </w:rPr>
      </w:pPr>
      <w:r>
        <w:rPr>
          <w:rFonts w:hint="eastAsia" w:hAnsi="宋体" w:cs="宋体"/>
        </w:rPr>
        <w:t>供应商名称：</w:t>
      </w:r>
      <w:r>
        <w:rPr>
          <w:rFonts w:hint="eastAsia" w:hAnsi="宋体" w:cs="宋体"/>
          <w:u w:val="single"/>
          <w:lang w:val="en-US" w:eastAsia="zh-CN"/>
        </w:rPr>
        <w:t xml:space="preserve">                 </w:t>
      </w:r>
      <w:r>
        <w:rPr>
          <w:rFonts w:hint="eastAsia" w:hAnsi="宋体" w:cs="宋体"/>
        </w:rPr>
        <w:t>（盖章）</w:t>
      </w:r>
    </w:p>
    <w:p w14:paraId="7DC40C92">
      <w:pPr>
        <w:pStyle w:val="37"/>
        <w:spacing w:beforeLines="50"/>
        <w:ind w:firstLine="3360" w:firstLineChars="1400"/>
        <w:rPr>
          <w:rFonts w:hAnsi="宋体" w:cs="宋体"/>
          <w:b/>
          <w:bCs/>
          <w:spacing w:val="4"/>
          <w:szCs w:val="24"/>
        </w:rPr>
      </w:pPr>
      <w:r>
        <w:rPr>
          <w:rFonts w:hint="eastAsia" w:ascii="宋体" w:hAnsi="宋体" w:cs="宋体"/>
          <w:szCs w:val="24"/>
        </w:rPr>
        <w:t>日        期：</w:t>
      </w:r>
      <w:r>
        <w:rPr>
          <w:rFonts w:hint="eastAsia" w:ascii="宋体" w:hAnsi="宋体" w:cs="宋体"/>
          <w:szCs w:val="24"/>
          <w:u w:val="single"/>
          <w:lang w:val="en-US" w:eastAsia="zh-CN"/>
        </w:rPr>
        <w:t xml:space="preserve">     </w:t>
      </w:r>
      <w:r>
        <w:rPr>
          <w:rFonts w:hint="eastAsia" w:ascii="宋体" w:hAnsi="宋体" w:cs="宋体"/>
          <w:szCs w:val="24"/>
        </w:rPr>
        <w:t>年</w:t>
      </w:r>
      <w:r>
        <w:rPr>
          <w:rFonts w:hint="eastAsia" w:ascii="宋体" w:hAnsi="宋体" w:cs="宋体"/>
          <w:szCs w:val="24"/>
          <w:u w:val="single"/>
          <w:lang w:val="en-US" w:eastAsia="zh-CN"/>
        </w:rPr>
        <w:t xml:space="preserve">     </w:t>
      </w:r>
      <w:r>
        <w:rPr>
          <w:rFonts w:hint="eastAsia" w:ascii="宋体" w:hAnsi="宋体" w:cs="宋体"/>
          <w:szCs w:val="24"/>
        </w:rPr>
        <w:t>月</w:t>
      </w:r>
      <w:r>
        <w:rPr>
          <w:rFonts w:hint="eastAsia" w:ascii="宋体" w:hAnsi="宋体" w:cs="宋体"/>
          <w:szCs w:val="24"/>
          <w:u w:val="single"/>
          <w:lang w:val="en-US" w:eastAsia="zh-CN"/>
        </w:rPr>
        <w:t xml:space="preserve">     </w:t>
      </w:r>
      <w:r>
        <w:rPr>
          <w:rFonts w:hint="eastAsia" w:ascii="宋体" w:hAnsi="宋体" w:cs="宋体"/>
          <w:szCs w:val="24"/>
        </w:rPr>
        <w:t>日</w:t>
      </w:r>
    </w:p>
    <w:p w14:paraId="0406A26D">
      <w:pP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br w:type="page"/>
      </w:r>
    </w:p>
    <w:p w14:paraId="275BB4DB">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附件3：</w:t>
      </w:r>
    </w:p>
    <w:p w14:paraId="2A42FC5A">
      <w:pPr>
        <w:adjustRightInd w:val="0"/>
        <w:snapToGrid w:val="0"/>
        <w:spacing w:line="360" w:lineRule="auto"/>
        <w:jc w:val="center"/>
        <w:rPr>
          <w:rFonts w:hint="eastAsia" w:hAnsi="宋体" w:cs="宋体"/>
          <w:b/>
          <w:sz w:val="28"/>
          <w:szCs w:val="28"/>
        </w:rPr>
      </w:pPr>
    </w:p>
    <w:p w14:paraId="1DAD95B5">
      <w:pPr>
        <w:adjustRightInd w:val="0"/>
        <w:snapToGrid w:val="0"/>
        <w:spacing w:line="360" w:lineRule="auto"/>
        <w:jc w:val="center"/>
        <w:rPr>
          <w:rFonts w:hAnsi="宋体" w:cs="宋体"/>
          <w:b/>
          <w:sz w:val="28"/>
          <w:szCs w:val="28"/>
        </w:rPr>
      </w:pPr>
      <w:r>
        <w:rPr>
          <w:rFonts w:hint="eastAsia" w:hAnsi="宋体" w:cs="宋体"/>
          <w:b/>
          <w:sz w:val="28"/>
          <w:szCs w:val="28"/>
        </w:rPr>
        <w:t>具有履行本合同所必需的设备和专业技术能力的书面声明</w:t>
      </w:r>
    </w:p>
    <w:p w14:paraId="6FF5B29C">
      <w:pPr>
        <w:widowControl/>
        <w:spacing w:line="360" w:lineRule="auto"/>
        <w:ind w:left="1"/>
        <w:jc w:val="center"/>
        <w:rPr>
          <w:rFonts w:hAnsi="宋体" w:cs="宋体"/>
          <w:b/>
          <w:sz w:val="28"/>
          <w:szCs w:val="28"/>
        </w:rPr>
      </w:pPr>
      <w:r>
        <w:rPr>
          <w:rFonts w:hint="eastAsia" w:hAnsi="宋体" w:cs="宋体"/>
          <w:b/>
          <w:sz w:val="28"/>
          <w:szCs w:val="28"/>
        </w:rPr>
        <w:t>（格式）</w:t>
      </w:r>
    </w:p>
    <w:p w14:paraId="5EBE8134"/>
    <w:p w14:paraId="2BC84EBA">
      <w:pPr>
        <w:pStyle w:val="12"/>
        <w:adjustRightInd w:val="0"/>
        <w:snapToGrid w:val="0"/>
        <w:spacing w:line="720" w:lineRule="exact"/>
        <w:jc w:val="center"/>
        <w:rPr>
          <w:rFonts w:hAnsi="宋体" w:cs="宋体"/>
          <w:b/>
          <w:sz w:val="28"/>
          <w:szCs w:val="28"/>
        </w:rPr>
      </w:pPr>
    </w:p>
    <w:p w14:paraId="5400BEE3">
      <w:pPr>
        <w:spacing w:line="720" w:lineRule="exact"/>
        <w:rPr>
          <w:rFonts w:hAnsi="宋体" w:cs="宋体"/>
          <w:spacing w:val="4"/>
          <w:u w:val="single"/>
        </w:rPr>
      </w:pPr>
      <w:r>
        <w:rPr>
          <w:rFonts w:hint="eastAsia" w:hAnsi="宋体" w:cs="宋体"/>
          <w:spacing w:val="4"/>
          <w:u w:val="single"/>
        </w:rPr>
        <w:t xml:space="preserve">     （采购人）    ：</w:t>
      </w:r>
    </w:p>
    <w:p w14:paraId="08C3966C">
      <w:pPr>
        <w:pStyle w:val="12"/>
        <w:adjustRightInd w:val="0"/>
        <w:snapToGrid w:val="0"/>
        <w:spacing w:line="720" w:lineRule="exact"/>
        <w:ind w:firstLine="496" w:firstLineChars="200"/>
        <w:rPr>
          <w:rFonts w:hAnsi="宋体" w:cs="宋体"/>
          <w:spacing w:val="4"/>
          <w:sz w:val="24"/>
          <w:szCs w:val="24"/>
        </w:rPr>
      </w:pPr>
      <w:r>
        <w:rPr>
          <w:rFonts w:hint="eastAsia" w:hAnsi="宋体" w:cs="宋体"/>
          <w:spacing w:val="4"/>
          <w:sz w:val="24"/>
          <w:szCs w:val="24"/>
          <w:u w:val="single"/>
        </w:rPr>
        <w:t xml:space="preserve">      （供应商名称）    </w:t>
      </w:r>
      <w:r>
        <w:rPr>
          <w:rFonts w:hint="eastAsia" w:hAnsi="宋体" w:cs="宋体"/>
          <w:spacing w:val="4"/>
          <w:sz w:val="24"/>
          <w:szCs w:val="24"/>
        </w:rPr>
        <w:t xml:space="preserve"> 于年月日在中华人民共和国境内</w:t>
      </w:r>
      <w:r>
        <w:rPr>
          <w:rFonts w:hint="eastAsia" w:hAnsi="宋体" w:cs="宋体"/>
          <w:spacing w:val="4"/>
          <w:sz w:val="24"/>
          <w:szCs w:val="24"/>
          <w:u w:val="single"/>
        </w:rPr>
        <w:t xml:space="preserve">               （详细注册地址）     </w:t>
      </w:r>
      <w:r>
        <w:rPr>
          <w:rFonts w:hint="eastAsia" w:hAnsi="宋体" w:cs="宋体"/>
          <w:spacing w:val="4"/>
          <w:sz w:val="24"/>
          <w:szCs w:val="24"/>
        </w:rPr>
        <w:t>合法注册并经营，公司主营业务为</w:t>
      </w:r>
      <w:r>
        <w:rPr>
          <w:rFonts w:hint="eastAsia" w:hAnsi="宋体" w:cs="宋体"/>
          <w:spacing w:val="4"/>
          <w:sz w:val="24"/>
          <w:szCs w:val="24"/>
          <w:u w:val="single"/>
          <w:lang w:val="en-US" w:eastAsia="zh-CN"/>
        </w:rPr>
        <w:t xml:space="preserve">                  </w:t>
      </w:r>
      <w:r>
        <w:rPr>
          <w:rFonts w:hint="eastAsia" w:hAnsi="宋体" w:cs="宋体"/>
          <w:spacing w:val="4"/>
          <w:sz w:val="24"/>
          <w:szCs w:val="24"/>
        </w:rPr>
        <w:t>。</w:t>
      </w:r>
    </w:p>
    <w:p w14:paraId="74F0ED2E">
      <w:pPr>
        <w:pStyle w:val="12"/>
        <w:adjustRightInd w:val="0"/>
        <w:snapToGrid w:val="0"/>
        <w:spacing w:line="720" w:lineRule="exact"/>
        <w:ind w:firstLine="550" w:firstLineChars="222"/>
        <w:rPr>
          <w:rFonts w:hAnsi="宋体" w:cs="宋体"/>
          <w:spacing w:val="4"/>
          <w:sz w:val="24"/>
          <w:szCs w:val="24"/>
        </w:rPr>
      </w:pPr>
      <w:r>
        <w:rPr>
          <w:rFonts w:hint="eastAsia" w:hAnsi="宋体" w:cs="宋体"/>
          <w:spacing w:val="4"/>
          <w:sz w:val="24"/>
          <w:szCs w:val="24"/>
        </w:rPr>
        <w:t>我公司郑重承诺，我公司具有履行本合同所必需的设备和专业技术能力，合同履约中将无条件增加相关设备、人员，直至满足项目需求。</w:t>
      </w:r>
    </w:p>
    <w:p w14:paraId="018CF549">
      <w:pPr>
        <w:pStyle w:val="12"/>
        <w:adjustRightInd w:val="0"/>
        <w:snapToGrid w:val="0"/>
        <w:spacing w:line="720" w:lineRule="exact"/>
        <w:rPr>
          <w:rFonts w:hAnsi="宋体" w:cs="宋体"/>
          <w:spacing w:val="4"/>
          <w:sz w:val="24"/>
          <w:szCs w:val="24"/>
        </w:rPr>
      </w:pPr>
    </w:p>
    <w:p w14:paraId="695AC427">
      <w:pPr>
        <w:pStyle w:val="12"/>
        <w:adjustRightInd w:val="0"/>
        <w:snapToGrid w:val="0"/>
        <w:spacing w:line="720" w:lineRule="exact"/>
        <w:rPr>
          <w:rFonts w:hAnsi="宋体" w:cs="宋体"/>
          <w:spacing w:val="4"/>
          <w:sz w:val="24"/>
          <w:szCs w:val="24"/>
        </w:rPr>
      </w:pPr>
    </w:p>
    <w:p w14:paraId="05101532">
      <w:pPr>
        <w:pStyle w:val="12"/>
        <w:adjustRightInd w:val="0"/>
        <w:snapToGrid w:val="0"/>
        <w:spacing w:line="720" w:lineRule="exact"/>
        <w:rPr>
          <w:rFonts w:hAnsi="宋体" w:cs="宋体"/>
          <w:spacing w:val="4"/>
          <w:sz w:val="24"/>
          <w:szCs w:val="24"/>
        </w:rPr>
      </w:pPr>
    </w:p>
    <w:p w14:paraId="0C32740B">
      <w:pPr>
        <w:spacing w:line="480" w:lineRule="auto"/>
        <w:ind w:firstLine="3360" w:firstLineChars="1400"/>
        <w:rPr>
          <w:rFonts w:hAnsi="宋体" w:cs="宋体"/>
        </w:rPr>
      </w:pPr>
      <w:r>
        <w:rPr>
          <w:rFonts w:hint="eastAsia" w:hAnsi="宋体" w:cs="宋体"/>
        </w:rPr>
        <w:t>供应商名称：</w:t>
      </w:r>
      <w:r>
        <w:rPr>
          <w:rFonts w:hint="eastAsia" w:hAnsi="宋体" w:cs="宋体"/>
          <w:u w:val="single"/>
          <w:lang w:val="en-US" w:eastAsia="zh-CN"/>
        </w:rPr>
        <w:t xml:space="preserve">               </w:t>
      </w:r>
      <w:r>
        <w:rPr>
          <w:rFonts w:hint="eastAsia" w:hAnsi="宋体" w:cs="宋体"/>
        </w:rPr>
        <w:t>（盖章）</w:t>
      </w:r>
    </w:p>
    <w:p w14:paraId="4CDF67D4">
      <w:pPr>
        <w:pStyle w:val="37"/>
        <w:spacing w:beforeLines="50"/>
        <w:ind w:firstLine="3360" w:firstLineChars="1400"/>
        <w:rPr>
          <w:rFonts w:ascii="宋体" w:hAnsi="宋体" w:cs="宋体"/>
          <w:szCs w:val="24"/>
        </w:rPr>
      </w:pPr>
      <w:r>
        <w:rPr>
          <w:rFonts w:hint="eastAsia" w:ascii="宋体" w:hAnsi="宋体" w:cs="宋体"/>
          <w:szCs w:val="24"/>
        </w:rPr>
        <w:t>日        期：</w:t>
      </w:r>
      <w:r>
        <w:rPr>
          <w:rFonts w:hint="eastAsia" w:ascii="宋体" w:hAnsi="宋体" w:cs="宋体"/>
          <w:szCs w:val="24"/>
          <w:u w:val="single"/>
          <w:lang w:val="en-US" w:eastAsia="zh-CN"/>
        </w:rPr>
        <w:t xml:space="preserve">      </w:t>
      </w:r>
      <w:r>
        <w:rPr>
          <w:rFonts w:hint="eastAsia" w:ascii="宋体" w:hAnsi="宋体" w:cs="宋体"/>
          <w:szCs w:val="24"/>
        </w:rPr>
        <w:t>年</w:t>
      </w:r>
      <w:r>
        <w:rPr>
          <w:rFonts w:hint="eastAsia" w:ascii="宋体" w:hAnsi="宋体" w:cs="宋体"/>
          <w:szCs w:val="24"/>
          <w:u w:val="single"/>
          <w:lang w:val="en-US" w:eastAsia="zh-CN"/>
        </w:rPr>
        <w:t xml:space="preserve">     </w:t>
      </w:r>
      <w:r>
        <w:rPr>
          <w:rFonts w:hint="eastAsia" w:ascii="宋体" w:hAnsi="宋体" w:cs="宋体"/>
          <w:szCs w:val="24"/>
        </w:rPr>
        <w:t>月</w:t>
      </w:r>
      <w:r>
        <w:rPr>
          <w:rFonts w:hint="eastAsia" w:ascii="宋体" w:hAnsi="宋体" w:cs="宋体"/>
          <w:szCs w:val="24"/>
          <w:u w:val="single"/>
          <w:lang w:val="en-US" w:eastAsia="zh-CN"/>
        </w:rPr>
        <w:t xml:space="preserve">     </w:t>
      </w:r>
      <w:r>
        <w:rPr>
          <w:rFonts w:hint="eastAsia" w:ascii="宋体" w:hAnsi="宋体" w:cs="宋体"/>
          <w:szCs w:val="24"/>
        </w:rPr>
        <w:t>日</w:t>
      </w:r>
    </w:p>
    <w:p w14:paraId="56B57211">
      <w:pPr>
        <w:rPr>
          <w:rFonts w:hint="eastAsia" w:hAnsi="宋体" w:cs="宋体"/>
          <w:spacing w:val="4"/>
          <w:szCs w:val="30"/>
        </w:rPr>
      </w:pPr>
      <w:r>
        <w:rPr>
          <w:rFonts w:hint="eastAsia" w:hAnsi="宋体" w:cs="宋体"/>
          <w:spacing w:val="4"/>
          <w:szCs w:val="30"/>
        </w:rPr>
        <w:br w:type="page"/>
      </w:r>
    </w:p>
    <w:p w14:paraId="3D17171C">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附件4：</w:t>
      </w:r>
    </w:p>
    <w:p w14:paraId="407836FF">
      <w:pPr>
        <w:rPr>
          <w:rFonts w:hint="eastAsia" w:hAnsi="宋体" w:cs="宋体"/>
          <w:color w:val="auto"/>
          <w:spacing w:val="4"/>
          <w:szCs w:val="30"/>
          <w:highlight w:val="none"/>
        </w:rPr>
      </w:pPr>
    </w:p>
    <w:p w14:paraId="017B8145">
      <w:pPr>
        <w:keepNext w:val="0"/>
        <w:keepLines w:val="0"/>
        <w:widowControl/>
        <w:suppressLineNumbers w:val="0"/>
        <w:jc w:val="center"/>
        <w:rPr>
          <w:rFonts w:hint="eastAsia" w:ascii="宋体" w:hAnsi="宋体" w:eastAsia="宋体" w:cs="宋体"/>
          <w:sz w:val="28"/>
          <w:szCs w:val="28"/>
          <w:highlight w:val="none"/>
        </w:rPr>
      </w:pPr>
      <w:r>
        <w:rPr>
          <w:rFonts w:hint="eastAsia" w:hAnsi="宋体" w:cs="宋体"/>
          <w:b/>
          <w:bCs/>
          <w:color w:val="000000"/>
          <w:kern w:val="0"/>
          <w:sz w:val="28"/>
          <w:szCs w:val="28"/>
          <w:highlight w:val="none"/>
          <w:lang w:val="en-US" w:eastAsia="zh-CN" w:bidi="ar"/>
        </w:rPr>
        <w:t>供应商</w:t>
      </w:r>
      <w:r>
        <w:rPr>
          <w:rFonts w:hint="eastAsia" w:ascii="宋体" w:hAnsi="宋体" w:eastAsia="宋体" w:cs="宋体"/>
          <w:b/>
          <w:bCs/>
          <w:color w:val="000000"/>
          <w:kern w:val="0"/>
          <w:sz w:val="28"/>
          <w:szCs w:val="28"/>
          <w:highlight w:val="none"/>
          <w:lang w:val="en-US" w:eastAsia="zh-CN" w:bidi="ar"/>
        </w:rPr>
        <w:t>信用记录书面声明函（格式）</w:t>
      </w:r>
    </w:p>
    <w:p w14:paraId="312752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43A6F6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陕西至诚项目管理集团有限公司： </w:t>
      </w:r>
    </w:p>
    <w:p w14:paraId="18E39B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我方作为《项目名称</w:t>
      </w:r>
      <w:r>
        <w:rPr>
          <w:rFonts w:hint="eastAsia" w:hAnsi="宋体" w:cs="宋体"/>
          <w:color w:val="000000"/>
          <w:kern w:val="0"/>
          <w:sz w:val="24"/>
          <w:szCs w:val="24"/>
          <w:highlight w:val="none"/>
          <w:lang w:val="en-US" w:eastAsia="zh-CN" w:bidi="ar"/>
        </w:rPr>
        <w:t>:</w:t>
      </w:r>
      <w:r>
        <w:rPr>
          <w:rFonts w:hint="eastAsia" w:hAnsi="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》（项目编号：</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）第</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标段的投标人，在此郑重声明： </w:t>
      </w:r>
    </w:p>
    <w:p w14:paraId="32485C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highlight w:val="none"/>
          <w:lang w:val="en-US" w:eastAsia="zh-CN" w:bidi="ar"/>
        </w:rPr>
        <w:t>投标人在参加政府采购活动前 3 年内因违法经营被禁止在一定期限内参加政府采购活动，期限届满的，可以参加政府采购活动，但应提供期限届满的证明材料。</w:t>
      </w:r>
    </w:p>
    <w:p w14:paraId="30489B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、我方______（填“未被列入”或“被列入”）失信被执行人名单。 </w:t>
      </w:r>
    </w:p>
    <w:p w14:paraId="22ED931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、我方______（填“未被列入”或“被列入”）重大税收违法案件当事人名单。 </w:t>
      </w:r>
    </w:p>
    <w:p w14:paraId="5F6054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4、我方______（填“未被列入”或“被列入”）政府采购严重违法失信行为记录名单。</w:t>
      </w:r>
    </w:p>
    <w:p w14:paraId="3E1798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如有不实，我方将无条件地退出本项目的采购活动，并遵照《中华人民共和国</w:t>
      </w:r>
      <w:r>
        <w:rPr>
          <w:rFonts w:hint="eastAsia" w:hAnsi="宋体" w:cs="宋体"/>
          <w:color w:val="000000"/>
          <w:kern w:val="0"/>
          <w:sz w:val="24"/>
          <w:szCs w:val="24"/>
          <w:highlight w:val="none"/>
          <w:lang w:val="en-US" w:eastAsia="zh-CN" w:bidi="ar"/>
        </w:rPr>
        <w:t>政府采购法</w:t>
      </w:r>
      <w:r>
        <w:rPr>
          <w:rFonts w:hint="eastAsia" w:ascii="宋体" w:hAnsi="宋体" w:eastAsia="宋体" w:cs="宋体"/>
          <w:color w:val="000000"/>
          <w:kern w:val="0"/>
          <w:sz w:val="24"/>
          <w:szCs w:val="24"/>
          <w:highlight w:val="none"/>
          <w:lang w:val="en-US" w:eastAsia="zh-CN" w:bidi="ar"/>
        </w:rPr>
        <w:t xml:space="preserve">》有关“提供虚假材料的规定”接受处罚。 </w:t>
      </w:r>
    </w:p>
    <w:p w14:paraId="053DC6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特此声明。 </w:t>
      </w:r>
    </w:p>
    <w:p w14:paraId="411D52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37C45A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539F4E8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AFBD568">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350E9D15">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6566BA2B">
      <w:pPr>
        <w:keepNext w:val="0"/>
        <w:keepLines w:val="0"/>
        <w:widowControl/>
        <w:suppressLineNumbers w:val="0"/>
        <w:jc w:val="left"/>
        <w:rPr>
          <w:rFonts w:hint="eastAsia" w:hAnsi="宋体" w:cs="宋体"/>
          <w:b/>
          <w:color w:val="auto"/>
          <w:sz w:val="28"/>
          <w:szCs w:val="28"/>
          <w:highlight w:val="none"/>
        </w:rPr>
      </w:pPr>
      <w:r>
        <w:rPr>
          <w:rFonts w:hint="eastAsia" w:ascii="宋体" w:hAnsi="宋体" w:eastAsia="宋体" w:cs="宋体"/>
          <w:color w:val="000000"/>
          <w:kern w:val="0"/>
          <w:sz w:val="24"/>
          <w:szCs w:val="24"/>
          <w:highlight w:val="none"/>
          <w:lang w:val="en-US" w:eastAsia="zh-CN" w:bidi="ar"/>
        </w:rPr>
        <w:t>备注：项目不分标段的，第___标段空白处填写“/”。</w:t>
      </w:r>
    </w:p>
    <w:p w14:paraId="63BF7AF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537A90ED">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附件5：</w:t>
      </w:r>
    </w:p>
    <w:p w14:paraId="65C711F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投标人提供直接控股和管理关系清单，格式不限。</w:t>
      </w:r>
    </w:p>
    <w:p w14:paraId="030474B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44162F85">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0CA0DE0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陕西至诚项目管理集团有限公司：</w:t>
      </w:r>
    </w:p>
    <w:p w14:paraId="731DCF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我方与以下投标人存在直接控股、管理关系：</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977"/>
        <w:gridCol w:w="3129"/>
        <w:gridCol w:w="1387"/>
      </w:tblGrid>
      <w:tr w14:paraId="2F3E8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7E81987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E3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4A1F62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483A4F6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4A3D9A7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67BA113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829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CEA62A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081B958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337378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1FE4BF12">
            <w:pPr>
              <w:rPr>
                <w:rFonts w:hint="default" w:hAnsi="宋体" w:cs="宋体"/>
                <w:b/>
                <w:bCs/>
                <w:color w:val="auto"/>
                <w:sz w:val="24"/>
                <w:szCs w:val="24"/>
                <w:highlight w:val="none"/>
                <w:shd w:val="clear" w:color="auto" w:fill="FFFFFF"/>
                <w:vertAlign w:val="baseline"/>
                <w:lang w:val="en-US" w:eastAsia="zh-CN"/>
              </w:rPr>
            </w:pPr>
          </w:p>
        </w:tc>
      </w:tr>
      <w:tr w14:paraId="43FA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1C420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D44234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827D2E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3A6CDA6D">
            <w:pPr>
              <w:rPr>
                <w:rFonts w:hint="default" w:hAnsi="宋体" w:cs="宋体"/>
                <w:b/>
                <w:bCs/>
                <w:color w:val="auto"/>
                <w:sz w:val="24"/>
                <w:szCs w:val="24"/>
                <w:highlight w:val="none"/>
                <w:shd w:val="clear" w:color="auto" w:fill="FFFFFF"/>
                <w:vertAlign w:val="baseline"/>
                <w:lang w:val="en-US" w:eastAsia="zh-CN"/>
              </w:rPr>
            </w:pPr>
          </w:p>
        </w:tc>
      </w:tr>
      <w:tr w14:paraId="7ED6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30960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4330C786">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6444768">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90D3ECF">
            <w:pPr>
              <w:rPr>
                <w:rFonts w:hint="default" w:hAnsi="宋体" w:cs="宋体"/>
                <w:b/>
                <w:bCs/>
                <w:color w:val="auto"/>
                <w:sz w:val="24"/>
                <w:szCs w:val="24"/>
                <w:highlight w:val="none"/>
                <w:shd w:val="clear" w:color="auto" w:fill="FFFFFF"/>
                <w:vertAlign w:val="baseline"/>
                <w:lang w:val="en-US" w:eastAsia="zh-CN"/>
              </w:rPr>
            </w:pPr>
          </w:p>
        </w:tc>
      </w:tr>
      <w:tr w14:paraId="61AD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A5FC6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220D5E6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8D9337C">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2F73DBB">
            <w:pPr>
              <w:rPr>
                <w:rFonts w:hint="default" w:hAnsi="宋体" w:cs="宋体"/>
                <w:b/>
                <w:bCs/>
                <w:color w:val="auto"/>
                <w:sz w:val="24"/>
                <w:szCs w:val="24"/>
                <w:highlight w:val="none"/>
                <w:shd w:val="clear" w:color="auto" w:fill="FFFFFF"/>
                <w:vertAlign w:val="baseline"/>
                <w:lang w:val="en-US" w:eastAsia="zh-CN"/>
              </w:rPr>
            </w:pPr>
          </w:p>
        </w:tc>
      </w:tr>
    </w:tbl>
    <w:p w14:paraId="65B23F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7A30AFC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19FBA2E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7D7A23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5AC81D6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354F1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34B10B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2501ACC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1712EA81">
      <w:pPr>
        <w:rPr>
          <w:rFonts w:hint="eastAsia" w:hAnsi="宋体" w:cs="宋体"/>
          <w:color w:val="auto"/>
          <w:spacing w:val="4"/>
          <w:szCs w:val="30"/>
          <w:highlight w:val="none"/>
        </w:rPr>
      </w:pPr>
    </w:p>
    <w:p w14:paraId="6B51D211">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28A3CD8B">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附件6：</w:t>
      </w:r>
    </w:p>
    <w:p w14:paraId="494C030C">
      <w:pPr>
        <w:rPr>
          <w:rFonts w:hint="eastAsia" w:hAnsi="宋体" w:cs="宋体"/>
          <w:spacing w:val="4"/>
          <w:szCs w:val="30"/>
        </w:rPr>
      </w:pPr>
    </w:p>
    <w:p w14:paraId="4CE5DF58">
      <w:pPr>
        <w:adjustRightInd w:val="0"/>
        <w:snapToGrid w:val="0"/>
        <w:spacing w:line="360" w:lineRule="auto"/>
        <w:jc w:val="center"/>
        <w:rPr>
          <w:rFonts w:asciiTheme="minorEastAsia" w:hAnsiTheme="minorEastAsia" w:eastAsiaTheme="minorEastAsia" w:cstheme="minorEastAsia"/>
          <w:b/>
          <w:sz w:val="28"/>
          <w:szCs w:val="28"/>
          <w:highlight w:val="none"/>
        </w:rPr>
      </w:pPr>
      <w:bookmarkStart w:id="229" w:name="_Toc29482"/>
    </w:p>
    <w:p w14:paraId="5E15FD46">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w:t>
      </w:r>
      <w:r>
        <w:rPr>
          <w:rFonts w:hint="eastAsia" w:hAnsi="宋体" w:cs="宋体"/>
          <w:b/>
          <w:sz w:val="28"/>
          <w:szCs w:val="28"/>
          <w:highlight w:val="none"/>
          <w:lang w:val="en-US" w:eastAsia="zh-CN"/>
        </w:rPr>
        <w:t>磋商</w:t>
      </w:r>
      <w:r>
        <w:rPr>
          <w:rFonts w:hint="eastAsia" w:ascii="宋体" w:hAnsi="宋体" w:cs="宋体"/>
          <w:b/>
          <w:sz w:val="28"/>
          <w:szCs w:val="28"/>
          <w:highlight w:val="none"/>
          <w:lang w:val="en-US" w:eastAsia="zh-CN"/>
        </w:rPr>
        <w:t>承诺书</w:t>
      </w:r>
    </w:p>
    <w:p w14:paraId="1330F5EF">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14899B70">
      <w:pPr>
        <w:rPr>
          <w:rFonts w:hint="eastAsia" w:asciiTheme="minorEastAsia" w:hAnsiTheme="minorEastAsia" w:eastAsiaTheme="minorEastAsia" w:cstheme="minorEastAsia"/>
          <w:b/>
          <w:sz w:val="28"/>
          <w:szCs w:val="28"/>
          <w:highlight w:val="none"/>
        </w:rPr>
      </w:pPr>
    </w:p>
    <w:p w14:paraId="24BE8FA7">
      <w:pPr>
        <w:bidi w:val="0"/>
        <w:rPr>
          <w:rFonts w:hint="eastAsia"/>
        </w:rPr>
      </w:pPr>
    </w:p>
    <w:p w14:paraId="5B52365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722491E5">
      <w:pPr>
        <w:pStyle w:val="12"/>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在本项目磋商中非联合体磋商</w:t>
      </w:r>
      <w:r>
        <w:rPr>
          <w:rFonts w:hint="eastAsia" w:hAnsi="宋体"/>
          <w:spacing w:val="4"/>
          <w:sz w:val="24"/>
          <w:szCs w:val="24"/>
          <w:highlight w:val="none"/>
        </w:rPr>
        <w:t>。</w:t>
      </w:r>
    </w:p>
    <w:p w14:paraId="32E14265">
      <w:pPr>
        <w:pStyle w:val="12"/>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187407F6">
      <w:pPr>
        <w:pStyle w:val="12"/>
        <w:adjustRightInd w:val="0"/>
        <w:snapToGrid w:val="0"/>
        <w:spacing w:line="720" w:lineRule="exact"/>
        <w:rPr>
          <w:rFonts w:hAnsi="宋体"/>
          <w:spacing w:val="4"/>
          <w:sz w:val="24"/>
          <w:szCs w:val="24"/>
          <w:highlight w:val="none"/>
        </w:rPr>
      </w:pPr>
    </w:p>
    <w:p w14:paraId="6D8ACD61">
      <w:pPr>
        <w:pStyle w:val="12"/>
        <w:adjustRightInd w:val="0"/>
        <w:snapToGrid w:val="0"/>
        <w:spacing w:line="720" w:lineRule="exact"/>
        <w:rPr>
          <w:rFonts w:hAnsi="宋体"/>
          <w:spacing w:val="4"/>
          <w:sz w:val="24"/>
          <w:szCs w:val="24"/>
          <w:highlight w:val="none"/>
        </w:rPr>
      </w:pPr>
    </w:p>
    <w:p w14:paraId="7AF2AEE0">
      <w:pPr>
        <w:spacing w:line="480" w:lineRule="auto"/>
        <w:ind w:firstLine="3360" w:firstLineChars="1400"/>
        <w:jc w:val="right"/>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486EBADF">
      <w:pPr>
        <w:pStyle w:val="37"/>
        <w:spacing w:beforeLines="50"/>
        <w:ind w:firstLine="3360" w:firstLineChars="1400"/>
        <w:jc w:val="right"/>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56796A02">
      <w:pPr>
        <w:rPr>
          <w:rFonts w:hint="eastAsia" w:hAnsi="宋体" w:cs="宋体"/>
          <w:b/>
          <w:bCs/>
          <w:spacing w:val="6"/>
          <w:sz w:val="30"/>
          <w:szCs w:val="30"/>
        </w:rPr>
      </w:pPr>
    </w:p>
    <w:p w14:paraId="2972C702">
      <w:pPr>
        <w:rPr>
          <w:rFonts w:hint="eastAsia" w:hAnsi="宋体" w:cs="宋体"/>
          <w:b/>
          <w:bCs/>
          <w:spacing w:val="6"/>
          <w:sz w:val="30"/>
          <w:szCs w:val="30"/>
        </w:rPr>
      </w:pPr>
      <w:r>
        <w:rPr>
          <w:rFonts w:hint="eastAsia" w:hAnsi="宋体" w:cs="宋体"/>
          <w:b/>
          <w:bCs/>
          <w:spacing w:val="6"/>
          <w:sz w:val="30"/>
          <w:szCs w:val="30"/>
        </w:rPr>
        <w:br w:type="page"/>
      </w:r>
    </w:p>
    <w:p w14:paraId="6AA2952D">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附件7：</w:t>
      </w:r>
    </w:p>
    <w:p w14:paraId="1839A49F">
      <w:pPr>
        <w:pStyle w:val="14"/>
        <w:keepNext w:val="0"/>
        <w:keepLines w:val="0"/>
        <w:pageBreakBefore w:val="0"/>
        <w:widowControl w:val="0"/>
        <w:kinsoku/>
        <w:wordWrap/>
        <w:overflowPunct/>
        <w:topLinePunct w:val="0"/>
        <w:autoSpaceDE/>
        <w:autoSpaceDN/>
        <w:bidi w:val="0"/>
        <w:adjustRightInd/>
        <w:snapToGrid w:val="0"/>
        <w:spacing w:line="500" w:lineRule="exact"/>
        <w:jc w:val="center"/>
        <w:textAlignment w:val="auto"/>
        <w:outlineLvl w:val="9"/>
        <w:rPr>
          <w:rFonts w:hint="eastAsia" w:ascii="仿宋" w:hAnsi="仿宋" w:cs="仿宋"/>
          <w:b/>
          <w:bCs/>
          <w:kern w:val="2"/>
          <w:sz w:val="28"/>
          <w:szCs w:val="28"/>
          <w:highlight w:val="none"/>
          <w:lang w:val="en-US" w:eastAsia="zh-CN" w:bidi="ar-SA"/>
        </w:rPr>
      </w:pPr>
    </w:p>
    <w:p w14:paraId="08B52517">
      <w:pPr>
        <w:pStyle w:val="14"/>
        <w:keepNext w:val="0"/>
        <w:keepLines w:val="0"/>
        <w:pageBreakBefore w:val="0"/>
        <w:widowControl w:val="0"/>
        <w:kinsoku/>
        <w:wordWrap/>
        <w:overflowPunct/>
        <w:topLinePunct w:val="0"/>
        <w:autoSpaceDE/>
        <w:autoSpaceDN/>
        <w:bidi w:val="0"/>
        <w:adjustRightInd/>
        <w:snapToGrid w:val="0"/>
        <w:spacing w:line="500" w:lineRule="exact"/>
        <w:jc w:val="center"/>
        <w:textAlignment w:val="auto"/>
        <w:outlineLvl w:val="9"/>
        <w:rPr>
          <w:rFonts w:hint="eastAsia" w:ascii="仿宋" w:hAnsi="仿宋" w:cs="仿宋"/>
          <w:b/>
          <w:bCs/>
          <w:kern w:val="2"/>
          <w:sz w:val="28"/>
          <w:szCs w:val="28"/>
          <w:highlight w:val="none"/>
          <w:lang w:val="en-US" w:eastAsia="zh-CN" w:bidi="ar-SA"/>
        </w:rPr>
      </w:pPr>
    </w:p>
    <w:p w14:paraId="32BE34E1">
      <w:pPr>
        <w:pStyle w:val="14"/>
        <w:keepNext w:val="0"/>
        <w:keepLines w:val="0"/>
        <w:pageBreakBefore w:val="0"/>
        <w:widowControl w:val="0"/>
        <w:kinsoku/>
        <w:wordWrap/>
        <w:overflowPunct/>
        <w:topLinePunct w:val="0"/>
        <w:autoSpaceDE/>
        <w:autoSpaceDN/>
        <w:bidi w:val="0"/>
        <w:adjustRightInd/>
        <w:snapToGrid w:val="0"/>
        <w:spacing w:line="500" w:lineRule="exact"/>
        <w:jc w:val="center"/>
        <w:textAlignment w:val="auto"/>
        <w:outlineLvl w:val="9"/>
        <w:rPr>
          <w:rFonts w:hint="default" w:ascii="仿宋" w:hAnsi="仿宋" w:cs="仿宋"/>
          <w:b/>
          <w:bCs/>
          <w:kern w:val="2"/>
          <w:sz w:val="28"/>
          <w:szCs w:val="28"/>
          <w:highlight w:val="none"/>
          <w:lang w:val="en-US" w:eastAsia="zh-CN" w:bidi="ar-SA"/>
        </w:rPr>
      </w:pPr>
      <w:r>
        <w:rPr>
          <w:rFonts w:hint="eastAsia" w:ascii="仿宋" w:hAnsi="仿宋" w:cs="仿宋"/>
          <w:b/>
          <w:bCs/>
          <w:kern w:val="2"/>
          <w:sz w:val="28"/>
          <w:szCs w:val="28"/>
          <w:highlight w:val="none"/>
          <w:lang w:val="en-US" w:eastAsia="zh-CN" w:bidi="ar-SA"/>
        </w:rPr>
        <w:t>承诺函</w:t>
      </w:r>
    </w:p>
    <w:p w14:paraId="352A263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致</w:t>
      </w:r>
      <w:r>
        <w:rPr>
          <w:rFonts w:hint="eastAsia" w:asciiTheme="minorEastAsia" w:hAnsiTheme="minorEastAsia" w:eastAsiaTheme="minorEastAsia" w:cstheme="minorEastAsia"/>
          <w:b/>
          <w:bCs/>
          <w:sz w:val="24"/>
          <w:szCs w:val="24"/>
          <w:highlight w:val="none"/>
          <w:u w:val="single"/>
        </w:rPr>
        <w:t>（采购人名称）</w:t>
      </w:r>
      <w:r>
        <w:rPr>
          <w:rFonts w:hint="eastAsia" w:asciiTheme="minorEastAsia" w:hAnsiTheme="minorEastAsia" w:eastAsiaTheme="minorEastAsia" w:cstheme="minorEastAsia"/>
          <w:sz w:val="24"/>
          <w:szCs w:val="24"/>
          <w:highlight w:val="none"/>
        </w:rPr>
        <w:t>：</w:t>
      </w:r>
    </w:p>
    <w:p w14:paraId="780869D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我方作为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项目（项目编号：</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）的供应商，在此郑重声明：</w:t>
      </w:r>
    </w:p>
    <w:p w14:paraId="2FF6AD7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本公司法人、出资人、参股人无招标方在职工作人员。如有不实，我方将无条件地退出本项目的采购活动，并遵照《政府采购法》有关“提供虚假材料的规定”接受处罚。</w:t>
      </w:r>
    </w:p>
    <w:p w14:paraId="4EC630E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特此</w:t>
      </w:r>
      <w:r>
        <w:rPr>
          <w:rFonts w:hint="eastAsia" w:asciiTheme="minorEastAsia" w:hAnsiTheme="minorEastAsia" w:eastAsiaTheme="minorEastAsia" w:cstheme="minorEastAsia"/>
          <w:sz w:val="24"/>
          <w:szCs w:val="24"/>
          <w:highlight w:val="none"/>
          <w:lang w:val="en-US" w:eastAsia="zh-CN"/>
        </w:rPr>
        <w:t>承诺</w:t>
      </w:r>
      <w:r>
        <w:rPr>
          <w:rFonts w:hint="eastAsia" w:asciiTheme="minorEastAsia" w:hAnsiTheme="minorEastAsia" w:eastAsiaTheme="minorEastAsia" w:cstheme="minorEastAsia"/>
          <w:sz w:val="24"/>
          <w:szCs w:val="24"/>
          <w:highlight w:val="none"/>
        </w:rPr>
        <w:t>。</w:t>
      </w:r>
    </w:p>
    <w:p w14:paraId="3A17DDE0">
      <w:pPr>
        <w:pageBreakBefore w:val="0"/>
        <w:kinsoku/>
        <w:overflowPunct/>
        <w:bidi w:val="0"/>
        <w:spacing w:line="500" w:lineRule="exact"/>
        <w:ind w:firstLine="480" w:firstLineChars="200"/>
        <w:rPr>
          <w:rFonts w:hint="eastAsia" w:asciiTheme="minorEastAsia" w:hAnsiTheme="minorEastAsia" w:eastAsiaTheme="minorEastAsia" w:cstheme="minorEastAsia"/>
          <w:sz w:val="24"/>
          <w:szCs w:val="24"/>
          <w:highlight w:val="none"/>
        </w:rPr>
      </w:pPr>
    </w:p>
    <w:p w14:paraId="21042EC5">
      <w:pPr>
        <w:pageBreakBefore w:val="0"/>
        <w:kinsoku/>
        <w:overflowPunct/>
        <w:bidi w:val="0"/>
        <w:spacing w:line="500" w:lineRule="exact"/>
        <w:ind w:firstLine="570"/>
        <w:rPr>
          <w:rFonts w:hint="eastAsia" w:asciiTheme="minorEastAsia" w:hAnsiTheme="minorEastAsia" w:eastAsiaTheme="minorEastAsia" w:cstheme="minorEastAsia"/>
          <w:sz w:val="24"/>
          <w:szCs w:val="24"/>
          <w:highlight w:val="none"/>
        </w:rPr>
      </w:pPr>
    </w:p>
    <w:p w14:paraId="097373B5">
      <w:pPr>
        <w:pageBreakBefore w:val="0"/>
        <w:kinsoku/>
        <w:overflowPunct/>
        <w:bidi w:val="0"/>
        <w:spacing w:line="500" w:lineRule="exact"/>
        <w:ind w:firstLine="1440" w:firstLineChars="600"/>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供</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zh-CN"/>
        </w:rPr>
        <w:t>应</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zh-CN"/>
        </w:rPr>
        <w:t>商：</w:t>
      </w:r>
      <w:r>
        <w:rPr>
          <w:rFonts w:hint="eastAsia" w:asciiTheme="minorEastAsia" w:hAnsiTheme="minorEastAsia" w:eastAsiaTheme="minorEastAsia" w:cstheme="minorEastAsia"/>
          <w:sz w:val="24"/>
          <w:szCs w:val="24"/>
          <w:highlight w:val="none"/>
          <w:u w:val="single"/>
          <w:lang w:val="zh-CN"/>
        </w:rPr>
        <w:t xml:space="preserve">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zh-CN"/>
        </w:rPr>
        <w:t xml:space="preserve">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lang w:val="zh-CN"/>
        </w:rPr>
        <w:t>（公</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zh-CN"/>
        </w:rPr>
        <w:t>章）</w:t>
      </w:r>
    </w:p>
    <w:p w14:paraId="54B614B1">
      <w:pPr>
        <w:pStyle w:val="46"/>
        <w:pageBreakBefore w:val="0"/>
        <w:widowControl w:val="0"/>
        <w:kinsoku/>
        <w:overflowPunct/>
        <w:bidi w:val="0"/>
        <w:spacing w:line="500" w:lineRule="exact"/>
        <w:ind w:firstLine="1440" w:firstLineChars="600"/>
        <w:jc w:val="both"/>
        <w:rPr>
          <w:rFonts w:hint="eastAsia" w:asciiTheme="minorEastAsia" w:hAnsiTheme="minorEastAsia" w:eastAsiaTheme="minorEastAsia" w:cstheme="minorEastAsia"/>
          <w:b w:val="0"/>
          <w:kern w:val="2"/>
          <w:sz w:val="24"/>
          <w:szCs w:val="24"/>
          <w:highlight w:val="none"/>
          <w:lang w:val="zh-CN"/>
        </w:rPr>
      </w:pPr>
    </w:p>
    <w:p w14:paraId="110058DA">
      <w:pPr>
        <w:pStyle w:val="46"/>
        <w:pageBreakBefore w:val="0"/>
        <w:widowControl w:val="0"/>
        <w:kinsoku/>
        <w:overflowPunct/>
        <w:bidi w:val="0"/>
        <w:spacing w:line="500" w:lineRule="exact"/>
        <w:ind w:firstLine="1440" w:firstLineChars="600"/>
        <w:jc w:val="both"/>
        <w:rPr>
          <w:rFonts w:hint="eastAsia" w:asciiTheme="minorEastAsia" w:hAnsiTheme="minorEastAsia" w:eastAsiaTheme="minorEastAsia" w:cstheme="minorEastAsia"/>
          <w:b w:val="0"/>
          <w:kern w:val="2"/>
          <w:sz w:val="24"/>
          <w:szCs w:val="24"/>
          <w:highlight w:val="none"/>
          <w:lang w:val="zh-CN"/>
        </w:rPr>
      </w:pPr>
      <w:r>
        <w:rPr>
          <w:rFonts w:hint="eastAsia" w:asciiTheme="minorEastAsia" w:hAnsiTheme="minorEastAsia" w:eastAsiaTheme="minorEastAsia" w:cstheme="minorEastAsia"/>
          <w:b w:val="0"/>
          <w:kern w:val="2"/>
          <w:sz w:val="24"/>
          <w:szCs w:val="24"/>
          <w:highlight w:val="none"/>
          <w:lang w:val="zh-CN"/>
        </w:rPr>
        <w:t>法定代表人或被授权委托人：</w:t>
      </w:r>
      <w:r>
        <w:rPr>
          <w:rFonts w:hint="eastAsia" w:asciiTheme="minorEastAsia" w:hAnsiTheme="minorEastAsia" w:eastAsiaTheme="minorEastAsia" w:cstheme="minorEastAsia"/>
          <w:b w:val="0"/>
          <w:kern w:val="2"/>
          <w:sz w:val="24"/>
          <w:szCs w:val="24"/>
          <w:highlight w:val="none"/>
          <w:u w:val="single"/>
          <w:lang w:val="zh-CN"/>
        </w:rPr>
        <w:t xml:space="preserve">        </w:t>
      </w:r>
      <w:r>
        <w:rPr>
          <w:rFonts w:hint="eastAsia" w:asciiTheme="minorEastAsia" w:hAnsiTheme="minorEastAsia" w:eastAsiaTheme="minorEastAsia" w:cstheme="minorEastAsia"/>
          <w:b w:val="0"/>
          <w:kern w:val="2"/>
          <w:sz w:val="24"/>
          <w:szCs w:val="24"/>
          <w:highlight w:val="none"/>
          <w:lang w:val="zh-CN"/>
        </w:rPr>
        <w:t>（签字或盖章）</w:t>
      </w:r>
    </w:p>
    <w:p w14:paraId="04D6208D">
      <w:pPr>
        <w:pStyle w:val="46"/>
        <w:pageBreakBefore w:val="0"/>
        <w:widowControl w:val="0"/>
        <w:kinsoku/>
        <w:overflowPunct/>
        <w:bidi w:val="0"/>
        <w:spacing w:line="500" w:lineRule="exact"/>
        <w:ind w:firstLine="2280" w:firstLineChars="950"/>
        <w:jc w:val="both"/>
        <w:rPr>
          <w:rFonts w:hint="eastAsia" w:asciiTheme="minorEastAsia" w:hAnsiTheme="minorEastAsia" w:eastAsiaTheme="minorEastAsia" w:cstheme="minorEastAsia"/>
          <w:b w:val="0"/>
          <w:kern w:val="2"/>
          <w:sz w:val="24"/>
          <w:szCs w:val="24"/>
          <w:highlight w:val="none"/>
          <w:lang w:val="zh-CN"/>
        </w:rPr>
      </w:pPr>
    </w:p>
    <w:p w14:paraId="2DB81850">
      <w:pPr>
        <w:pStyle w:val="46"/>
        <w:pageBreakBefore w:val="0"/>
        <w:widowControl w:val="0"/>
        <w:kinsoku/>
        <w:overflowPunct/>
        <w:bidi w:val="0"/>
        <w:spacing w:line="500" w:lineRule="exact"/>
        <w:ind w:firstLine="3000" w:firstLineChars="1250"/>
        <w:jc w:val="both"/>
        <w:rPr>
          <w:rFonts w:hint="eastAsia" w:asciiTheme="minorEastAsia" w:hAnsiTheme="minorEastAsia" w:eastAsiaTheme="minorEastAsia" w:cstheme="minorEastAsia"/>
          <w:b w:val="0"/>
          <w:kern w:val="2"/>
          <w:sz w:val="24"/>
          <w:szCs w:val="24"/>
          <w:highlight w:val="none"/>
          <w:lang w:val="zh-CN"/>
        </w:rPr>
      </w:pPr>
      <w:r>
        <w:rPr>
          <w:rFonts w:hint="eastAsia" w:asciiTheme="minorEastAsia" w:hAnsiTheme="minorEastAsia" w:eastAsiaTheme="minorEastAsia" w:cstheme="minorEastAsia"/>
          <w:b w:val="0"/>
          <w:kern w:val="2"/>
          <w:sz w:val="24"/>
          <w:szCs w:val="24"/>
          <w:highlight w:val="none"/>
          <w:lang w:val="zh-CN"/>
        </w:rPr>
        <w:t xml:space="preserve">日   </w:t>
      </w:r>
      <w:r>
        <w:rPr>
          <w:rFonts w:hint="eastAsia" w:asciiTheme="minorEastAsia" w:hAnsiTheme="minorEastAsia" w:eastAsiaTheme="minorEastAsia" w:cstheme="minorEastAsia"/>
          <w:b w:val="0"/>
          <w:kern w:val="2"/>
          <w:sz w:val="24"/>
          <w:szCs w:val="24"/>
          <w:highlight w:val="none"/>
        </w:rPr>
        <w:t xml:space="preserve"> </w:t>
      </w:r>
      <w:r>
        <w:rPr>
          <w:rFonts w:hint="eastAsia" w:asciiTheme="minorEastAsia" w:hAnsiTheme="minorEastAsia" w:eastAsiaTheme="minorEastAsia" w:cstheme="minorEastAsia"/>
          <w:b w:val="0"/>
          <w:kern w:val="2"/>
          <w:sz w:val="24"/>
          <w:szCs w:val="24"/>
          <w:highlight w:val="none"/>
          <w:lang w:val="zh-CN"/>
        </w:rPr>
        <w:t xml:space="preserve">  期：</w:t>
      </w:r>
      <w:r>
        <w:rPr>
          <w:rFonts w:hint="eastAsia" w:asciiTheme="minorEastAsia" w:hAnsiTheme="minorEastAsia" w:eastAsiaTheme="minorEastAsia" w:cstheme="minorEastAsia"/>
          <w:b w:val="0"/>
          <w:kern w:val="2"/>
          <w:sz w:val="24"/>
          <w:szCs w:val="24"/>
          <w:highlight w:val="none"/>
          <w:u w:val="single"/>
          <w:lang w:val="zh-CN"/>
        </w:rPr>
        <w:t xml:space="preserve">        </w:t>
      </w:r>
      <w:r>
        <w:rPr>
          <w:rFonts w:hint="eastAsia" w:asciiTheme="minorEastAsia" w:hAnsiTheme="minorEastAsia" w:eastAsiaTheme="minorEastAsia" w:cstheme="minorEastAsia"/>
          <w:b w:val="0"/>
          <w:kern w:val="2"/>
          <w:sz w:val="24"/>
          <w:szCs w:val="24"/>
          <w:highlight w:val="none"/>
          <w:lang w:val="zh-CN"/>
        </w:rPr>
        <w:t>年</w:t>
      </w:r>
      <w:r>
        <w:rPr>
          <w:rFonts w:hint="eastAsia" w:asciiTheme="minorEastAsia" w:hAnsiTheme="minorEastAsia" w:eastAsiaTheme="minorEastAsia" w:cstheme="minorEastAsia"/>
          <w:b w:val="0"/>
          <w:kern w:val="2"/>
          <w:sz w:val="24"/>
          <w:szCs w:val="24"/>
          <w:highlight w:val="none"/>
          <w:u w:val="single"/>
          <w:lang w:val="zh-CN"/>
        </w:rPr>
        <w:t xml:space="preserve">    </w:t>
      </w:r>
      <w:r>
        <w:rPr>
          <w:rFonts w:hint="eastAsia" w:asciiTheme="minorEastAsia" w:hAnsiTheme="minorEastAsia" w:eastAsiaTheme="minorEastAsia" w:cstheme="minorEastAsia"/>
          <w:b w:val="0"/>
          <w:kern w:val="2"/>
          <w:sz w:val="24"/>
          <w:szCs w:val="24"/>
          <w:highlight w:val="none"/>
          <w:lang w:val="zh-CN"/>
        </w:rPr>
        <w:t>月</w:t>
      </w:r>
      <w:r>
        <w:rPr>
          <w:rFonts w:hint="eastAsia" w:asciiTheme="minorEastAsia" w:hAnsiTheme="minorEastAsia" w:eastAsiaTheme="minorEastAsia" w:cstheme="minorEastAsia"/>
          <w:b w:val="0"/>
          <w:kern w:val="2"/>
          <w:sz w:val="24"/>
          <w:szCs w:val="24"/>
          <w:highlight w:val="none"/>
          <w:u w:val="single"/>
          <w:lang w:val="zh-CN"/>
        </w:rPr>
        <w:t xml:space="preserve">    </w:t>
      </w:r>
      <w:r>
        <w:rPr>
          <w:rFonts w:hint="eastAsia" w:asciiTheme="minorEastAsia" w:hAnsiTheme="minorEastAsia" w:eastAsiaTheme="minorEastAsia" w:cstheme="minorEastAsia"/>
          <w:b w:val="0"/>
          <w:kern w:val="2"/>
          <w:sz w:val="24"/>
          <w:szCs w:val="24"/>
          <w:highlight w:val="none"/>
          <w:lang w:val="zh-CN"/>
        </w:rPr>
        <w:t>日</w:t>
      </w:r>
    </w:p>
    <w:p w14:paraId="67813055">
      <w:pPr>
        <w:ind w:firstLine="480" w:firstLineChars="200"/>
        <w:rPr>
          <w:rFonts w:hint="eastAsia" w:asciiTheme="minorEastAsia" w:hAnsiTheme="minorEastAsia" w:eastAsiaTheme="minorEastAsia" w:cstheme="minorEastAsia"/>
          <w:sz w:val="24"/>
          <w:szCs w:val="24"/>
          <w:lang w:val="en-US" w:eastAsia="zh-CN"/>
        </w:rPr>
      </w:pPr>
    </w:p>
    <w:p w14:paraId="6540ED9E"/>
    <w:p w14:paraId="65CC8D29">
      <w:pPr>
        <w:rPr>
          <w:rFonts w:hint="eastAsia" w:hAnsi="宋体" w:cs="宋体"/>
          <w:b/>
          <w:bCs/>
          <w:spacing w:val="6"/>
          <w:sz w:val="30"/>
          <w:szCs w:val="30"/>
        </w:rPr>
      </w:pPr>
      <w:r>
        <w:rPr>
          <w:rFonts w:hint="eastAsia" w:hAnsi="宋体" w:cs="宋体"/>
          <w:b/>
          <w:bCs/>
          <w:spacing w:val="6"/>
          <w:sz w:val="30"/>
          <w:szCs w:val="30"/>
        </w:rPr>
        <w:br w:type="page"/>
      </w:r>
    </w:p>
    <w:p w14:paraId="5BE89284">
      <w:pPr>
        <w:widowControl/>
        <w:spacing w:line="360" w:lineRule="auto"/>
        <w:rPr>
          <w:rFonts w:hint="eastAsia" w:hAnsi="宋体" w:cs="宋体"/>
          <w:b/>
          <w:sz w:val="28"/>
          <w:szCs w:val="28"/>
          <w:lang w:val="en-US" w:eastAsia="zh-CN"/>
        </w:rPr>
      </w:pPr>
      <w:r>
        <w:rPr>
          <w:rFonts w:hint="eastAsia" w:hAnsi="宋体" w:cs="宋体"/>
          <w:b/>
          <w:sz w:val="28"/>
          <w:szCs w:val="28"/>
          <w:lang w:val="en-US" w:eastAsia="zh-CN"/>
        </w:rPr>
        <w:t>附件8：中小企业声明函</w:t>
      </w:r>
      <w:bookmarkEnd w:id="227"/>
      <w:bookmarkEnd w:id="228"/>
      <w:bookmarkEnd w:id="229"/>
    </w:p>
    <w:p w14:paraId="680BBB43">
      <w:pPr>
        <w:spacing w:beforeLines="50" w:afterLines="50" w:line="360" w:lineRule="auto"/>
        <w:jc w:val="center"/>
        <w:rPr>
          <w:rFonts w:hint="eastAsia" w:hAnsi="宋体" w:cs="宋体"/>
          <w:b/>
          <w:sz w:val="28"/>
          <w:szCs w:val="28"/>
        </w:rPr>
      </w:pPr>
    </w:p>
    <w:p w14:paraId="23C42802">
      <w:pPr>
        <w:spacing w:beforeLines="50" w:afterLines="50" w:line="360" w:lineRule="auto"/>
        <w:jc w:val="center"/>
        <w:rPr>
          <w:rFonts w:hAnsi="宋体" w:cs="宋体"/>
          <w:szCs w:val="24"/>
        </w:rPr>
      </w:pPr>
      <w:r>
        <w:rPr>
          <w:rFonts w:hint="eastAsia" w:hAnsi="宋体" w:cs="宋体"/>
          <w:b/>
          <w:sz w:val="28"/>
          <w:szCs w:val="28"/>
        </w:rPr>
        <w:t>中小企业声明函</w:t>
      </w:r>
    </w:p>
    <w:p w14:paraId="4B93E66C">
      <w:pPr>
        <w:tabs>
          <w:tab w:val="left" w:pos="1620"/>
          <w:tab w:val="left" w:pos="1800"/>
        </w:tabs>
        <w:spacing w:line="500" w:lineRule="exact"/>
        <w:ind w:firstLine="480" w:firstLineChars="200"/>
        <w:rPr>
          <w:rFonts w:hAnsi="宋体" w:cs="宋体"/>
          <w:szCs w:val="24"/>
        </w:rPr>
      </w:pPr>
      <w:r>
        <w:rPr>
          <w:rFonts w:hint="eastAsia" w:hAnsi="宋体" w:cs="宋体"/>
          <w:szCs w:val="24"/>
        </w:rPr>
        <w:t>本公司郑重声明，根据《政府采购促进中小企业发展管理办法》（财库﹝2020﹞46 号）的规定，本公司参加</w:t>
      </w:r>
      <w:r>
        <w:rPr>
          <w:rFonts w:hint="eastAsia" w:hAnsi="宋体" w:cs="宋体"/>
          <w:szCs w:val="24"/>
          <w:u w:val="single"/>
        </w:rPr>
        <w:t>（单位名称）</w:t>
      </w:r>
      <w:r>
        <w:rPr>
          <w:rFonts w:hint="eastAsia" w:hAnsi="宋体" w:cs="宋体"/>
          <w:szCs w:val="24"/>
        </w:rPr>
        <w:t>的</w:t>
      </w:r>
      <w:r>
        <w:rPr>
          <w:rFonts w:hint="eastAsia" w:hAnsi="宋体" w:cs="宋体"/>
          <w:szCs w:val="24"/>
          <w:u w:val="single"/>
        </w:rPr>
        <w:t>（项目名称）</w:t>
      </w:r>
      <w:r>
        <w:rPr>
          <w:rFonts w:hint="eastAsia" w:hAnsi="宋体" w:cs="宋体"/>
          <w:szCs w:val="24"/>
        </w:rPr>
        <w:t>采购活动，工程的施工单位全部为符合政策要求的中小企业（或者：服务全部由符合政策要求的中小企业承接）。相关企业的具体情况如下：</w:t>
      </w:r>
    </w:p>
    <w:p w14:paraId="47CE6458">
      <w:pPr>
        <w:tabs>
          <w:tab w:val="left" w:pos="1620"/>
          <w:tab w:val="left" w:pos="1800"/>
        </w:tabs>
        <w:spacing w:line="500" w:lineRule="exact"/>
        <w:ind w:firstLine="480" w:firstLineChars="200"/>
        <w:rPr>
          <w:rFonts w:hAnsi="宋体" w:cs="宋体"/>
          <w:szCs w:val="24"/>
        </w:rPr>
      </w:pPr>
      <w:r>
        <w:rPr>
          <w:rFonts w:hint="eastAsia" w:hAnsi="宋体" w:cs="宋体"/>
          <w:szCs w:val="24"/>
        </w:rPr>
        <w:t>1.</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ab/>
      </w:r>
      <w:r>
        <w:rPr>
          <w:rFonts w:hint="eastAsia" w:hAnsi="宋体" w:cs="宋体"/>
          <w:szCs w:val="24"/>
        </w:rPr>
        <w:t>人，营业收入</w:t>
      </w:r>
      <w:r>
        <w:rPr>
          <w:rFonts w:hint="eastAsia" w:hAnsi="宋体" w:cs="宋体"/>
          <w:szCs w:val="24"/>
          <w:u w:val="single"/>
        </w:rPr>
        <w:t xml:space="preserve">为 </w:t>
      </w:r>
      <w:r>
        <w:rPr>
          <w:rFonts w:hint="eastAsia" w:hAnsi="宋体" w:cs="宋体"/>
          <w:szCs w:val="24"/>
          <w:u w:val="single"/>
        </w:rPr>
        <w:tab/>
      </w:r>
      <w:r>
        <w:rPr>
          <w:rFonts w:hint="eastAsia" w:hAnsi="宋体" w:cs="宋体"/>
          <w:szCs w:val="24"/>
        </w:rPr>
        <w:t>万元，资产总额为万元，属于</w:t>
      </w:r>
      <w:r>
        <w:rPr>
          <w:rFonts w:hint="eastAsia" w:hAnsi="宋体" w:cs="宋体"/>
          <w:szCs w:val="24"/>
          <w:u w:val="single"/>
        </w:rPr>
        <w:t>（中型企业、小型企业、微型企业）</w:t>
      </w:r>
      <w:r>
        <w:rPr>
          <w:rFonts w:hint="eastAsia" w:hAnsi="宋体" w:cs="宋体"/>
          <w:szCs w:val="24"/>
        </w:rPr>
        <w:t>；</w:t>
      </w:r>
    </w:p>
    <w:p w14:paraId="7FC01528">
      <w:pPr>
        <w:tabs>
          <w:tab w:val="left" w:pos="1620"/>
          <w:tab w:val="left" w:pos="1800"/>
        </w:tabs>
        <w:spacing w:line="500" w:lineRule="exact"/>
        <w:ind w:firstLine="480" w:firstLineChars="200"/>
        <w:rPr>
          <w:rFonts w:hAnsi="宋体" w:cs="宋体"/>
          <w:szCs w:val="24"/>
        </w:rPr>
      </w:pPr>
      <w:r>
        <w:rPr>
          <w:rFonts w:hint="eastAsia" w:hAnsi="宋体" w:cs="宋体"/>
          <w:szCs w:val="24"/>
        </w:rPr>
        <w:t>2.</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ab/>
      </w:r>
      <w:r>
        <w:rPr>
          <w:rFonts w:hint="eastAsia" w:hAnsi="宋体" w:cs="宋体"/>
          <w:szCs w:val="24"/>
        </w:rPr>
        <w:t>人，营业收入为</w:t>
      </w:r>
      <w:r>
        <w:rPr>
          <w:rFonts w:hint="eastAsia" w:hAnsi="宋体" w:cs="宋体"/>
          <w:szCs w:val="24"/>
          <w:u w:val="single"/>
        </w:rPr>
        <w:tab/>
      </w:r>
      <w:r>
        <w:rPr>
          <w:rFonts w:hint="eastAsia" w:hAnsi="宋体" w:cs="宋体"/>
          <w:szCs w:val="24"/>
        </w:rPr>
        <w:t>万元，资产总额为</w:t>
      </w:r>
      <w:r>
        <w:rPr>
          <w:rFonts w:hint="eastAsia" w:hAnsi="宋体" w:cs="宋体"/>
          <w:szCs w:val="24"/>
          <w:u w:val="single"/>
        </w:rPr>
        <w:tab/>
      </w:r>
      <w:r>
        <w:rPr>
          <w:rFonts w:hint="eastAsia" w:hAnsi="宋体" w:cs="宋体"/>
          <w:szCs w:val="24"/>
        </w:rPr>
        <w:t>万元，属于</w:t>
      </w:r>
      <w:r>
        <w:rPr>
          <w:rFonts w:hint="eastAsia" w:hAnsi="宋体" w:cs="宋体"/>
          <w:szCs w:val="24"/>
          <w:u w:val="single"/>
        </w:rPr>
        <w:t>（中型企业、小型企业、微型企业）</w:t>
      </w:r>
      <w:r>
        <w:rPr>
          <w:rFonts w:hint="eastAsia" w:hAnsi="宋体" w:cs="宋体"/>
          <w:szCs w:val="24"/>
        </w:rPr>
        <w:t>；</w:t>
      </w:r>
    </w:p>
    <w:p w14:paraId="189F7A07">
      <w:pPr>
        <w:tabs>
          <w:tab w:val="left" w:pos="1620"/>
          <w:tab w:val="left" w:pos="1800"/>
        </w:tabs>
        <w:spacing w:line="500" w:lineRule="exact"/>
        <w:rPr>
          <w:rFonts w:hAnsi="宋体" w:cs="宋体"/>
          <w:szCs w:val="24"/>
        </w:rPr>
      </w:pPr>
      <w:r>
        <w:rPr>
          <w:rFonts w:hint="eastAsia" w:hAnsi="宋体" w:cs="宋体"/>
          <w:szCs w:val="24"/>
        </w:rPr>
        <w:t>……</w:t>
      </w:r>
    </w:p>
    <w:p w14:paraId="0B42A610">
      <w:pPr>
        <w:tabs>
          <w:tab w:val="left" w:pos="1620"/>
          <w:tab w:val="left" w:pos="1800"/>
        </w:tabs>
        <w:spacing w:line="500" w:lineRule="exact"/>
        <w:ind w:firstLine="480" w:firstLineChars="200"/>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14:paraId="0BE24AF2">
      <w:pPr>
        <w:tabs>
          <w:tab w:val="left" w:pos="1620"/>
          <w:tab w:val="left" w:pos="1800"/>
        </w:tabs>
        <w:spacing w:line="500" w:lineRule="exact"/>
        <w:ind w:firstLine="480" w:firstLineChars="200"/>
        <w:rPr>
          <w:rFonts w:hAnsi="宋体" w:cs="宋体"/>
          <w:szCs w:val="24"/>
        </w:rPr>
      </w:pPr>
      <w:r>
        <w:rPr>
          <w:rFonts w:hint="eastAsia" w:hAnsi="宋体" w:cs="宋体"/>
          <w:szCs w:val="24"/>
        </w:rPr>
        <w:t>本企业对上述声明内容的真实性负责。如有虚假，将依法承担相应责任。</w:t>
      </w:r>
    </w:p>
    <w:p w14:paraId="26603F9F">
      <w:pPr>
        <w:tabs>
          <w:tab w:val="left" w:pos="1620"/>
          <w:tab w:val="left" w:pos="1800"/>
        </w:tabs>
        <w:spacing w:line="500" w:lineRule="exact"/>
        <w:rPr>
          <w:rFonts w:hAnsi="宋体" w:cs="宋体"/>
          <w:szCs w:val="24"/>
        </w:rPr>
      </w:pPr>
    </w:p>
    <w:p w14:paraId="1D82805C">
      <w:pPr>
        <w:tabs>
          <w:tab w:val="left" w:pos="1620"/>
          <w:tab w:val="left" w:pos="1800"/>
        </w:tabs>
        <w:spacing w:line="500" w:lineRule="exact"/>
        <w:rPr>
          <w:rFonts w:hAnsi="宋体" w:cs="宋体"/>
          <w:szCs w:val="24"/>
        </w:rPr>
      </w:pPr>
    </w:p>
    <w:p w14:paraId="7BB23A4A">
      <w:pPr>
        <w:tabs>
          <w:tab w:val="left" w:pos="1620"/>
          <w:tab w:val="left" w:pos="1800"/>
        </w:tabs>
        <w:spacing w:line="500" w:lineRule="exact"/>
        <w:ind w:firstLine="4800" w:firstLineChars="2000"/>
        <w:rPr>
          <w:rFonts w:hAnsi="宋体" w:cs="宋体"/>
          <w:szCs w:val="24"/>
        </w:rPr>
      </w:pPr>
      <w:r>
        <w:rPr>
          <w:rFonts w:hint="eastAsia" w:hAnsi="宋体" w:cs="宋体"/>
          <w:szCs w:val="24"/>
        </w:rPr>
        <w:t>企业名称（盖章）：</w:t>
      </w:r>
    </w:p>
    <w:p w14:paraId="54E0E2D8">
      <w:pPr>
        <w:tabs>
          <w:tab w:val="left" w:pos="1620"/>
          <w:tab w:val="left" w:pos="1800"/>
        </w:tabs>
        <w:spacing w:line="500" w:lineRule="exact"/>
        <w:ind w:firstLine="4800" w:firstLineChars="2000"/>
        <w:rPr>
          <w:rFonts w:hAnsi="宋体" w:cs="宋体"/>
          <w:szCs w:val="24"/>
        </w:rPr>
      </w:pPr>
      <w:r>
        <w:rPr>
          <w:rFonts w:hint="eastAsia" w:hAnsi="宋体" w:cs="宋体"/>
          <w:szCs w:val="24"/>
        </w:rPr>
        <w:t>日期：</w:t>
      </w:r>
    </w:p>
    <w:p w14:paraId="6A6DBEA2">
      <w:pPr>
        <w:jc w:val="left"/>
        <w:rPr>
          <w:rFonts w:hAnsi="宋体" w:cs="宋体"/>
          <w:b/>
          <w:bCs/>
          <w:spacing w:val="4"/>
          <w:szCs w:val="24"/>
        </w:rPr>
      </w:pPr>
    </w:p>
    <w:p w14:paraId="6D2B1C2F">
      <w:pPr>
        <w:rPr>
          <w:rFonts w:hAnsi="宋体" w:cs="宋体"/>
          <w:b/>
          <w:color w:val="auto"/>
          <w:sz w:val="28"/>
          <w:szCs w:val="28"/>
          <w:highlight w:val="none"/>
        </w:rPr>
      </w:pPr>
    </w:p>
    <w:p w14:paraId="7FA6A44E">
      <w:pPr>
        <w:rPr>
          <w:rFonts w:hint="eastAsia" w:hAnsi="宋体" w:cs="宋体"/>
          <w:b/>
          <w:color w:val="auto"/>
          <w:sz w:val="28"/>
          <w:szCs w:val="28"/>
          <w:highlight w:val="none"/>
        </w:rPr>
      </w:pPr>
      <w:bookmarkStart w:id="230" w:name="_Toc12704"/>
      <w:bookmarkStart w:id="231" w:name="_Toc13530"/>
      <w:bookmarkStart w:id="232" w:name="_Toc5964"/>
      <w:bookmarkStart w:id="233" w:name="_Toc10758"/>
      <w:bookmarkStart w:id="234" w:name="_Toc8863"/>
      <w:r>
        <w:rPr>
          <w:rFonts w:hint="eastAsia" w:hAnsi="宋体" w:cs="宋体"/>
          <w:b/>
          <w:color w:val="auto"/>
          <w:sz w:val="28"/>
          <w:szCs w:val="28"/>
          <w:highlight w:val="none"/>
        </w:rPr>
        <w:br w:type="page"/>
      </w:r>
    </w:p>
    <w:p w14:paraId="7F6D4D06">
      <w:pPr>
        <w:spacing w:beforeLines="100" w:afterLines="50"/>
        <w:outlineLvl w:val="9"/>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9</w:t>
      </w:r>
      <w:r>
        <w:rPr>
          <w:rFonts w:hint="eastAsia" w:hAnsi="宋体" w:cs="宋体"/>
          <w:b/>
          <w:color w:val="auto"/>
          <w:sz w:val="28"/>
          <w:szCs w:val="28"/>
          <w:highlight w:val="none"/>
        </w:rPr>
        <w:t>：磋商产品属节能、环境标志产品列表（如有）</w:t>
      </w:r>
      <w:bookmarkEnd w:id="230"/>
      <w:bookmarkEnd w:id="231"/>
      <w:bookmarkEnd w:id="232"/>
      <w:bookmarkEnd w:id="233"/>
      <w:bookmarkEnd w:id="234"/>
    </w:p>
    <w:p w14:paraId="6260569F">
      <w:pPr>
        <w:spacing w:beforeLines="100" w:afterLines="50"/>
        <w:jc w:val="center"/>
        <w:rPr>
          <w:rFonts w:hAnsi="宋体" w:cs="宋体"/>
          <w:b/>
          <w:color w:val="auto"/>
          <w:sz w:val="28"/>
          <w:szCs w:val="28"/>
          <w:highlight w:val="none"/>
        </w:rPr>
      </w:pPr>
      <w:r>
        <w:rPr>
          <w:rFonts w:hint="eastAsia" w:hAnsi="宋体" w:cs="宋体"/>
          <w:b/>
          <w:color w:val="auto"/>
          <w:sz w:val="28"/>
          <w:szCs w:val="28"/>
          <w:highlight w:val="none"/>
        </w:rPr>
        <w:t>磋商产品属节能、环境标志产品列表</w:t>
      </w:r>
      <w:bookmarkEnd w:id="226"/>
    </w:p>
    <w:p w14:paraId="7105BCE5">
      <w:pPr>
        <w:spacing w:line="360" w:lineRule="auto"/>
        <w:rPr>
          <w:rFonts w:hAnsi="宋体" w:cs="宋体"/>
          <w:bCs/>
          <w:color w:val="auto"/>
          <w:szCs w:val="24"/>
          <w:highlight w:val="none"/>
        </w:rPr>
      </w:pPr>
      <w:r>
        <w:rPr>
          <w:rFonts w:hint="eastAsia" w:hAnsi="宋体" w:cs="宋体"/>
          <w:bCs/>
          <w:color w:val="auto"/>
          <w:szCs w:val="24"/>
          <w:highlight w:val="none"/>
        </w:rPr>
        <w:t>项目名称：</w:t>
      </w:r>
    </w:p>
    <w:p w14:paraId="4D2D4241">
      <w:pPr>
        <w:spacing w:line="360" w:lineRule="auto"/>
        <w:rPr>
          <w:rFonts w:hAnsi="宋体" w:cs="宋体"/>
          <w:bCs/>
          <w:color w:val="auto"/>
          <w:szCs w:val="24"/>
          <w:highlight w:val="none"/>
        </w:rPr>
      </w:pPr>
      <w:r>
        <w:rPr>
          <w:rFonts w:hint="eastAsia" w:hAnsi="宋体" w:cs="宋体"/>
          <w:bCs/>
          <w:color w:val="auto"/>
          <w:szCs w:val="24"/>
          <w:highlight w:val="none"/>
        </w:rPr>
        <w:t>项目编号：</w:t>
      </w:r>
    </w:p>
    <w:tbl>
      <w:tblPr>
        <w:tblStyle w:val="22"/>
        <w:tblW w:w="0" w:type="auto"/>
        <w:tblInd w:w="0" w:type="dxa"/>
        <w:tblLayout w:type="fixed"/>
        <w:tblCellMar>
          <w:top w:w="0" w:type="dxa"/>
          <w:left w:w="28" w:type="dxa"/>
          <w:bottom w:w="0" w:type="dxa"/>
          <w:right w:w="28" w:type="dxa"/>
        </w:tblCellMar>
      </w:tblPr>
      <w:tblGrid>
        <w:gridCol w:w="886"/>
        <w:gridCol w:w="1863"/>
        <w:gridCol w:w="2250"/>
        <w:gridCol w:w="1311"/>
        <w:gridCol w:w="1307"/>
        <w:gridCol w:w="1313"/>
      </w:tblGrid>
      <w:tr w14:paraId="27ED406A">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24A85622">
            <w:pPr>
              <w:spacing w:after="120"/>
              <w:jc w:val="center"/>
              <w:rPr>
                <w:rFonts w:hAnsi="宋体" w:cs="宋体"/>
                <w:color w:val="auto"/>
                <w:highlight w:val="none"/>
              </w:rPr>
            </w:pPr>
            <w:r>
              <w:rPr>
                <w:rFonts w:hint="eastAsia" w:hAnsi="宋体" w:cs="宋体"/>
                <w:color w:val="auto"/>
                <w:highlight w:val="none"/>
              </w:rPr>
              <w:t>序号</w:t>
            </w:r>
          </w:p>
        </w:tc>
        <w:tc>
          <w:tcPr>
            <w:tcW w:w="1863" w:type="dxa"/>
            <w:tcBorders>
              <w:top w:val="single" w:color="auto" w:sz="6" w:space="0"/>
              <w:left w:val="single" w:color="auto" w:sz="6" w:space="0"/>
              <w:bottom w:val="single" w:color="auto" w:sz="6" w:space="0"/>
              <w:right w:val="single" w:color="auto" w:sz="6" w:space="0"/>
            </w:tcBorders>
            <w:vAlign w:val="center"/>
          </w:tcPr>
          <w:p w14:paraId="55E1EF47">
            <w:pPr>
              <w:spacing w:after="120"/>
              <w:jc w:val="center"/>
              <w:rPr>
                <w:rFonts w:hAnsi="宋体" w:cs="宋体"/>
                <w:color w:val="auto"/>
                <w:highlight w:val="none"/>
              </w:rPr>
            </w:pPr>
            <w:r>
              <w:rPr>
                <w:rFonts w:hint="eastAsia" w:hAnsi="宋体" w:cs="宋体"/>
                <w:color w:val="auto"/>
                <w:highlight w:val="none"/>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7630768B">
            <w:pPr>
              <w:spacing w:beforeLines="50" w:after="120"/>
              <w:jc w:val="center"/>
              <w:rPr>
                <w:rFonts w:hAnsi="宋体" w:cs="宋体"/>
                <w:color w:val="auto"/>
                <w:highlight w:val="none"/>
              </w:rPr>
            </w:pPr>
            <w:r>
              <w:rPr>
                <w:rFonts w:hint="eastAsia" w:hAnsi="宋体" w:cs="宋体"/>
                <w:color w:val="auto"/>
                <w:highlight w:val="none"/>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52BDF663">
            <w:pPr>
              <w:spacing w:after="120"/>
              <w:jc w:val="center"/>
              <w:rPr>
                <w:rFonts w:hAnsi="宋体" w:cs="宋体"/>
                <w:color w:val="auto"/>
                <w:highlight w:val="none"/>
              </w:rPr>
            </w:pPr>
            <w:r>
              <w:rPr>
                <w:rFonts w:hint="eastAsia" w:hAnsi="宋体" w:cs="宋体"/>
                <w:color w:val="auto"/>
                <w:highlight w:val="none"/>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61D29164">
            <w:pPr>
              <w:spacing w:after="120"/>
              <w:jc w:val="center"/>
              <w:rPr>
                <w:rFonts w:hAnsi="宋体" w:cs="宋体"/>
                <w:color w:val="auto"/>
                <w:highlight w:val="none"/>
              </w:rPr>
            </w:pPr>
            <w:r>
              <w:rPr>
                <w:rFonts w:hint="eastAsia" w:hAnsi="宋体" w:cs="宋体"/>
                <w:color w:val="auto"/>
                <w:highlight w:val="none"/>
              </w:rPr>
              <w:t>单价</w:t>
            </w:r>
          </w:p>
          <w:p w14:paraId="04596401">
            <w:pPr>
              <w:spacing w:after="120"/>
              <w:jc w:val="center"/>
              <w:rPr>
                <w:rFonts w:hAnsi="宋体" w:cs="宋体"/>
                <w:bCs/>
                <w:color w:val="auto"/>
                <w:highlight w:val="none"/>
              </w:rPr>
            </w:pPr>
            <w:r>
              <w:rPr>
                <w:rFonts w:hint="eastAsia" w:hAnsi="宋体" w:cs="宋体"/>
                <w:color w:val="auto"/>
                <w:highlight w:val="none"/>
              </w:rPr>
              <w:t>（元）</w:t>
            </w:r>
          </w:p>
        </w:tc>
        <w:tc>
          <w:tcPr>
            <w:tcW w:w="1313" w:type="dxa"/>
            <w:tcBorders>
              <w:top w:val="single" w:color="auto" w:sz="6" w:space="0"/>
              <w:left w:val="single" w:color="auto" w:sz="6" w:space="0"/>
              <w:bottom w:val="single" w:color="auto" w:sz="6" w:space="0"/>
              <w:right w:val="single" w:color="auto" w:sz="6" w:space="0"/>
            </w:tcBorders>
            <w:vAlign w:val="center"/>
          </w:tcPr>
          <w:p w14:paraId="796FDEE5">
            <w:pPr>
              <w:spacing w:after="120"/>
              <w:jc w:val="center"/>
              <w:rPr>
                <w:rFonts w:hAnsi="宋体" w:cs="宋体"/>
                <w:bCs/>
                <w:color w:val="auto"/>
                <w:highlight w:val="none"/>
              </w:rPr>
            </w:pPr>
            <w:r>
              <w:rPr>
                <w:rFonts w:hint="eastAsia" w:hAnsi="宋体" w:cs="宋体"/>
                <w:bCs/>
                <w:color w:val="auto"/>
                <w:highlight w:val="none"/>
              </w:rPr>
              <w:t>总价</w:t>
            </w:r>
          </w:p>
          <w:p w14:paraId="05BE4AD3">
            <w:pPr>
              <w:spacing w:after="120"/>
              <w:jc w:val="center"/>
              <w:rPr>
                <w:rFonts w:hAnsi="宋体" w:cs="宋体"/>
                <w:bCs/>
                <w:color w:val="auto"/>
                <w:highlight w:val="none"/>
              </w:rPr>
            </w:pPr>
            <w:r>
              <w:rPr>
                <w:rFonts w:hint="eastAsia" w:hAnsi="宋体" w:cs="宋体"/>
                <w:bCs/>
                <w:color w:val="auto"/>
                <w:highlight w:val="none"/>
              </w:rPr>
              <w:t>（元）</w:t>
            </w:r>
          </w:p>
        </w:tc>
      </w:tr>
      <w:tr w14:paraId="51F2EEEE">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758CE9AF">
            <w:pPr>
              <w:spacing w:beforeLines="100"/>
              <w:jc w:val="center"/>
              <w:rPr>
                <w:rFonts w:hAnsi="宋体" w:cs="宋体"/>
                <w:color w:val="auto"/>
                <w:highlight w:val="none"/>
              </w:rPr>
            </w:pPr>
            <w:r>
              <w:rPr>
                <w:rFonts w:hint="eastAsia" w:hAnsi="宋体" w:cs="宋体"/>
                <w:color w:val="auto"/>
                <w:highlight w:val="none"/>
              </w:rPr>
              <w:t>1</w:t>
            </w:r>
          </w:p>
        </w:tc>
        <w:tc>
          <w:tcPr>
            <w:tcW w:w="1863" w:type="dxa"/>
            <w:tcBorders>
              <w:top w:val="single" w:color="auto" w:sz="6" w:space="0"/>
              <w:left w:val="single" w:color="auto" w:sz="6" w:space="0"/>
              <w:bottom w:val="single" w:color="auto" w:sz="4" w:space="0"/>
              <w:right w:val="single" w:color="auto" w:sz="6" w:space="0"/>
            </w:tcBorders>
            <w:vAlign w:val="center"/>
          </w:tcPr>
          <w:p w14:paraId="22AAC0AC">
            <w:pPr>
              <w:spacing w:beforeLines="50"/>
              <w:jc w:val="center"/>
              <w:rPr>
                <w:rFonts w:hAnsi="宋体" w:cs="宋体"/>
                <w:color w:val="auto"/>
                <w:highlight w:val="none"/>
              </w:rPr>
            </w:pPr>
          </w:p>
        </w:tc>
        <w:tc>
          <w:tcPr>
            <w:tcW w:w="2250" w:type="dxa"/>
            <w:tcBorders>
              <w:top w:val="single" w:color="auto" w:sz="6" w:space="0"/>
              <w:left w:val="single" w:color="auto" w:sz="6" w:space="0"/>
              <w:bottom w:val="single" w:color="auto" w:sz="4" w:space="0"/>
              <w:right w:val="single" w:color="auto" w:sz="6" w:space="0"/>
            </w:tcBorders>
            <w:vAlign w:val="center"/>
          </w:tcPr>
          <w:p w14:paraId="69B675A6">
            <w:pPr>
              <w:spacing w:beforeLines="50"/>
              <w:jc w:val="center"/>
              <w:rPr>
                <w:rFonts w:hAnsi="宋体" w:cs="宋体"/>
                <w:color w:val="auto"/>
                <w:highlight w:val="none"/>
              </w:rPr>
            </w:pPr>
          </w:p>
        </w:tc>
        <w:tc>
          <w:tcPr>
            <w:tcW w:w="1311" w:type="dxa"/>
            <w:tcBorders>
              <w:top w:val="single" w:color="auto" w:sz="6" w:space="0"/>
              <w:left w:val="single" w:color="auto" w:sz="6" w:space="0"/>
              <w:bottom w:val="single" w:color="auto" w:sz="4" w:space="0"/>
              <w:right w:val="single" w:color="auto" w:sz="6" w:space="0"/>
            </w:tcBorders>
            <w:vAlign w:val="center"/>
          </w:tcPr>
          <w:p w14:paraId="3A20AAAC">
            <w:pPr>
              <w:spacing w:beforeLines="50"/>
              <w:jc w:val="center"/>
              <w:rPr>
                <w:rFonts w:hAnsi="宋体" w:cs="宋体"/>
                <w:color w:val="auto"/>
                <w:highlight w:val="none"/>
              </w:rPr>
            </w:pPr>
          </w:p>
        </w:tc>
        <w:tc>
          <w:tcPr>
            <w:tcW w:w="1307" w:type="dxa"/>
            <w:tcBorders>
              <w:top w:val="single" w:color="auto" w:sz="6" w:space="0"/>
              <w:left w:val="single" w:color="auto" w:sz="6" w:space="0"/>
              <w:bottom w:val="single" w:color="auto" w:sz="4" w:space="0"/>
              <w:right w:val="single" w:color="auto" w:sz="6" w:space="0"/>
            </w:tcBorders>
            <w:vAlign w:val="center"/>
          </w:tcPr>
          <w:p w14:paraId="73FB42EE">
            <w:pPr>
              <w:spacing w:beforeLines="50"/>
              <w:jc w:val="center"/>
              <w:rPr>
                <w:rFonts w:hAnsi="宋体" w:cs="宋体"/>
                <w:color w:val="auto"/>
                <w:highlight w:val="none"/>
              </w:rPr>
            </w:pPr>
          </w:p>
        </w:tc>
        <w:tc>
          <w:tcPr>
            <w:tcW w:w="1313" w:type="dxa"/>
            <w:tcBorders>
              <w:top w:val="single" w:color="auto" w:sz="6" w:space="0"/>
              <w:left w:val="single" w:color="auto" w:sz="6" w:space="0"/>
              <w:bottom w:val="single" w:color="auto" w:sz="4" w:space="0"/>
              <w:right w:val="single" w:color="auto" w:sz="6" w:space="0"/>
            </w:tcBorders>
            <w:vAlign w:val="center"/>
          </w:tcPr>
          <w:p w14:paraId="3772044B">
            <w:pPr>
              <w:spacing w:beforeLines="50"/>
              <w:jc w:val="center"/>
              <w:rPr>
                <w:rFonts w:hAnsi="宋体" w:cs="宋体"/>
                <w:color w:val="auto"/>
                <w:highlight w:val="none"/>
              </w:rPr>
            </w:pPr>
          </w:p>
        </w:tc>
      </w:tr>
      <w:tr w14:paraId="46860D9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1979F409">
            <w:pPr>
              <w:spacing w:beforeLines="100"/>
              <w:jc w:val="center"/>
              <w:rPr>
                <w:rFonts w:hAnsi="宋体" w:cs="宋体"/>
                <w:color w:val="auto"/>
                <w:highlight w:val="none"/>
              </w:rPr>
            </w:pPr>
            <w:r>
              <w:rPr>
                <w:rFonts w:hint="eastAsia" w:hAnsi="宋体" w:cs="宋体"/>
                <w:color w:val="auto"/>
                <w:highlight w:val="none"/>
              </w:rPr>
              <w:t>2</w:t>
            </w:r>
          </w:p>
        </w:tc>
        <w:tc>
          <w:tcPr>
            <w:tcW w:w="1863" w:type="dxa"/>
            <w:tcBorders>
              <w:top w:val="single" w:color="auto" w:sz="4" w:space="0"/>
              <w:left w:val="single" w:color="auto" w:sz="6" w:space="0"/>
              <w:bottom w:val="single" w:color="auto" w:sz="6" w:space="0"/>
              <w:right w:val="single" w:color="auto" w:sz="6" w:space="0"/>
            </w:tcBorders>
            <w:vAlign w:val="center"/>
          </w:tcPr>
          <w:p w14:paraId="38CB11E8">
            <w:pPr>
              <w:spacing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1E61446A">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74E3A369">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464A32E6">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188A315B">
            <w:pPr>
              <w:spacing w:beforeLines="50"/>
              <w:jc w:val="center"/>
              <w:rPr>
                <w:rFonts w:hAnsi="宋体" w:cs="宋体"/>
                <w:color w:val="auto"/>
                <w:highlight w:val="none"/>
              </w:rPr>
            </w:pPr>
          </w:p>
        </w:tc>
      </w:tr>
      <w:tr w14:paraId="7DBE65C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6F54ADF2">
            <w:pPr>
              <w:spacing w:beforeLines="100"/>
              <w:jc w:val="center"/>
              <w:rPr>
                <w:rFonts w:hAnsi="宋体" w:cs="宋体"/>
                <w:color w:val="auto"/>
                <w:highlight w:val="none"/>
              </w:rPr>
            </w:pPr>
            <w:r>
              <w:rPr>
                <w:rFonts w:hint="eastAsia" w:hAnsi="宋体" w:cs="宋体"/>
                <w:color w:val="auto"/>
                <w:highlight w:val="none"/>
              </w:rPr>
              <w:t>3</w:t>
            </w:r>
          </w:p>
        </w:tc>
        <w:tc>
          <w:tcPr>
            <w:tcW w:w="1863" w:type="dxa"/>
            <w:tcBorders>
              <w:top w:val="single" w:color="auto" w:sz="4" w:space="0"/>
              <w:left w:val="single" w:color="auto" w:sz="6" w:space="0"/>
              <w:bottom w:val="single" w:color="auto" w:sz="6" w:space="0"/>
              <w:right w:val="single" w:color="auto" w:sz="6" w:space="0"/>
            </w:tcBorders>
            <w:vAlign w:val="center"/>
          </w:tcPr>
          <w:p w14:paraId="61B58DE6">
            <w:pPr>
              <w:spacing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72DA734E">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6D0DFF9B">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4F66DD57">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35FBC5B1">
            <w:pPr>
              <w:spacing w:beforeLines="50"/>
              <w:jc w:val="center"/>
              <w:rPr>
                <w:rFonts w:hAnsi="宋体" w:cs="宋体"/>
                <w:color w:val="auto"/>
                <w:highlight w:val="none"/>
              </w:rPr>
            </w:pPr>
          </w:p>
        </w:tc>
      </w:tr>
      <w:tr w14:paraId="0C40AC50">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22398CF">
            <w:pPr>
              <w:spacing w:beforeLines="100"/>
              <w:jc w:val="center"/>
              <w:rPr>
                <w:rFonts w:hAnsi="宋体" w:cs="宋体"/>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38AD0212">
            <w:pPr>
              <w:spacing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6E3B65AD">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7D9BCF41">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56A7EA54">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52410FC9">
            <w:pPr>
              <w:spacing w:beforeLines="50"/>
              <w:jc w:val="center"/>
              <w:rPr>
                <w:rFonts w:hAnsi="宋体" w:cs="宋体"/>
                <w:color w:val="auto"/>
                <w:highlight w:val="none"/>
              </w:rPr>
            </w:pPr>
          </w:p>
        </w:tc>
      </w:tr>
      <w:tr w14:paraId="6D35F9C8">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4D45638D">
            <w:pPr>
              <w:spacing w:beforeLines="100"/>
              <w:jc w:val="center"/>
              <w:rPr>
                <w:rFonts w:hAnsi="宋体" w:cs="宋体"/>
                <w:b/>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7E870C20">
            <w:pPr>
              <w:spacing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2A218E0C">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2E7CF699">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5964F8FC">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57A776F9">
            <w:pPr>
              <w:spacing w:beforeLines="50"/>
              <w:jc w:val="center"/>
              <w:rPr>
                <w:rFonts w:hAnsi="宋体" w:cs="宋体"/>
                <w:color w:val="auto"/>
                <w:highlight w:val="none"/>
              </w:rPr>
            </w:pPr>
          </w:p>
        </w:tc>
      </w:tr>
      <w:tr w14:paraId="1FD0E077">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118F04DC">
            <w:pPr>
              <w:jc w:val="center"/>
              <w:rPr>
                <w:rFonts w:hAnsi="宋体" w:cs="宋体"/>
                <w:color w:val="auto"/>
                <w:highlight w:val="none"/>
              </w:rPr>
            </w:pPr>
            <w:r>
              <w:rPr>
                <w:rFonts w:hint="eastAsia" w:hAnsi="宋体" w:cs="宋体"/>
                <w:color w:val="auto"/>
                <w:highlight w:val="none"/>
              </w:rPr>
              <w:t>合计：</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0C007AC6">
            <w:pPr>
              <w:spacing w:beforeLines="50"/>
              <w:jc w:val="left"/>
              <w:rPr>
                <w:rFonts w:hAnsi="宋体" w:cs="宋体"/>
                <w:color w:val="auto"/>
                <w:highlight w:val="none"/>
              </w:rPr>
            </w:pPr>
            <w:r>
              <w:rPr>
                <w:rFonts w:hint="eastAsia" w:hAnsi="宋体" w:cs="宋体"/>
                <w:color w:val="auto"/>
                <w:highlight w:val="none"/>
              </w:rPr>
              <w:t>大写：                                小写：</w:t>
            </w:r>
          </w:p>
        </w:tc>
      </w:tr>
      <w:tr w14:paraId="143DA516">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24E16F2C">
            <w:pPr>
              <w:jc w:val="center"/>
              <w:rPr>
                <w:rFonts w:hAnsi="宋体" w:cs="宋体"/>
                <w:color w:val="auto"/>
                <w:highlight w:val="none"/>
              </w:rPr>
            </w:pPr>
            <w:r>
              <w:rPr>
                <w:rFonts w:hint="eastAsia" w:hAnsi="宋体" w:cs="宋体"/>
                <w:color w:val="auto"/>
                <w:highlight w:val="none"/>
              </w:rPr>
              <w:t>备注</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30B1C49B">
            <w:pPr>
              <w:spacing w:beforeLines="50"/>
              <w:jc w:val="center"/>
              <w:rPr>
                <w:rFonts w:hAnsi="宋体" w:cs="宋体"/>
                <w:color w:val="auto"/>
                <w:highlight w:val="none"/>
              </w:rPr>
            </w:pPr>
            <w:r>
              <w:rPr>
                <w:rFonts w:hint="eastAsia" w:hAnsi="宋体" w:cs="宋体"/>
                <w:color w:val="auto"/>
                <w:spacing w:val="-6"/>
                <w:highlight w:val="none"/>
              </w:rPr>
              <w:t>保留小数点后两位。</w:t>
            </w:r>
          </w:p>
        </w:tc>
      </w:tr>
    </w:tbl>
    <w:p w14:paraId="0E801050">
      <w:pPr>
        <w:adjustRightInd w:val="0"/>
        <w:snapToGrid w:val="0"/>
        <w:spacing w:line="360" w:lineRule="auto"/>
        <w:rPr>
          <w:rFonts w:hAnsi="宋体" w:cs="宋体"/>
          <w:color w:val="auto"/>
          <w:szCs w:val="21"/>
          <w:highlight w:val="none"/>
        </w:rPr>
      </w:pPr>
    </w:p>
    <w:p w14:paraId="5F7DAAD8">
      <w:pPr>
        <w:adjustRightInd w:val="0"/>
        <w:snapToGrid w:val="0"/>
        <w:spacing w:line="360" w:lineRule="auto"/>
        <w:rPr>
          <w:rFonts w:hAnsi="宋体" w:cs="宋体"/>
          <w:bCs/>
          <w:color w:val="auto"/>
          <w:szCs w:val="21"/>
          <w:highlight w:val="none"/>
        </w:rPr>
      </w:pPr>
      <w:r>
        <w:rPr>
          <w:rFonts w:hint="eastAsia" w:hAnsi="宋体" w:cs="宋体"/>
          <w:color w:val="auto"/>
          <w:szCs w:val="21"/>
          <w:highlight w:val="none"/>
        </w:rPr>
        <w:t>说明：</w:t>
      </w:r>
      <w:r>
        <w:rPr>
          <w:rFonts w:hint="eastAsia" w:hAnsi="宋体" w:cs="宋体"/>
          <w:bCs/>
          <w:color w:val="auto"/>
          <w:szCs w:val="21"/>
          <w:highlight w:val="none"/>
        </w:rPr>
        <w:t>1、</w:t>
      </w:r>
      <w:r>
        <w:rPr>
          <w:rFonts w:hint="eastAsia" w:hAnsi="宋体" w:cs="宋体"/>
          <w:color w:val="auto"/>
          <w:szCs w:val="21"/>
          <w:highlight w:val="none"/>
        </w:rPr>
        <w:t>供应商提供的属于节能、环境标志产品品目清单中优先采购的产品，须按磋商文件要求提供相关证明材料。</w:t>
      </w:r>
    </w:p>
    <w:p w14:paraId="54A0D45B">
      <w:pPr>
        <w:pStyle w:val="36"/>
        <w:spacing w:line="400" w:lineRule="exact"/>
        <w:ind w:left="480" w:leftChars="200" w:firstLine="240" w:firstLineChars="100"/>
        <w:rPr>
          <w:rFonts w:hAnsi="宋体" w:cs="宋体"/>
          <w:color w:val="auto"/>
          <w:sz w:val="28"/>
          <w:szCs w:val="28"/>
          <w:highlight w:val="none"/>
        </w:rPr>
      </w:pPr>
      <w:r>
        <w:rPr>
          <w:rFonts w:hint="eastAsia" w:hAnsi="宋体" w:cs="宋体"/>
          <w:bCs/>
          <w:color w:val="auto"/>
          <w:highlight w:val="none"/>
        </w:rPr>
        <w:t>2、未按上述要求提供、</w:t>
      </w:r>
      <w:r>
        <w:rPr>
          <w:rFonts w:hint="eastAsia" w:hAnsi="宋体" w:cs="宋体"/>
          <w:color w:val="auto"/>
          <w:highlight w:val="none"/>
        </w:rPr>
        <w:t>填写</w:t>
      </w:r>
      <w:r>
        <w:rPr>
          <w:rFonts w:hint="eastAsia" w:hAnsi="宋体" w:cs="宋体"/>
          <w:bCs/>
          <w:color w:val="auto"/>
          <w:highlight w:val="none"/>
        </w:rPr>
        <w:t>的，评审时不予以考虑。</w:t>
      </w:r>
    </w:p>
    <w:p w14:paraId="033C5B99">
      <w:pPr>
        <w:spacing w:before="100" w:beforeAutospacing="1" w:afterLines="50" w:line="360" w:lineRule="auto"/>
        <w:outlineLvl w:val="9"/>
        <w:rPr>
          <w:rFonts w:hAnsi="宋体" w:cs="宋体"/>
          <w:b/>
          <w:bCs/>
          <w:color w:val="auto"/>
          <w:spacing w:val="6"/>
          <w:sz w:val="30"/>
          <w:szCs w:val="30"/>
          <w:highlight w:val="none"/>
        </w:rPr>
      </w:pPr>
      <w:r>
        <w:rPr>
          <w:rFonts w:hint="eastAsia" w:hAnsi="宋体" w:cs="宋体"/>
          <w:color w:val="auto"/>
          <w:szCs w:val="24"/>
          <w:highlight w:val="none"/>
        </w:rPr>
        <w:br w:type="page"/>
      </w:r>
      <w:bookmarkStart w:id="235" w:name="_Toc22425"/>
      <w:bookmarkStart w:id="236" w:name="_Toc27124"/>
      <w:bookmarkStart w:id="237" w:name="_Toc11066"/>
      <w:bookmarkStart w:id="238" w:name="_Toc11235"/>
      <w:bookmarkStart w:id="239" w:name="_Toc29025"/>
      <w:r>
        <w:rPr>
          <w:rFonts w:hint="eastAsia" w:hAnsi="宋体" w:cs="宋体"/>
          <w:b/>
          <w:sz w:val="28"/>
          <w:szCs w:val="28"/>
          <w:lang w:val="en-US" w:eastAsia="zh-CN"/>
        </w:rPr>
        <w:t>附件10：残疾人福利性单位声明函（如有）</w:t>
      </w:r>
      <w:bookmarkEnd w:id="235"/>
      <w:bookmarkEnd w:id="236"/>
      <w:bookmarkEnd w:id="237"/>
      <w:bookmarkEnd w:id="238"/>
      <w:bookmarkEnd w:id="239"/>
    </w:p>
    <w:p w14:paraId="334000A8">
      <w:pPr>
        <w:spacing w:line="588" w:lineRule="exact"/>
        <w:jc w:val="center"/>
        <w:rPr>
          <w:rFonts w:hAnsi="宋体" w:cs="宋体"/>
          <w:b/>
          <w:color w:val="auto"/>
          <w:spacing w:val="6"/>
          <w:sz w:val="32"/>
          <w:szCs w:val="32"/>
          <w:highlight w:val="none"/>
        </w:rPr>
      </w:pPr>
      <w:bookmarkStart w:id="240" w:name="OLE_LINK14"/>
      <w:bookmarkStart w:id="241" w:name="OLE_LINK13"/>
      <w:r>
        <w:rPr>
          <w:rFonts w:hint="eastAsia" w:hAnsi="宋体" w:cs="宋体"/>
          <w:b/>
          <w:color w:val="auto"/>
          <w:spacing w:val="6"/>
          <w:sz w:val="32"/>
          <w:szCs w:val="32"/>
          <w:highlight w:val="none"/>
        </w:rPr>
        <w:t>残疾人福利性单位声明函</w:t>
      </w:r>
    </w:p>
    <w:bookmarkEnd w:id="240"/>
    <w:bookmarkEnd w:id="241"/>
    <w:p w14:paraId="3A8F79ED">
      <w:pPr>
        <w:spacing w:line="588" w:lineRule="exact"/>
        <w:rPr>
          <w:rFonts w:hAnsi="宋体" w:cs="宋体"/>
          <w:b/>
          <w:color w:val="auto"/>
          <w:spacing w:val="6"/>
          <w:sz w:val="30"/>
          <w:szCs w:val="30"/>
          <w:highlight w:val="none"/>
        </w:rPr>
      </w:pPr>
    </w:p>
    <w:p w14:paraId="28185212">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本单位郑重声明，根据《财政部 民政部 中国残疾人联合会关于促进残疾人就业政府采购政策的通知》（财库</w:t>
      </w:r>
      <w:r>
        <w:rPr>
          <w:rFonts w:hint="eastAsia" w:hAnsi="宋体" w:cs="宋体"/>
          <w:color w:val="auto"/>
          <w:szCs w:val="24"/>
          <w:highlight w:val="none"/>
        </w:rPr>
        <w:t>〔2017〕 141</w:t>
      </w:r>
      <w:r>
        <w:rPr>
          <w:rFonts w:hint="eastAsia" w:hAnsi="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66CEC32">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本单位对上述声明的真实性负责。如有虚假，将依法承担相应责任。</w:t>
      </w:r>
    </w:p>
    <w:p w14:paraId="320C033D">
      <w:pPr>
        <w:spacing w:line="588" w:lineRule="exact"/>
        <w:ind w:firstLine="504" w:firstLineChars="200"/>
        <w:rPr>
          <w:rFonts w:hAnsi="宋体" w:cs="宋体"/>
          <w:color w:val="auto"/>
          <w:spacing w:val="6"/>
          <w:szCs w:val="24"/>
          <w:highlight w:val="none"/>
        </w:rPr>
      </w:pPr>
    </w:p>
    <w:p w14:paraId="009CA9B8">
      <w:pPr>
        <w:spacing w:line="588" w:lineRule="exact"/>
        <w:ind w:firstLine="504" w:firstLineChars="200"/>
        <w:rPr>
          <w:rFonts w:hAnsi="宋体" w:cs="宋体"/>
          <w:color w:val="auto"/>
          <w:spacing w:val="6"/>
          <w:szCs w:val="24"/>
          <w:highlight w:val="none"/>
        </w:rPr>
      </w:pPr>
    </w:p>
    <w:p w14:paraId="1D775660">
      <w:pPr>
        <w:spacing w:line="588" w:lineRule="exact"/>
        <w:ind w:firstLine="504" w:firstLineChars="200"/>
        <w:rPr>
          <w:rFonts w:hAnsi="宋体" w:cs="宋体"/>
          <w:color w:val="auto"/>
          <w:spacing w:val="6"/>
          <w:szCs w:val="24"/>
          <w:highlight w:val="none"/>
        </w:rPr>
      </w:pPr>
    </w:p>
    <w:p w14:paraId="7B915722">
      <w:pPr>
        <w:spacing w:line="588" w:lineRule="exact"/>
        <w:ind w:firstLine="504" w:firstLineChars="200"/>
        <w:rPr>
          <w:rFonts w:hAnsi="宋体" w:cs="宋体"/>
          <w:color w:val="auto"/>
          <w:spacing w:val="6"/>
          <w:szCs w:val="24"/>
          <w:highlight w:val="none"/>
        </w:rPr>
      </w:pPr>
    </w:p>
    <w:p w14:paraId="0861542D">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单位名称（盖章）：</w:t>
      </w:r>
    </w:p>
    <w:p w14:paraId="4820D21F">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日    期：</w:t>
      </w:r>
    </w:p>
    <w:p w14:paraId="4F024C5E">
      <w:pPr>
        <w:spacing w:line="360" w:lineRule="auto"/>
        <w:outlineLvl w:val="9"/>
        <w:rPr>
          <w:rFonts w:hAnsi="宋体" w:cs="宋体"/>
          <w:b/>
          <w:color w:val="auto"/>
          <w:sz w:val="28"/>
          <w:szCs w:val="28"/>
          <w:highlight w:val="none"/>
        </w:rPr>
      </w:pPr>
      <w:r>
        <w:rPr>
          <w:rFonts w:hint="eastAsia" w:hAnsi="宋体" w:cs="宋体"/>
          <w:color w:val="auto"/>
          <w:highlight w:val="none"/>
        </w:rPr>
        <w:br w:type="page"/>
      </w:r>
      <w:bookmarkStart w:id="242" w:name="_Toc29109"/>
      <w:bookmarkStart w:id="243" w:name="_Toc2119"/>
      <w:bookmarkStart w:id="244" w:name="_Toc19526"/>
      <w:bookmarkStart w:id="245" w:name="_Toc23160"/>
      <w:bookmarkStart w:id="246" w:name="_Toc2139"/>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11</w:t>
      </w:r>
      <w:r>
        <w:rPr>
          <w:rFonts w:hint="eastAsia" w:hAnsi="宋体" w:cs="宋体"/>
          <w:b/>
          <w:color w:val="auto"/>
          <w:sz w:val="28"/>
          <w:szCs w:val="28"/>
          <w:highlight w:val="none"/>
        </w:rPr>
        <w:t>：质疑函范本</w:t>
      </w:r>
      <w:bookmarkEnd w:id="242"/>
      <w:bookmarkEnd w:id="243"/>
      <w:bookmarkEnd w:id="244"/>
      <w:bookmarkEnd w:id="245"/>
      <w:bookmarkEnd w:id="246"/>
    </w:p>
    <w:p w14:paraId="036ADE0C">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66B59A93">
      <w:pPr>
        <w:adjustRightInd w:val="0"/>
        <w:snapToGrid w:val="0"/>
        <w:spacing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67660C5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7B4CD148">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03CB8E7E">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78A4037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23372BAA">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6F2C10F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DF025AF">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60361C60">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17867511">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035A789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70A5BF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56217B3A">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1A9AEA9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0E328DD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1FDACDEF">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1F1BE34C">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4AD1028">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0258EBB9">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23386BFF">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12EF3247">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74B9FBEB">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211A43F0">
      <w:pPr>
        <w:rPr>
          <w:rFonts w:hAnsi="宋体" w:cs="宋体"/>
          <w:color w:val="auto"/>
          <w:szCs w:val="24"/>
          <w:highlight w:val="none"/>
        </w:rPr>
      </w:pPr>
      <w:r>
        <w:rPr>
          <w:rFonts w:hint="eastAsia" w:hAnsi="宋体" w:cs="宋体"/>
          <w:color w:val="auto"/>
          <w:szCs w:val="24"/>
          <w:highlight w:val="none"/>
        </w:rPr>
        <w:t xml:space="preserve">签字(签章)：                   公章：                      </w:t>
      </w:r>
    </w:p>
    <w:p w14:paraId="09B3CE3A">
      <w:pPr>
        <w:rPr>
          <w:rFonts w:hAnsi="宋体" w:cs="宋体"/>
          <w:color w:val="auto"/>
          <w:szCs w:val="24"/>
          <w:highlight w:val="none"/>
        </w:rPr>
      </w:pPr>
      <w:r>
        <w:rPr>
          <w:rFonts w:hint="eastAsia" w:hAnsi="宋体" w:cs="宋体"/>
          <w:color w:val="auto"/>
          <w:szCs w:val="24"/>
          <w:highlight w:val="none"/>
        </w:rPr>
        <w:t xml:space="preserve">日期：    </w:t>
      </w:r>
    </w:p>
    <w:p w14:paraId="1E39E5F4">
      <w:pPr>
        <w:jc w:val="center"/>
        <w:rPr>
          <w:rFonts w:hAnsi="宋体" w:cs="宋体"/>
          <w:b/>
          <w:color w:val="auto"/>
          <w:sz w:val="44"/>
          <w:szCs w:val="44"/>
          <w:highlight w:val="none"/>
        </w:rPr>
      </w:pPr>
    </w:p>
    <w:p w14:paraId="7A655550">
      <w:pPr>
        <w:jc w:val="center"/>
        <w:rPr>
          <w:rFonts w:hAnsi="宋体" w:cs="宋体"/>
          <w:b/>
          <w:color w:val="auto"/>
          <w:sz w:val="44"/>
          <w:szCs w:val="44"/>
          <w:highlight w:val="none"/>
        </w:rPr>
      </w:pPr>
    </w:p>
    <w:p w14:paraId="5D211B28">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5D7376A2">
      <w:pPr>
        <w:rPr>
          <w:rFonts w:hAnsi="宋体" w:cs="宋体"/>
          <w:color w:val="auto"/>
          <w:szCs w:val="24"/>
          <w:highlight w:val="none"/>
        </w:rPr>
      </w:pPr>
      <w:r>
        <w:rPr>
          <w:rFonts w:hint="eastAsia" w:hAnsi="宋体" w:cs="宋体"/>
          <w:color w:val="auto"/>
          <w:szCs w:val="24"/>
          <w:highlight w:val="none"/>
        </w:rPr>
        <w:t>一、投诉相关主体基本情况</w:t>
      </w:r>
    </w:p>
    <w:p w14:paraId="2FBD82E1">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421225AC">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408141C">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468FB6D8">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35A5776F">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0E585B2A">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6B7CC229">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2C97D5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00C02E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36232A5">
      <w:pPr>
        <w:rPr>
          <w:rFonts w:hAnsi="宋体" w:cs="宋体"/>
          <w:color w:val="auto"/>
          <w:szCs w:val="24"/>
          <w:highlight w:val="none"/>
        </w:rPr>
      </w:pPr>
      <w:r>
        <w:rPr>
          <w:rFonts w:hint="eastAsia" w:hAnsi="宋体" w:cs="宋体"/>
          <w:color w:val="auto"/>
          <w:szCs w:val="24"/>
          <w:highlight w:val="none"/>
        </w:rPr>
        <w:t>被投诉人2</w:t>
      </w:r>
    </w:p>
    <w:p w14:paraId="1DC3D7A3">
      <w:pPr>
        <w:rPr>
          <w:rFonts w:hAnsi="宋体" w:cs="宋体"/>
          <w:color w:val="auto"/>
          <w:szCs w:val="24"/>
          <w:highlight w:val="none"/>
          <w:u w:val="dotted"/>
        </w:rPr>
      </w:pPr>
      <w:r>
        <w:rPr>
          <w:rFonts w:hint="eastAsia" w:hAnsi="宋体" w:cs="宋体"/>
          <w:color w:val="auto"/>
          <w:szCs w:val="24"/>
          <w:highlight w:val="none"/>
        </w:rPr>
        <w:t>……</w:t>
      </w:r>
    </w:p>
    <w:p w14:paraId="3AEB0520">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1C288D1">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413B3EE">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731F2A4">
      <w:pPr>
        <w:rPr>
          <w:rFonts w:hAnsi="宋体" w:cs="宋体"/>
          <w:color w:val="auto"/>
          <w:szCs w:val="24"/>
          <w:highlight w:val="none"/>
        </w:rPr>
      </w:pPr>
      <w:r>
        <w:rPr>
          <w:rFonts w:hint="eastAsia" w:hAnsi="宋体" w:cs="宋体"/>
          <w:color w:val="auto"/>
          <w:szCs w:val="24"/>
          <w:highlight w:val="none"/>
        </w:rPr>
        <w:t>二、投诉项目基本情况</w:t>
      </w:r>
    </w:p>
    <w:p w14:paraId="08BF38E9">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35B78358">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0225047B">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8D7F87D">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1354552A">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177B8B41">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555B5EF6">
      <w:pPr>
        <w:rPr>
          <w:rFonts w:hAnsi="宋体" w:cs="宋体"/>
          <w:color w:val="auto"/>
          <w:szCs w:val="24"/>
          <w:highlight w:val="none"/>
        </w:rPr>
      </w:pPr>
      <w:r>
        <w:rPr>
          <w:rFonts w:hint="eastAsia" w:hAnsi="宋体" w:cs="宋体"/>
          <w:color w:val="auto"/>
          <w:szCs w:val="24"/>
          <w:highlight w:val="none"/>
        </w:rPr>
        <w:t>三、质疑基本情况</w:t>
      </w:r>
    </w:p>
    <w:p w14:paraId="30D89DDD">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5C56D0E9">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36F7BA89">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46876EA5">
      <w:pPr>
        <w:rPr>
          <w:rFonts w:hAnsi="宋体" w:cs="宋体"/>
          <w:color w:val="auto"/>
          <w:szCs w:val="24"/>
          <w:highlight w:val="none"/>
        </w:rPr>
      </w:pPr>
      <w:r>
        <w:rPr>
          <w:rFonts w:hint="eastAsia" w:hAnsi="宋体" w:cs="宋体"/>
          <w:color w:val="auto"/>
          <w:szCs w:val="24"/>
          <w:highlight w:val="none"/>
        </w:rPr>
        <w:t>四、投诉事项具体内容</w:t>
      </w:r>
    </w:p>
    <w:p w14:paraId="026CA37D">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386F6DDB">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3166399D">
      <w:pPr>
        <w:rPr>
          <w:rFonts w:hAnsi="宋体" w:cs="宋体"/>
          <w:color w:val="auto"/>
          <w:szCs w:val="24"/>
          <w:highlight w:val="none"/>
          <w:u w:val="dotted"/>
        </w:rPr>
      </w:pPr>
      <w:r>
        <w:rPr>
          <w:rFonts w:hint="eastAsia" w:hAnsi="宋体" w:cs="宋体"/>
          <w:color w:val="auto"/>
          <w:szCs w:val="24"/>
          <w:highlight w:val="none"/>
          <w:u w:val="dotted"/>
        </w:rPr>
        <w:t xml:space="preserve">                                                      </w:t>
      </w:r>
    </w:p>
    <w:p w14:paraId="4E531983">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54A621FA">
      <w:pPr>
        <w:rPr>
          <w:rFonts w:hAnsi="宋体" w:cs="宋体"/>
          <w:color w:val="auto"/>
          <w:szCs w:val="24"/>
          <w:highlight w:val="none"/>
          <w:u w:val="dotted"/>
        </w:rPr>
      </w:pPr>
      <w:r>
        <w:rPr>
          <w:rFonts w:hint="eastAsia" w:hAnsi="宋体" w:cs="宋体"/>
          <w:color w:val="auto"/>
          <w:szCs w:val="24"/>
          <w:highlight w:val="none"/>
          <w:u w:val="dotted"/>
        </w:rPr>
        <w:t xml:space="preserve">                                                      </w:t>
      </w:r>
    </w:p>
    <w:p w14:paraId="12D4AD3B">
      <w:pPr>
        <w:rPr>
          <w:rFonts w:hAnsi="宋体" w:cs="宋体"/>
          <w:color w:val="auto"/>
          <w:szCs w:val="24"/>
          <w:highlight w:val="none"/>
        </w:rPr>
      </w:pPr>
      <w:r>
        <w:rPr>
          <w:rFonts w:hint="eastAsia" w:hAnsi="宋体" w:cs="宋体"/>
          <w:color w:val="auto"/>
          <w:szCs w:val="24"/>
          <w:highlight w:val="none"/>
        </w:rPr>
        <w:t>投诉事项2</w:t>
      </w:r>
    </w:p>
    <w:p w14:paraId="009C98EF">
      <w:pPr>
        <w:rPr>
          <w:rFonts w:hAnsi="宋体" w:cs="宋体"/>
          <w:color w:val="auto"/>
          <w:szCs w:val="24"/>
          <w:highlight w:val="none"/>
          <w:u w:val="dotted"/>
        </w:rPr>
      </w:pPr>
      <w:r>
        <w:rPr>
          <w:rFonts w:hint="eastAsia" w:hAnsi="宋体" w:cs="宋体"/>
          <w:color w:val="auto"/>
          <w:szCs w:val="24"/>
          <w:highlight w:val="none"/>
        </w:rPr>
        <w:t>……</w:t>
      </w:r>
    </w:p>
    <w:p w14:paraId="7A5D58EA">
      <w:pPr>
        <w:rPr>
          <w:rFonts w:hAnsi="宋体" w:cs="宋体"/>
          <w:color w:val="auto"/>
          <w:szCs w:val="24"/>
          <w:highlight w:val="none"/>
        </w:rPr>
      </w:pPr>
      <w:r>
        <w:rPr>
          <w:rFonts w:hint="eastAsia" w:hAnsi="宋体" w:cs="宋体"/>
          <w:color w:val="auto"/>
          <w:szCs w:val="24"/>
          <w:highlight w:val="none"/>
        </w:rPr>
        <w:t>五、与投诉事项相关的投诉请求</w:t>
      </w:r>
    </w:p>
    <w:p w14:paraId="181594CD">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50A1EEE7">
      <w:pPr>
        <w:rPr>
          <w:rFonts w:hAnsi="宋体" w:cs="宋体"/>
          <w:color w:val="auto"/>
          <w:szCs w:val="24"/>
          <w:highlight w:val="none"/>
          <w:u w:val="single"/>
        </w:rPr>
      </w:pPr>
      <w:r>
        <w:rPr>
          <w:rFonts w:hint="eastAsia" w:hAnsi="宋体" w:cs="宋体"/>
          <w:color w:val="auto"/>
          <w:szCs w:val="24"/>
          <w:highlight w:val="none"/>
        </w:rPr>
        <w:t xml:space="preserve">                                                                                                    </w:t>
      </w:r>
    </w:p>
    <w:p w14:paraId="655D29A3">
      <w:pPr>
        <w:rPr>
          <w:rFonts w:hAnsi="宋体" w:cs="宋体"/>
          <w:color w:val="auto"/>
          <w:szCs w:val="24"/>
          <w:highlight w:val="none"/>
        </w:rPr>
      </w:pPr>
      <w:r>
        <w:rPr>
          <w:rFonts w:hint="eastAsia" w:hAnsi="宋体" w:cs="宋体"/>
          <w:color w:val="auto"/>
          <w:szCs w:val="24"/>
          <w:highlight w:val="none"/>
        </w:rPr>
        <w:t xml:space="preserve">签字(签章)：                   公章：                      </w:t>
      </w:r>
    </w:p>
    <w:p w14:paraId="07F66E6B">
      <w:pPr>
        <w:rPr>
          <w:rFonts w:hAnsi="宋体" w:cs="宋体"/>
          <w:color w:val="auto"/>
          <w:sz w:val="21"/>
          <w:szCs w:val="21"/>
          <w:highlight w:val="none"/>
        </w:rPr>
      </w:pPr>
      <w:r>
        <w:rPr>
          <w:rFonts w:hint="eastAsia" w:hAnsi="宋体" w:cs="宋体"/>
          <w:color w:val="auto"/>
          <w:szCs w:val="24"/>
          <w:highlight w:val="none"/>
        </w:rPr>
        <w:t xml:space="preserve">日期：    </w:t>
      </w:r>
      <w:r>
        <w:rPr>
          <w:rFonts w:hint="eastAsia" w:hAnsi="宋体" w:cs="宋体"/>
          <w:color w:val="auto"/>
          <w:sz w:val="21"/>
          <w:szCs w:val="21"/>
          <w:highlight w:val="none"/>
        </w:rPr>
        <w:t xml:space="preserve">                  </w:t>
      </w:r>
    </w:p>
    <w:p w14:paraId="7C74A499">
      <w:pPr>
        <w:spacing w:line="360" w:lineRule="auto"/>
        <w:rPr>
          <w:color w:val="auto"/>
          <w:highlight w:val="none"/>
        </w:rPr>
      </w:pPr>
      <w:r>
        <w:rPr>
          <w:rFonts w:hint="eastAsia" w:hAnsi="宋体" w:cs="宋体"/>
          <w:color w:val="auto"/>
          <w:szCs w:val="24"/>
          <w:highlight w:val="none"/>
        </w:rPr>
        <w:t xml:space="preserve">                                </w:t>
      </w:r>
    </w:p>
    <w:sectPr>
      <w:footerReference r:id="rId11" w:type="first"/>
      <w:footerReference r:id="rId10" w:type="default"/>
      <w:pgSz w:w="11906" w:h="16838"/>
      <w:pgMar w:top="1361" w:right="1304" w:bottom="1361" w:left="1304"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GYXIQ+Frutiger-Cn">
    <w:altName w:val="宋体"/>
    <w:panose1 w:val="00000000000000000000"/>
    <w:charset w:val="86"/>
    <w:family w:val="swiss"/>
    <w:pitch w:val="default"/>
    <w:sig w:usb0="00000000" w:usb1="00000000" w:usb2="00000010" w:usb3="00000000" w:csb0="00040000" w:csb1="00000000"/>
  </w:font>
  <w:font w:name="Helvetica Neue">
    <w:altName w:val="Times New Roman"/>
    <w:panose1 w:val="00000000000000000000"/>
    <w:charset w:val="00"/>
    <w:family w:val="auto"/>
    <w:pitch w:val="default"/>
    <w:sig w:usb0="00000000" w:usb1="00000000" w:usb2="00000010" w:usb3="00000000" w:csb0="00000000" w:csb1="00000000"/>
  </w:font>
  <w:font w:name="Arial Unicode MS">
    <w:altName w:val="宋体"/>
    <w:panose1 w:val="020B0604020202020204"/>
    <w:charset w:val="86"/>
    <w:family w:val="swiss"/>
    <w:pitch w:val="default"/>
    <w:sig w:usb0="00000000" w:usb1="00000000" w:usb2="0000007F" w:usb3="00000000" w:csb0="203F01FF" w:csb1="DFFF0000"/>
  </w:font>
  <w:font w:name="KSOFE4500885">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1B11B">
    <w:pPr>
      <w:pStyle w:val="14"/>
    </w:pPr>
    <w:r>
      <w:rPr>
        <w:rFonts w:hint="eastAsia"/>
      </w:rPr>
      <w:t xml:space="preserve">陕西至诚项目管理集团有限公司                         </w:t>
    </w:r>
    <w:r>
      <w:rPr>
        <w:rFonts w:hint="eastAsia"/>
      </w:rPr>
      <w:tab/>
    </w:r>
    <w:r>
      <w:rPr>
        <w:rFonts w:hint="eastAsia"/>
      </w:rPr>
      <w:t>地址：西安市陕西省西安市未央区未央路171-1 银池广场道拉斯财富中心21楼03室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ABAA7">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2B292">
    <w:pPr>
      <w:pStyle w:val="14"/>
    </w:pPr>
    <w:r>
      <w:rPr>
        <w:rFonts w:hint="eastAsia"/>
      </w:rPr>
      <w:t xml:space="preserve">陕西至诚项目管理集团有限公司                         </w:t>
    </w:r>
    <w:r>
      <w:rPr>
        <w:rFonts w:hint="eastAsia"/>
      </w:rPr>
      <w:tab/>
    </w:r>
    <w:r>
      <w:rPr>
        <w:rFonts w:hint="eastAsia"/>
      </w:rPr>
      <w:t>地址：西安市陕西省西安市未央区未央路171-1 银池广场道拉斯财富中心21楼03室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2EF82">
    <w:pPr>
      <w:pStyle w:val="14"/>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85AC6">
    <w:pPr>
      <w:tabs>
        <w:tab w:val="left" w:pos="5646"/>
      </w:tabs>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24F214">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D24F214">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p w14:paraId="61E87750">
    <w:pPr>
      <w:pStyle w:val="14"/>
      <w:jc w:val="both"/>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CBC38">
    <w:pPr>
      <w:pStyle w:val="14"/>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5569F1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55569F1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4A4F1">
    <w:pPr>
      <w:spacing w:line="500" w:lineRule="exact"/>
      <w:ind w:left="1530" w:hanging="1530" w:hangingChars="850"/>
      <w:jc w:val="left"/>
      <w:rPr>
        <w:rFonts w:hint="default" w:hAnsi="宋体" w:cs="宋体"/>
        <w:sz w:val="24"/>
        <w:szCs w:val="24"/>
        <w:lang w:val="en-US"/>
      </w:rPr>
    </w:pPr>
    <w:r>
      <w:rPr>
        <w:rFonts w:hint="eastAsia" w:hAnsi="宋体"/>
        <w:bCs/>
        <w:sz w:val="18"/>
        <w:szCs w:val="18"/>
        <w:u w:val="single"/>
        <w:lang w:val="en-US" w:eastAsia="zh-CN"/>
      </w:rPr>
      <w:t>吉祥物衍生品制作项目(三次)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A2655">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E4EC6">
    <w:pPr>
      <w:pStyle w:val="1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BE0862"/>
    <w:multiLevelType w:val="singleLevel"/>
    <w:tmpl w:val="8DBE0862"/>
    <w:lvl w:ilvl="0" w:tentative="0">
      <w:start w:val="5"/>
      <w:numFmt w:val="decimal"/>
      <w:lvlText w:val="%1."/>
      <w:lvlJc w:val="left"/>
      <w:pPr>
        <w:tabs>
          <w:tab w:val="left" w:pos="312"/>
        </w:tabs>
      </w:pPr>
    </w:lvl>
  </w:abstractNum>
  <w:abstractNum w:abstractNumId="1">
    <w:nsid w:val="B9FF6CD2"/>
    <w:multiLevelType w:val="singleLevel"/>
    <w:tmpl w:val="B9FF6CD2"/>
    <w:lvl w:ilvl="0" w:tentative="0">
      <w:start w:val="2"/>
      <w:numFmt w:val="chineseCounting"/>
      <w:suff w:val="nothing"/>
      <w:lvlText w:val="（%1）"/>
      <w:lvlJc w:val="left"/>
      <w:rPr>
        <w:rFonts w:hint="eastAsia"/>
      </w:rPr>
    </w:lvl>
  </w:abstractNum>
  <w:abstractNum w:abstractNumId="2">
    <w:nsid w:val="2E0E729E"/>
    <w:multiLevelType w:val="singleLevel"/>
    <w:tmpl w:val="2E0E729E"/>
    <w:lvl w:ilvl="0" w:tentative="0">
      <w:start w:val="1"/>
      <w:numFmt w:val="chineseCounting"/>
      <w:suff w:val="nothing"/>
      <w:lvlText w:val="（%1）"/>
      <w:lvlJc w:val="left"/>
      <w:rPr>
        <w:rFonts w:hint="eastAsia"/>
      </w:rPr>
    </w:lvl>
  </w:abstractNum>
  <w:abstractNum w:abstractNumId="3">
    <w:nsid w:val="3345DCC0"/>
    <w:multiLevelType w:val="singleLevel"/>
    <w:tmpl w:val="3345DCC0"/>
    <w:lvl w:ilvl="0" w:tentative="0">
      <w:start w:val="1"/>
      <w:numFmt w:val="decimal"/>
      <w:suff w:val="nothing"/>
      <w:lvlText w:val="%1）"/>
      <w:lvlJc w:val="left"/>
    </w:lvl>
  </w:abstractNum>
  <w:abstractNum w:abstractNumId="4">
    <w:nsid w:val="587C0620"/>
    <w:multiLevelType w:val="singleLevel"/>
    <w:tmpl w:val="587C0620"/>
    <w:lvl w:ilvl="0" w:tentative="0">
      <w:start w:val="1"/>
      <w:numFmt w:val="decimal"/>
      <w:suff w:val="nothing"/>
      <w:lvlText w:val="（%1）"/>
      <w:lvlJc w:val="left"/>
    </w:lvl>
  </w:abstractNum>
  <w:abstractNum w:abstractNumId="5">
    <w:nsid w:val="590049E8"/>
    <w:multiLevelType w:val="singleLevel"/>
    <w:tmpl w:val="590049E8"/>
    <w:lvl w:ilvl="0" w:tentative="0">
      <w:start w:val="30"/>
      <w:numFmt w:val="decimal"/>
      <w:suff w:val="nothing"/>
      <w:lvlText w:val="%1."/>
      <w:lvlJc w:val="left"/>
    </w:lvl>
  </w:abstractNum>
  <w:abstractNum w:abstractNumId="6">
    <w:nsid w:val="59B2460E"/>
    <w:multiLevelType w:val="singleLevel"/>
    <w:tmpl w:val="59B2460E"/>
    <w:lvl w:ilvl="0" w:tentative="0">
      <w:start w:val="2"/>
      <w:numFmt w:val="decimal"/>
      <w:suff w:val="nothing"/>
      <w:lvlText w:val="%1."/>
      <w:lvlJc w:val="left"/>
    </w:lvl>
  </w:abstractNum>
  <w:abstractNum w:abstractNumId="7">
    <w:nsid w:val="59CF0981"/>
    <w:multiLevelType w:val="singleLevel"/>
    <w:tmpl w:val="59CF0981"/>
    <w:lvl w:ilvl="0" w:tentative="0">
      <w:start w:val="1"/>
      <w:numFmt w:val="decimal"/>
      <w:suff w:val="nothing"/>
      <w:lvlText w:val="%1、"/>
      <w:lvlJc w:val="left"/>
    </w:lvl>
  </w:abstractNum>
  <w:num w:numId="1">
    <w:abstractNumId w:val="6"/>
  </w:num>
  <w:num w:numId="2">
    <w:abstractNumId w:val="5"/>
  </w:num>
  <w:num w:numId="3">
    <w:abstractNumId w:val="7"/>
  </w:num>
  <w:num w:numId="4">
    <w:abstractNumId w:val="1"/>
  </w:num>
  <w:num w:numId="5">
    <w:abstractNumId w:val="4"/>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xMjYxMTc2YmNmM2ZiYzM3MzRiYzBiMTAxOWMxMDcifQ=="/>
  </w:docVars>
  <w:rsids>
    <w:rsidRoot w:val="00422DA9"/>
    <w:rsid w:val="00137253"/>
    <w:rsid w:val="001C7382"/>
    <w:rsid w:val="00284B06"/>
    <w:rsid w:val="0032060D"/>
    <w:rsid w:val="00422DA9"/>
    <w:rsid w:val="004A55FA"/>
    <w:rsid w:val="005A3987"/>
    <w:rsid w:val="006016AC"/>
    <w:rsid w:val="006256E1"/>
    <w:rsid w:val="0067163E"/>
    <w:rsid w:val="006C638F"/>
    <w:rsid w:val="00860B56"/>
    <w:rsid w:val="008C2C82"/>
    <w:rsid w:val="009444C8"/>
    <w:rsid w:val="009E22A4"/>
    <w:rsid w:val="00A646B2"/>
    <w:rsid w:val="00AB4B87"/>
    <w:rsid w:val="00C07800"/>
    <w:rsid w:val="00CA3F42"/>
    <w:rsid w:val="00F42018"/>
    <w:rsid w:val="01491172"/>
    <w:rsid w:val="026512DC"/>
    <w:rsid w:val="02B84C3A"/>
    <w:rsid w:val="02EA0A37"/>
    <w:rsid w:val="03542EE5"/>
    <w:rsid w:val="038A4972"/>
    <w:rsid w:val="04100A15"/>
    <w:rsid w:val="043B74F6"/>
    <w:rsid w:val="051E0804"/>
    <w:rsid w:val="054F4610"/>
    <w:rsid w:val="05B80C59"/>
    <w:rsid w:val="05DA68EB"/>
    <w:rsid w:val="064767BD"/>
    <w:rsid w:val="06CC11A9"/>
    <w:rsid w:val="06E72E78"/>
    <w:rsid w:val="0714287C"/>
    <w:rsid w:val="07EC2E3C"/>
    <w:rsid w:val="099E253A"/>
    <w:rsid w:val="09D21BBD"/>
    <w:rsid w:val="0A52691C"/>
    <w:rsid w:val="0A7B73F3"/>
    <w:rsid w:val="0AE0655C"/>
    <w:rsid w:val="0B2608DC"/>
    <w:rsid w:val="0B75056B"/>
    <w:rsid w:val="0BE31B98"/>
    <w:rsid w:val="0C4F1BEB"/>
    <w:rsid w:val="0C580AA0"/>
    <w:rsid w:val="0CC316FD"/>
    <w:rsid w:val="0DCD7E5B"/>
    <w:rsid w:val="0EC42C1D"/>
    <w:rsid w:val="0EC96337"/>
    <w:rsid w:val="0FB71F81"/>
    <w:rsid w:val="0FCB77DB"/>
    <w:rsid w:val="0FD83CA6"/>
    <w:rsid w:val="108274B3"/>
    <w:rsid w:val="10BD35C7"/>
    <w:rsid w:val="10C03B1A"/>
    <w:rsid w:val="110A4333"/>
    <w:rsid w:val="11933EF1"/>
    <w:rsid w:val="124E6541"/>
    <w:rsid w:val="12F2507E"/>
    <w:rsid w:val="13055EFC"/>
    <w:rsid w:val="1408016B"/>
    <w:rsid w:val="14553B17"/>
    <w:rsid w:val="14FF19C2"/>
    <w:rsid w:val="157060ED"/>
    <w:rsid w:val="16D004E2"/>
    <w:rsid w:val="16D34E48"/>
    <w:rsid w:val="17381DE3"/>
    <w:rsid w:val="175400B6"/>
    <w:rsid w:val="17E05B11"/>
    <w:rsid w:val="17E77172"/>
    <w:rsid w:val="18243F2C"/>
    <w:rsid w:val="18624A54"/>
    <w:rsid w:val="18D213D0"/>
    <w:rsid w:val="193F257F"/>
    <w:rsid w:val="19E219A9"/>
    <w:rsid w:val="19F1107F"/>
    <w:rsid w:val="1A6A586E"/>
    <w:rsid w:val="1A7840BB"/>
    <w:rsid w:val="1A7F74B5"/>
    <w:rsid w:val="1AB77E2C"/>
    <w:rsid w:val="1AEC0C34"/>
    <w:rsid w:val="1B917B2A"/>
    <w:rsid w:val="1BAE4D2B"/>
    <w:rsid w:val="1BF20D44"/>
    <w:rsid w:val="1BF70EFF"/>
    <w:rsid w:val="1D6C4D32"/>
    <w:rsid w:val="1D8C396C"/>
    <w:rsid w:val="1E0263B5"/>
    <w:rsid w:val="1E47352A"/>
    <w:rsid w:val="1E474499"/>
    <w:rsid w:val="1E616F4E"/>
    <w:rsid w:val="1E7D10B6"/>
    <w:rsid w:val="1E9329DA"/>
    <w:rsid w:val="1EA47FBB"/>
    <w:rsid w:val="1EA638ED"/>
    <w:rsid w:val="1F126C7C"/>
    <w:rsid w:val="1FB72D74"/>
    <w:rsid w:val="1FEB742A"/>
    <w:rsid w:val="20530343"/>
    <w:rsid w:val="20531852"/>
    <w:rsid w:val="209348EA"/>
    <w:rsid w:val="20C75D9C"/>
    <w:rsid w:val="21210A4D"/>
    <w:rsid w:val="2159096D"/>
    <w:rsid w:val="2258289E"/>
    <w:rsid w:val="22D36CBC"/>
    <w:rsid w:val="235D6E11"/>
    <w:rsid w:val="23605E63"/>
    <w:rsid w:val="237F1D35"/>
    <w:rsid w:val="23AC19CC"/>
    <w:rsid w:val="23B4085A"/>
    <w:rsid w:val="245416F5"/>
    <w:rsid w:val="24D93136"/>
    <w:rsid w:val="255B2E26"/>
    <w:rsid w:val="258C4C14"/>
    <w:rsid w:val="25E76599"/>
    <w:rsid w:val="25F413E1"/>
    <w:rsid w:val="26195E27"/>
    <w:rsid w:val="26450D58"/>
    <w:rsid w:val="2683064A"/>
    <w:rsid w:val="272C1927"/>
    <w:rsid w:val="281E2746"/>
    <w:rsid w:val="289A5B44"/>
    <w:rsid w:val="28C0686E"/>
    <w:rsid w:val="29E01C20"/>
    <w:rsid w:val="29E55A22"/>
    <w:rsid w:val="2A4A7F73"/>
    <w:rsid w:val="2A6A14C8"/>
    <w:rsid w:val="2AF552B4"/>
    <w:rsid w:val="2B372839"/>
    <w:rsid w:val="2B934FAD"/>
    <w:rsid w:val="2BB60EE7"/>
    <w:rsid w:val="2BCA6741"/>
    <w:rsid w:val="2BE608F9"/>
    <w:rsid w:val="2BF043F9"/>
    <w:rsid w:val="2C0E0D23"/>
    <w:rsid w:val="2CE837DD"/>
    <w:rsid w:val="2CFC5020"/>
    <w:rsid w:val="2DA83DCF"/>
    <w:rsid w:val="2E1D6FFC"/>
    <w:rsid w:val="2EBB4D79"/>
    <w:rsid w:val="2F02634B"/>
    <w:rsid w:val="2F0B779C"/>
    <w:rsid w:val="2F886857"/>
    <w:rsid w:val="2FA84FEB"/>
    <w:rsid w:val="2FFD0E93"/>
    <w:rsid w:val="301001E1"/>
    <w:rsid w:val="3045283A"/>
    <w:rsid w:val="304E0F98"/>
    <w:rsid w:val="30537962"/>
    <w:rsid w:val="305F38FB"/>
    <w:rsid w:val="30B3406E"/>
    <w:rsid w:val="30BD4AC6"/>
    <w:rsid w:val="30E43FCF"/>
    <w:rsid w:val="319C2164"/>
    <w:rsid w:val="31C81974"/>
    <w:rsid w:val="31CF685F"/>
    <w:rsid w:val="3231334B"/>
    <w:rsid w:val="331040BE"/>
    <w:rsid w:val="333E1EEE"/>
    <w:rsid w:val="355C5974"/>
    <w:rsid w:val="358723B5"/>
    <w:rsid w:val="359C6A8A"/>
    <w:rsid w:val="361433DA"/>
    <w:rsid w:val="36745C27"/>
    <w:rsid w:val="367F1F95"/>
    <w:rsid w:val="3741151D"/>
    <w:rsid w:val="37662F7D"/>
    <w:rsid w:val="38325D99"/>
    <w:rsid w:val="39D553AA"/>
    <w:rsid w:val="3A064C79"/>
    <w:rsid w:val="3A8C2B51"/>
    <w:rsid w:val="3AD061AD"/>
    <w:rsid w:val="3AF06488"/>
    <w:rsid w:val="3B4F0A10"/>
    <w:rsid w:val="3B50782C"/>
    <w:rsid w:val="3B633709"/>
    <w:rsid w:val="3B663A4F"/>
    <w:rsid w:val="3BB014AF"/>
    <w:rsid w:val="3BE21884"/>
    <w:rsid w:val="3C3E46FD"/>
    <w:rsid w:val="3C7B1945"/>
    <w:rsid w:val="3C7D53DE"/>
    <w:rsid w:val="3D4E699A"/>
    <w:rsid w:val="3D9848F1"/>
    <w:rsid w:val="3DBB5CCD"/>
    <w:rsid w:val="3DBC7D3F"/>
    <w:rsid w:val="3E4F1453"/>
    <w:rsid w:val="3E7C700F"/>
    <w:rsid w:val="3F5B3E28"/>
    <w:rsid w:val="3F790A1F"/>
    <w:rsid w:val="406B590C"/>
    <w:rsid w:val="42377DAE"/>
    <w:rsid w:val="429D651C"/>
    <w:rsid w:val="42B37C55"/>
    <w:rsid w:val="42F00D2B"/>
    <w:rsid w:val="42FA4716"/>
    <w:rsid w:val="430B7CC0"/>
    <w:rsid w:val="43305EF3"/>
    <w:rsid w:val="44D957C2"/>
    <w:rsid w:val="45536ABE"/>
    <w:rsid w:val="45A81449"/>
    <w:rsid w:val="45D148E1"/>
    <w:rsid w:val="46431172"/>
    <w:rsid w:val="477E6905"/>
    <w:rsid w:val="47BA5602"/>
    <w:rsid w:val="47CB7BCD"/>
    <w:rsid w:val="48723E9C"/>
    <w:rsid w:val="48A948A9"/>
    <w:rsid w:val="48F344FE"/>
    <w:rsid w:val="496B79EC"/>
    <w:rsid w:val="49BD79B3"/>
    <w:rsid w:val="49C82C57"/>
    <w:rsid w:val="4A02381D"/>
    <w:rsid w:val="4A1C0EB1"/>
    <w:rsid w:val="4A5E47CC"/>
    <w:rsid w:val="4AAC2C6F"/>
    <w:rsid w:val="4B9C1A50"/>
    <w:rsid w:val="4BAD77B9"/>
    <w:rsid w:val="4C966BC0"/>
    <w:rsid w:val="4D1E03A6"/>
    <w:rsid w:val="4D3038E5"/>
    <w:rsid w:val="4D477799"/>
    <w:rsid w:val="4D596375"/>
    <w:rsid w:val="4D5F31A9"/>
    <w:rsid w:val="4DD010E4"/>
    <w:rsid w:val="4DEB6377"/>
    <w:rsid w:val="4DED6593"/>
    <w:rsid w:val="4E7E7EDA"/>
    <w:rsid w:val="4EA053B3"/>
    <w:rsid w:val="4F0B353D"/>
    <w:rsid w:val="4F0D5377"/>
    <w:rsid w:val="4FDC066D"/>
    <w:rsid w:val="50121437"/>
    <w:rsid w:val="50132763"/>
    <w:rsid w:val="50620EE9"/>
    <w:rsid w:val="509203B3"/>
    <w:rsid w:val="5093313D"/>
    <w:rsid w:val="50DF5A3C"/>
    <w:rsid w:val="521F0CE5"/>
    <w:rsid w:val="522D23CF"/>
    <w:rsid w:val="52326C6A"/>
    <w:rsid w:val="526037D7"/>
    <w:rsid w:val="527A183A"/>
    <w:rsid w:val="528D20F2"/>
    <w:rsid w:val="52927B75"/>
    <w:rsid w:val="52A6120D"/>
    <w:rsid w:val="52C11C7B"/>
    <w:rsid w:val="535661BA"/>
    <w:rsid w:val="5391176E"/>
    <w:rsid w:val="54201323"/>
    <w:rsid w:val="54414F42"/>
    <w:rsid w:val="5498635F"/>
    <w:rsid w:val="54AB3C5D"/>
    <w:rsid w:val="54C03FAD"/>
    <w:rsid w:val="5527328A"/>
    <w:rsid w:val="5562118F"/>
    <w:rsid w:val="55801A9A"/>
    <w:rsid w:val="56E23696"/>
    <w:rsid w:val="572052E3"/>
    <w:rsid w:val="57D82FDB"/>
    <w:rsid w:val="582F6BEF"/>
    <w:rsid w:val="58415BC6"/>
    <w:rsid w:val="585F62DF"/>
    <w:rsid w:val="590A2C81"/>
    <w:rsid w:val="59361347"/>
    <w:rsid w:val="593908DE"/>
    <w:rsid w:val="59875AED"/>
    <w:rsid w:val="598A113A"/>
    <w:rsid w:val="59A66EED"/>
    <w:rsid w:val="5A4E220C"/>
    <w:rsid w:val="5AF150AF"/>
    <w:rsid w:val="5BE02C49"/>
    <w:rsid w:val="5C06474A"/>
    <w:rsid w:val="5CDB1A84"/>
    <w:rsid w:val="5D500F29"/>
    <w:rsid w:val="5D5905FD"/>
    <w:rsid w:val="5D822C5A"/>
    <w:rsid w:val="5D93740B"/>
    <w:rsid w:val="5D940CCE"/>
    <w:rsid w:val="5DD46E27"/>
    <w:rsid w:val="5DDE789D"/>
    <w:rsid w:val="5E421FD0"/>
    <w:rsid w:val="5E7A79CF"/>
    <w:rsid w:val="5EAA2796"/>
    <w:rsid w:val="5ED0632D"/>
    <w:rsid w:val="5ED51AA0"/>
    <w:rsid w:val="5EF6071B"/>
    <w:rsid w:val="5F1C7961"/>
    <w:rsid w:val="5F864151"/>
    <w:rsid w:val="5F933216"/>
    <w:rsid w:val="5FC65787"/>
    <w:rsid w:val="60032A91"/>
    <w:rsid w:val="60637039"/>
    <w:rsid w:val="60C74A21"/>
    <w:rsid w:val="61195669"/>
    <w:rsid w:val="61275E3B"/>
    <w:rsid w:val="61397DAE"/>
    <w:rsid w:val="61B50D1E"/>
    <w:rsid w:val="62AE5E99"/>
    <w:rsid w:val="633F11E7"/>
    <w:rsid w:val="638A1AF5"/>
    <w:rsid w:val="64A936CA"/>
    <w:rsid w:val="64CA4AE0"/>
    <w:rsid w:val="665B3698"/>
    <w:rsid w:val="665D1ED0"/>
    <w:rsid w:val="66DC6D4D"/>
    <w:rsid w:val="679B47E6"/>
    <w:rsid w:val="67B04461"/>
    <w:rsid w:val="682C6065"/>
    <w:rsid w:val="684D7F02"/>
    <w:rsid w:val="68776D2D"/>
    <w:rsid w:val="688F00E3"/>
    <w:rsid w:val="68A6624A"/>
    <w:rsid w:val="68E646F7"/>
    <w:rsid w:val="690D798C"/>
    <w:rsid w:val="69D4240D"/>
    <w:rsid w:val="69DE533E"/>
    <w:rsid w:val="69E9326E"/>
    <w:rsid w:val="6AC02E25"/>
    <w:rsid w:val="6AEA6BBE"/>
    <w:rsid w:val="6B005D17"/>
    <w:rsid w:val="6B7F174D"/>
    <w:rsid w:val="6C9F6852"/>
    <w:rsid w:val="6CCF5389"/>
    <w:rsid w:val="6CD52274"/>
    <w:rsid w:val="6E237E7E"/>
    <w:rsid w:val="6E3F0F78"/>
    <w:rsid w:val="6E960558"/>
    <w:rsid w:val="6F386134"/>
    <w:rsid w:val="6F944668"/>
    <w:rsid w:val="6F995F63"/>
    <w:rsid w:val="70291091"/>
    <w:rsid w:val="70406237"/>
    <w:rsid w:val="704F2E54"/>
    <w:rsid w:val="70C5413D"/>
    <w:rsid w:val="70FE3161"/>
    <w:rsid w:val="71BC1928"/>
    <w:rsid w:val="723E1DBC"/>
    <w:rsid w:val="73307253"/>
    <w:rsid w:val="73C72DDD"/>
    <w:rsid w:val="74343602"/>
    <w:rsid w:val="7436299A"/>
    <w:rsid w:val="74393A30"/>
    <w:rsid w:val="74C552BF"/>
    <w:rsid w:val="74F97939"/>
    <w:rsid w:val="750903B1"/>
    <w:rsid w:val="75102D70"/>
    <w:rsid w:val="75536EBD"/>
    <w:rsid w:val="76047015"/>
    <w:rsid w:val="76214E9E"/>
    <w:rsid w:val="76E06023"/>
    <w:rsid w:val="773B2F52"/>
    <w:rsid w:val="77D649A3"/>
    <w:rsid w:val="783C3AEF"/>
    <w:rsid w:val="784B5870"/>
    <w:rsid w:val="786E1F76"/>
    <w:rsid w:val="790068CB"/>
    <w:rsid w:val="790A0471"/>
    <w:rsid w:val="79B7342D"/>
    <w:rsid w:val="79E26DE7"/>
    <w:rsid w:val="7A5B0EAD"/>
    <w:rsid w:val="7B5D576D"/>
    <w:rsid w:val="7C08295D"/>
    <w:rsid w:val="7C853459"/>
    <w:rsid w:val="7CDC740A"/>
    <w:rsid w:val="7D7D229E"/>
    <w:rsid w:val="7D7F7E70"/>
    <w:rsid w:val="7DE537E2"/>
    <w:rsid w:val="7E0724A9"/>
    <w:rsid w:val="7E2D16FC"/>
    <w:rsid w:val="7EF02F3D"/>
    <w:rsid w:val="7F0B6033"/>
    <w:rsid w:val="7F425B38"/>
    <w:rsid w:val="7FD8234F"/>
    <w:rsid w:val="7FFD6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30"/>
    <w:qFormat/>
    <w:uiPriority w:val="0"/>
    <w:pPr>
      <w:keepNext/>
      <w:outlineLvl w:val="0"/>
    </w:pPr>
    <w:rPr>
      <w:rFonts w:ascii="仿宋_GB2312" w:hAnsi="宋体" w:eastAsia="仿宋_GB2312"/>
      <w:b/>
      <w:kern w:val="2"/>
      <w:sz w:val="32"/>
    </w:rPr>
  </w:style>
  <w:style w:type="paragraph" w:styleId="3">
    <w:name w:val="heading 2"/>
    <w:basedOn w:val="1"/>
    <w:next w:val="1"/>
    <w:qFormat/>
    <w:uiPriority w:val="9"/>
    <w:pPr>
      <w:keepNext/>
      <w:keepLines/>
      <w:widowControl/>
      <w:spacing w:before="260" w:after="260"/>
      <w:ind w:left="284"/>
      <w:jc w:val="left"/>
      <w:outlineLvl w:val="1"/>
    </w:pPr>
    <w:rPr>
      <w:rFonts w:ascii="Arial" w:hAnsi="Arial"/>
      <w:b/>
      <w:bCs/>
      <w:sz w:val="28"/>
      <w:szCs w:val="32"/>
    </w:rPr>
  </w:style>
  <w:style w:type="paragraph" w:styleId="4">
    <w:name w:val="heading 3"/>
    <w:basedOn w:val="1"/>
    <w:next w:val="1"/>
    <w:unhideWhenUsed/>
    <w:qFormat/>
    <w:uiPriority w:val="9"/>
    <w:pPr>
      <w:keepNext/>
      <w:keepLines/>
      <w:spacing w:line="415" w:lineRule="auto"/>
      <w:outlineLvl w:val="2"/>
    </w:pPr>
    <w:rPr>
      <w:rFonts w:ascii="Times New Roman" w:hAnsi="Times New Roman" w:eastAsia="宋体" w:cstheme="minorBidi"/>
      <w:b/>
      <w:bCs/>
      <w:kern w:val="2"/>
      <w:sz w:val="28"/>
      <w:szCs w:val="32"/>
      <w:lang w:val="en-US" w:eastAsia="zh-CN" w:bidi="ar-SA"/>
    </w:rPr>
  </w:style>
  <w:style w:type="paragraph" w:styleId="5">
    <w:name w:val="heading 4"/>
    <w:basedOn w:val="1"/>
    <w:next w:val="1"/>
    <w:autoRedefine/>
    <w:semiHidden/>
    <w:unhideWhenUsed/>
    <w:qFormat/>
    <w:uiPriority w:val="0"/>
    <w:pPr>
      <w:spacing w:beforeAutospacing="1" w:afterAutospacing="1"/>
      <w:jc w:val="left"/>
      <w:outlineLvl w:val="3"/>
    </w:pPr>
    <w:rPr>
      <w:rFonts w:hint="eastAsia" w:hAnsi="宋体"/>
      <w:b/>
      <w:bCs/>
      <w:szCs w:val="24"/>
    </w:rPr>
  </w:style>
  <w:style w:type="paragraph" w:styleId="6">
    <w:name w:val="heading 6"/>
    <w:basedOn w:val="1"/>
    <w:next w:val="1"/>
    <w:autoRedefine/>
    <w:semiHidden/>
    <w:unhideWhenUsed/>
    <w:qFormat/>
    <w:uiPriority w:val="0"/>
    <w:pPr>
      <w:spacing w:beforeAutospacing="1" w:afterAutospacing="1"/>
      <w:jc w:val="left"/>
      <w:outlineLvl w:val="5"/>
    </w:pPr>
    <w:rPr>
      <w:rFonts w:hint="eastAsia" w:hAnsi="宋体"/>
      <w:b/>
      <w:bCs/>
      <w:sz w:val="15"/>
      <w:szCs w:val="15"/>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autoRedefine/>
    <w:qFormat/>
    <w:uiPriority w:val="0"/>
    <w:pPr>
      <w:spacing w:line="300" w:lineRule="auto"/>
      <w:ind w:firstLine="420" w:firstLineChars="200"/>
    </w:pPr>
    <w:rPr>
      <w:rFonts w:ascii="Calibri"/>
      <w:kern w:val="2"/>
      <w:sz w:val="21"/>
      <w:szCs w:val="24"/>
    </w:rPr>
  </w:style>
  <w:style w:type="paragraph" w:styleId="8">
    <w:name w:val="Body Text 3"/>
    <w:basedOn w:val="1"/>
    <w:autoRedefine/>
    <w:qFormat/>
    <w:uiPriority w:val="0"/>
    <w:pPr>
      <w:jc w:val="center"/>
    </w:pPr>
    <w:rPr>
      <w:rFonts w:ascii="Times New Roman"/>
      <w:b/>
      <w:spacing w:val="-20"/>
      <w:w w:val="110"/>
      <w:kern w:val="2"/>
      <w:sz w:val="52"/>
    </w:rPr>
  </w:style>
  <w:style w:type="paragraph" w:styleId="9">
    <w:name w:val="Body Text"/>
    <w:basedOn w:val="1"/>
    <w:next w:val="1"/>
    <w:autoRedefine/>
    <w:qFormat/>
    <w:uiPriority w:val="0"/>
    <w:pPr>
      <w:spacing w:line="520" w:lineRule="exact"/>
      <w:ind w:firstLine="480" w:firstLineChars="200"/>
    </w:pPr>
    <w:rPr>
      <w:rFonts w:hAnsi="宋体" w:cs="宋体"/>
      <w:kern w:val="2"/>
      <w:szCs w:val="24"/>
    </w:rPr>
  </w:style>
  <w:style w:type="paragraph" w:styleId="10">
    <w:name w:val="Body Text Indent"/>
    <w:basedOn w:val="1"/>
    <w:next w:val="9"/>
    <w:autoRedefine/>
    <w:qFormat/>
    <w:uiPriority w:val="99"/>
    <w:pPr>
      <w:spacing w:afterLines="50" w:line="360" w:lineRule="exact"/>
      <w:ind w:firstLine="480" w:firstLineChars="200"/>
    </w:pPr>
    <w:rPr>
      <w:rFonts w:hAnsi="宋体"/>
      <w:szCs w:val="24"/>
    </w:rPr>
  </w:style>
  <w:style w:type="paragraph" w:styleId="11">
    <w:name w:val="toc 3"/>
    <w:basedOn w:val="1"/>
    <w:next w:val="1"/>
    <w:autoRedefine/>
    <w:qFormat/>
    <w:uiPriority w:val="0"/>
    <w:pPr>
      <w:ind w:left="840" w:leftChars="400"/>
    </w:pPr>
  </w:style>
  <w:style w:type="paragraph" w:styleId="12">
    <w:name w:val="Plain Text"/>
    <w:basedOn w:val="1"/>
    <w:autoRedefine/>
    <w:qFormat/>
    <w:uiPriority w:val="0"/>
    <w:rPr>
      <w:rFonts w:hAnsi="Courier New"/>
      <w:kern w:val="2"/>
      <w:sz w:val="21"/>
    </w:rPr>
  </w:style>
  <w:style w:type="paragraph" w:styleId="13">
    <w:name w:val="Balloon Text"/>
    <w:basedOn w:val="1"/>
    <w:link w:val="40"/>
    <w:qFormat/>
    <w:uiPriority w:val="0"/>
    <w:rPr>
      <w:sz w:val="18"/>
      <w:szCs w:val="18"/>
    </w:rPr>
  </w:style>
  <w:style w:type="paragraph" w:styleId="14">
    <w:name w:val="footer"/>
    <w:basedOn w:val="1"/>
    <w:autoRedefine/>
    <w:qFormat/>
    <w:uiPriority w:val="99"/>
    <w:pPr>
      <w:tabs>
        <w:tab w:val="center" w:pos="4153"/>
        <w:tab w:val="right" w:pos="8306"/>
      </w:tabs>
      <w:snapToGrid w:val="0"/>
      <w:jc w:val="left"/>
    </w:pPr>
    <w:rPr>
      <w:rFonts w:ascii="Calibri"/>
      <w:kern w:val="2"/>
      <w:sz w:val="18"/>
      <w:szCs w:val="18"/>
    </w:rPr>
  </w:style>
  <w:style w:type="paragraph" w:styleId="15">
    <w:name w:val="header"/>
    <w:basedOn w:val="1"/>
    <w:autoRedefine/>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6">
    <w:name w:val="toc 1"/>
    <w:basedOn w:val="1"/>
    <w:next w:val="1"/>
    <w:autoRedefine/>
    <w:unhideWhenUsed/>
    <w:qFormat/>
    <w:uiPriority w:val="39"/>
  </w:style>
  <w:style w:type="paragraph" w:styleId="17">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18">
    <w:name w:val="toc 2"/>
    <w:basedOn w:val="1"/>
    <w:next w:val="1"/>
    <w:autoRedefine/>
    <w:unhideWhenUsed/>
    <w:qFormat/>
    <w:uiPriority w:val="39"/>
    <w:pPr>
      <w:ind w:left="420" w:leftChars="200"/>
    </w:pPr>
  </w:style>
  <w:style w:type="paragraph" w:styleId="19">
    <w:name w:val="Normal (Web)"/>
    <w:basedOn w:val="1"/>
    <w:autoRedefine/>
    <w:qFormat/>
    <w:uiPriority w:val="0"/>
    <w:pPr>
      <w:widowControl/>
      <w:spacing w:before="100" w:beforeAutospacing="1" w:after="100" w:afterAutospacing="1"/>
      <w:jc w:val="left"/>
    </w:pPr>
    <w:rPr>
      <w:rFonts w:hAnsi="宋体"/>
      <w:szCs w:val="24"/>
    </w:rPr>
  </w:style>
  <w:style w:type="paragraph" w:styleId="20">
    <w:name w:val="Body Text First Indent"/>
    <w:basedOn w:val="9"/>
    <w:unhideWhenUsed/>
    <w:qFormat/>
    <w:uiPriority w:val="99"/>
    <w:pPr>
      <w:ind w:firstLine="420" w:firstLineChars="100"/>
    </w:pPr>
  </w:style>
  <w:style w:type="paragraph" w:styleId="21">
    <w:name w:val="Body Text First Indent 2"/>
    <w:basedOn w:val="10"/>
    <w:next w:val="1"/>
    <w:autoRedefine/>
    <w:qFormat/>
    <w:uiPriority w:val="0"/>
    <w:pPr>
      <w:ind w:firstLine="420"/>
    </w:p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autoRedefine/>
    <w:qFormat/>
    <w:uiPriority w:val="22"/>
    <w:rPr>
      <w:b/>
      <w:bCs/>
    </w:rPr>
  </w:style>
  <w:style w:type="character" w:styleId="26">
    <w:name w:val="Hyperlink"/>
    <w:basedOn w:val="24"/>
    <w:autoRedefine/>
    <w:qFormat/>
    <w:uiPriority w:val="0"/>
    <w:rPr>
      <w:color w:val="0000FF"/>
      <w:u w:val="single"/>
    </w:rPr>
  </w:style>
  <w:style w:type="character" w:styleId="27">
    <w:name w:val="annotation reference"/>
    <w:basedOn w:val="24"/>
    <w:qFormat/>
    <w:uiPriority w:val="0"/>
    <w:rPr>
      <w:sz w:val="21"/>
      <w:szCs w:val="21"/>
    </w:rPr>
  </w:style>
  <w:style w:type="paragraph" w:customStyle="1" w:styleId="28">
    <w:name w:val="样式 10 磅"/>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29">
    <w:name w:val="正文1"/>
    <w:autoRedefine/>
    <w:qFormat/>
    <w:uiPriority w:val="0"/>
    <w:pPr>
      <w:widowControl w:val="0"/>
      <w:adjustRightInd w:val="0"/>
      <w:spacing w:line="315" w:lineRule="atLeast"/>
      <w:textAlignment w:val="baseline"/>
    </w:pPr>
    <w:rPr>
      <w:rFonts w:ascii="宋体" w:hAnsi="Calibri" w:eastAsia="宋体" w:cs="Times New Roman"/>
      <w:color w:val="FF0000"/>
      <w:sz w:val="24"/>
      <w:lang w:val="en-US" w:eastAsia="zh-CN" w:bidi="ar-SA"/>
    </w:rPr>
  </w:style>
  <w:style w:type="character" w:customStyle="1" w:styleId="30">
    <w:name w:val="标题 1 Char"/>
    <w:link w:val="2"/>
    <w:autoRedefine/>
    <w:qFormat/>
    <w:uiPriority w:val="0"/>
    <w:rPr>
      <w:rFonts w:ascii="仿宋_GB2312" w:hAnsi="宋体" w:eastAsia="仿宋_GB2312"/>
      <w:b/>
      <w:kern w:val="2"/>
      <w:sz w:val="32"/>
    </w:rPr>
  </w:style>
  <w:style w:type="paragraph" w:customStyle="1" w:styleId="31">
    <w:name w:val="MessageHeader"/>
    <w:basedOn w:val="1"/>
    <w:next w:val="32"/>
    <w:autoRedefine/>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kern w:val="2"/>
      <w:sz w:val="28"/>
    </w:rPr>
  </w:style>
  <w:style w:type="paragraph" w:customStyle="1" w:styleId="32">
    <w:name w:val="BodyText"/>
    <w:basedOn w:val="1"/>
    <w:next w:val="1"/>
    <w:autoRedefine/>
    <w:qFormat/>
    <w:uiPriority w:val="0"/>
    <w:pPr>
      <w:jc w:val="center"/>
      <w:textAlignment w:val="baseline"/>
    </w:pPr>
  </w:style>
  <w:style w:type="paragraph" w:customStyle="1" w:styleId="33">
    <w:name w:val="列出段落1"/>
    <w:basedOn w:val="1"/>
    <w:autoRedefine/>
    <w:qFormat/>
    <w:uiPriority w:val="34"/>
    <w:pPr>
      <w:ind w:firstLine="420" w:firstLineChars="200"/>
    </w:pPr>
  </w:style>
  <w:style w:type="paragraph" w:customStyle="1" w:styleId="34">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35">
    <w:name w:val="表格文字中"/>
    <w:basedOn w:val="1"/>
    <w:autoRedefine/>
    <w:qFormat/>
    <w:uiPriority w:val="0"/>
    <w:pPr>
      <w:adjustRightInd w:val="0"/>
      <w:snapToGrid w:val="0"/>
      <w:ind w:left="22" w:leftChars="8"/>
      <w:jc w:val="center"/>
    </w:pPr>
    <w:rPr>
      <w:szCs w:val="24"/>
    </w:rPr>
  </w:style>
  <w:style w:type="paragraph" w:customStyle="1" w:styleId="36">
    <w:name w:val="Char1"/>
    <w:basedOn w:val="1"/>
    <w:autoRedefine/>
    <w:qFormat/>
    <w:uiPriority w:val="0"/>
    <w:pPr>
      <w:tabs>
        <w:tab w:val="left" w:pos="360"/>
      </w:tabs>
      <w:ind w:left="360" w:hanging="360" w:hangingChars="200"/>
    </w:pPr>
    <w:rPr>
      <w:szCs w:val="24"/>
    </w:rPr>
  </w:style>
  <w:style w:type="paragraph" w:customStyle="1" w:styleId="37">
    <w:name w:val="列出段落11"/>
    <w:basedOn w:val="1"/>
    <w:autoRedefine/>
    <w:qFormat/>
    <w:uiPriority w:val="34"/>
    <w:pPr>
      <w:ind w:firstLine="420" w:firstLineChars="200"/>
    </w:pPr>
    <w:rPr>
      <w:rFonts w:ascii="Calibri" w:hAnsi="Calibri"/>
      <w:szCs w:val="22"/>
    </w:rPr>
  </w:style>
  <w:style w:type="paragraph" w:customStyle="1" w:styleId="38">
    <w:name w:val="列表段落1"/>
    <w:basedOn w:val="1"/>
    <w:autoRedefine/>
    <w:qFormat/>
    <w:uiPriority w:val="99"/>
    <w:pPr>
      <w:ind w:firstLine="420" w:firstLineChars="200"/>
    </w:pPr>
  </w:style>
  <w:style w:type="paragraph" w:customStyle="1" w:styleId="39">
    <w:name w:val="Table Paragraph"/>
    <w:basedOn w:val="1"/>
    <w:autoRedefine/>
    <w:qFormat/>
    <w:uiPriority w:val="1"/>
    <w:pPr>
      <w:autoSpaceDE w:val="0"/>
      <w:autoSpaceDN w:val="0"/>
      <w:jc w:val="left"/>
    </w:pPr>
    <w:rPr>
      <w:rFonts w:hAnsi="宋体" w:cs="宋体"/>
      <w:sz w:val="22"/>
      <w:szCs w:val="22"/>
      <w:lang w:val="zh-CN"/>
    </w:rPr>
  </w:style>
  <w:style w:type="character" w:customStyle="1" w:styleId="40">
    <w:name w:val="批注框文本 Char"/>
    <w:basedOn w:val="24"/>
    <w:link w:val="13"/>
    <w:qFormat/>
    <w:uiPriority w:val="0"/>
    <w:rPr>
      <w:rFonts w:ascii="宋体"/>
      <w:sz w:val="18"/>
      <w:szCs w:val="18"/>
    </w:rPr>
  </w:style>
  <w:style w:type="paragraph" w:customStyle="1" w:styleId="41">
    <w:name w:val="样式1"/>
    <w:basedOn w:val="1"/>
    <w:qFormat/>
    <w:uiPriority w:val="0"/>
    <w:pPr>
      <w:spacing w:line="560" w:lineRule="exact"/>
      <w:ind w:firstLine="560" w:firstLineChars="200"/>
    </w:pPr>
    <w:rPr>
      <w:rFonts w:ascii="仿宋_GB2312" w:hAnsi="宋体" w:eastAsia="仿宋_GB2312"/>
      <w:color w:val="000000"/>
      <w:sz w:val="28"/>
      <w:szCs w:val="28"/>
    </w:rPr>
  </w:style>
  <w:style w:type="paragraph" w:customStyle="1" w:styleId="42">
    <w:name w:val="表"/>
    <w:basedOn w:val="1"/>
    <w:next w:val="1"/>
    <w:qFormat/>
    <w:uiPriority w:val="0"/>
    <w:pPr>
      <w:spacing w:line="240" w:lineRule="auto"/>
      <w:ind w:firstLine="0" w:firstLineChars="0"/>
      <w:jc w:val="center"/>
    </w:pPr>
    <w:rPr>
      <w:rFonts w:ascii="Times New Roman" w:hAnsi="Times New Roman"/>
      <w:b/>
      <w:sz w:val="24"/>
    </w:rPr>
  </w:style>
  <w:style w:type="paragraph" w:customStyle="1" w:styleId="43">
    <w:name w:val="null3"/>
    <w:hidden/>
    <w:qFormat/>
    <w:uiPriority w:val="0"/>
    <w:rPr>
      <w:rFonts w:hint="eastAsia" w:asciiTheme="minorHAnsi" w:hAnsiTheme="minorHAnsi" w:eastAsiaTheme="minorEastAsia" w:cstheme="minorBidi"/>
      <w:lang w:val="en-US" w:eastAsia="zh-Hans"/>
    </w:rPr>
  </w:style>
  <w:style w:type="paragraph" w:customStyle="1" w:styleId="44">
    <w:name w:val="默认"/>
    <w:qFormat/>
    <w:uiPriority w:val="0"/>
    <w:rPr>
      <w:rFonts w:ascii="Helvetica Neue" w:hAnsi="Arial Unicode MS" w:eastAsia="Helvetica Neue" w:cs="Times New Roman"/>
      <w:color w:val="000000"/>
      <w:sz w:val="22"/>
      <w:lang w:val="zh-CN" w:eastAsia="zh-CN" w:bidi="ar-SA"/>
    </w:rPr>
  </w:style>
  <w:style w:type="paragraph" w:styleId="45">
    <w:name w:val="List Paragraph"/>
    <w:basedOn w:val="1"/>
    <w:unhideWhenUsed/>
    <w:qFormat/>
    <w:uiPriority w:val="99"/>
    <w:pPr>
      <w:ind w:firstLine="420" w:firstLineChars="200"/>
    </w:pPr>
  </w:style>
  <w:style w:type="paragraph" w:customStyle="1" w:styleId="46">
    <w:name w:val="目录"/>
    <w:basedOn w:val="1"/>
    <w:qFormat/>
    <w:uiPriority w:val="0"/>
    <w:pPr>
      <w:widowControl/>
      <w:jc w:val="center"/>
    </w:pPr>
    <w:rPr>
      <w:rFonts w:ascii="宋体"/>
      <w:b/>
      <w:kern w:val="0"/>
      <w:sz w:val="36"/>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74</Pages>
  <Words>18517</Words>
  <Characters>20051</Characters>
  <Lines>1</Lines>
  <Paragraphs>1</Paragraphs>
  <TotalTime>4</TotalTime>
  <ScaleCrop>false</ScaleCrop>
  <LinksUpToDate>false</LinksUpToDate>
  <CharactersWithSpaces>20184</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救赎</cp:lastModifiedBy>
  <cp:lastPrinted>2026-07-01T01:47:00Z</cp:lastPrinted>
  <dcterms:modified xsi:type="dcterms:W3CDTF">2026-10-20T03:25:50Z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537B289E506D4C9CA0FC83F5ACDEB70A_13</vt:lpwstr>
  </property>
  <property fmtid="{D5CDD505-2E9C-101B-9397-08002B2CF9AE}" pid="4" name="KSOTemplateDocerSaveRecord">
    <vt:lpwstr>eyJoZGlkIjoiYWY2MDIyMzQzYjM2ODQxODVjMmE5N2Y0OWY1OGFkNTYiLCJ1c2VySWQiOiIxNTU5MDg0MTUyIn0=</vt:lpwstr>
  </property>
</Properties>
</file>