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CA5645">
      <w:pPr>
        <w:pStyle w:val="15"/>
        <w:jc w:val="center"/>
        <w:outlineLvl w:val="1"/>
      </w:pPr>
      <w:r>
        <w:rPr>
          <w:rFonts w:ascii="仿宋_GB2312" w:hAnsi="仿宋_GB2312" w:eastAsia="仿宋_GB2312" w:cs="仿宋_GB2312"/>
          <w:b/>
          <w:sz w:val="36"/>
        </w:rPr>
        <w:t>招标项目技术、服务、商务及其他要求</w:t>
      </w:r>
    </w:p>
    <w:p w14:paraId="2D62D1F8">
      <w:pPr>
        <w:pStyle w:val="15"/>
        <w:ind w:firstLine="480"/>
        <w:rPr>
          <w:rFonts w:ascii="仿宋_GB2312" w:hAnsi="仿宋_GB2312" w:eastAsia="仿宋_GB2312" w:cs="仿宋_GB2312"/>
        </w:rPr>
      </w:pPr>
      <w:bookmarkStart w:id="0" w:name="_GoBack"/>
      <w:bookmarkEnd w:id="0"/>
    </w:p>
    <w:p w14:paraId="6F083196">
      <w:pPr>
        <w:pStyle w:val="15"/>
        <w:outlineLvl w:val="2"/>
        <w:rPr>
          <w:sz w:val="21"/>
          <w:szCs w:val="21"/>
        </w:rPr>
      </w:pPr>
      <w:r>
        <w:rPr>
          <w:rFonts w:ascii="仿宋_GB2312" w:hAnsi="仿宋_GB2312" w:eastAsia="仿宋_GB2312" w:cs="仿宋_GB2312"/>
          <w:b/>
          <w:sz w:val="21"/>
          <w:szCs w:val="21"/>
        </w:rPr>
        <w:t>1</w:t>
      </w:r>
      <w:r>
        <w:rPr>
          <w:rFonts w:hint="eastAsia" w:ascii="仿宋_GB2312" w:hAnsi="仿宋_GB2312" w:eastAsia="仿宋_GB2312" w:cs="仿宋_GB2312"/>
          <w:b/>
          <w:sz w:val="21"/>
          <w:szCs w:val="21"/>
          <w:lang w:val="en-US" w:eastAsia="zh-CN"/>
        </w:rPr>
        <w:t>.</w:t>
      </w:r>
      <w:r>
        <w:rPr>
          <w:rFonts w:ascii="仿宋_GB2312" w:hAnsi="仿宋_GB2312" w:eastAsia="仿宋_GB2312" w:cs="仿宋_GB2312"/>
          <w:b/>
          <w:sz w:val="21"/>
          <w:szCs w:val="21"/>
        </w:rPr>
        <w:t>采购项目概况</w:t>
      </w:r>
    </w:p>
    <w:p w14:paraId="766311AA">
      <w:pPr>
        <w:pStyle w:val="15"/>
        <w:ind w:firstLine="480"/>
        <w:rPr>
          <w:sz w:val="21"/>
          <w:szCs w:val="21"/>
        </w:rPr>
      </w:pPr>
      <w:r>
        <w:rPr>
          <w:rFonts w:ascii="仿宋_GB2312" w:hAnsi="仿宋_GB2312" w:eastAsia="仿宋_GB2312" w:cs="仿宋_GB2312"/>
          <w:sz w:val="21"/>
          <w:szCs w:val="21"/>
        </w:rPr>
        <w:t>2026年“国球两进”器材配送项目（第二批）划分为2个采购包，其中采购包1拟采购150张室内乒乓球台及3600㎡地胶，采购包2拟采购370张室外乒乓球台。</w:t>
      </w:r>
    </w:p>
    <w:p w14:paraId="4053A492">
      <w:pPr>
        <w:pStyle w:val="15"/>
        <w:outlineLvl w:val="2"/>
        <w:rPr>
          <w:sz w:val="21"/>
          <w:szCs w:val="21"/>
        </w:rPr>
      </w:pPr>
      <w:r>
        <w:rPr>
          <w:rFonts w:ascii="仿宋_GB2312" w:hAnsi="仿宋_GB2312" w:eastAsia="仿宋_GB2312" w:cs="仿宋_GB2312"/>
          <w:b/>
          <w:sz w:val="21"/>
          <w:szCs w:val="21"/>
        </w:rPr>
        <w:t>2</w:t>
      </w:r>
      <w:r>
        <w:rPr>
          <w:rFonts w:hint="eastAsia" w:ascii="仿宋_GB2312" w:hAnsi="仿宋_GB2312" w:eastAsia="仿宋_GB2312" w:cs="仿宋_GB2312"/>
          <w:b/>
          <w:sz w:val="21"/>
          <w:szCs w:val="21"/>
          <w:lang w:val="en-US" w:eastAsia="zh-CN"/>
        </w:rPr>
        <w:t>.</w:t>
      </w:r>
      <w:r>
        <w:rPr>
          <w:rFonts w:ascii="仿宋_GB2312" w:hAnsi="仿宋_GB2312" w:eastAsia="仿宋_GB2312" w:cs="仿宋_GB2312"/>
          <w:b/>
          <w:sz w:val="21"/>
          <w:szCs w:val="21"/>
        </w:rPr>
        <w:t>采购内容</w:t>
      </w:r>
    </w:p>
    <w:p w14:paraId="367420FA">
      <w:pPr>
        <w:pStyle w:val="15"/>
        <w:rPr>
          <w:sz w:val="21"/>
          <w:szCs w:val="21"/>
        </w:rPr>
      </w:pPr>
      <w:r>
        <w:rPr>
          <w:rFonts w:ascii="仿宋_GB2312" w:hAnsi="仿宋_GB2312" w:eastAsia="仿宋_GB2312" w:cs="仿宋_GB2312"/>
          <w:sz w:val="21"/>
          <w:szCs w:val="21"/>
        </w:rPr>
        <w:t>采购包1：</w:t>
      </w:r>
    </w:p>
    <w:p w14:paraId="11BE88D1">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采购包预算金额（元）:1,000,000.00</w:t>
      </w:r>
    </w:p>
    <w:p w14:paraId="1F86F1B0">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采购包最高限价（元）:1,000,000.00</w:t>
      </w:r>
    </w:p>
    <w:p w14:paraId="3F3B7FB5">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供应商报价不允许超过标的金额</w:t>
      </w:r>
    </w:p>
    <w:p w14:paraId="4D9F15EF">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（招单价的）供应商报价不允许超过标的单价</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6705E4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vAlign w:val="center"/>
          </w:tcPr>
          <w:p w14:paraId="179D13CB">
            <w:pPr>
              <w:pStyle w:val="15"/>
              <w:jc w:val="center"/>
            </w:pPr>
            <w:r>
              <w:rPr>
                <w:rFonts w:ascii="仿宋_GB2312" w:hAnsi="仿宋_GB2312" w:eastAsia="仿宋_GB2312" w:cs="仿宋_GB2312"/>
              </w:rPr>
              <w:t>序号</w:t>
            </w:r>
          </w:p>
        </w:tc>
        <w:tc>
          <w:tcPr>
            <w:tcW w:w="755" w:type="dxa"/>
            <w:vAlign w:val="center"/>
          </w:tcPr>
          <w:p w14:paraId="3E98AF21">
            <w:pPr>
              <w:pStyle w:val="15"/>
              <w:jc w:val="center"/>
            </w:pPr>
            <w:r>
              <w:rPr>
                <w:rFonts w:ascii="仿宋_GB2312" w:hAnsi="仿宋_GB2312" w:eastAsia="仿宋_GB2312" w:cs="仿宋_GB2312"/>
              </w:rPr>
              <w:t>标的名称</w:t>
            </w:r>
          </w:p>
        </w:tc>
        <w:tc>
          <w:tcPr>
            <w:tcW w:w="755" w:type="dxa"/>
            <w:vAlign w:val="center"/>
          </w:tcPr>
          <w:p w14:paraId="3BC66C9F">
            <w:pPr>
              <w:pStyle w:val="15"/>
              <w:jc w:val="center"/>
            </w:pPr>
            <w:r>
              <w:rPr>
                <w:rFonts w:ascii="仿宋_GB2312" w:hAnsi="仿宋_GB2312" w:eastAsia="仿宋_GB2312" w:cs="仿宋_GB2312"/>
              </w:rPr>
              <w:t>数量</w:t>
            </w:r>
          </w:p>
        </w:tc>
        <w:tc>
          <w:tcPr>
            <w:tcW w:w="755" w:type="dxa"/>
            <w:vAlign w:val="center"/>
          </w:tcPr>
          <w:p w14:paraId="7F2CAE3A">
            <w:pPr>
              <w:pStyle w:val="15"/>
              <w:jc w:val="center"/>
            </w:pPr>
            <w:r>
              <w:rPr>
                <w:rFonts w:ascii="仿宋_GB2312" w:hAnsi="仿宋_GB2312" w:eastAsia="仿宋_GB2312" w:cs="仿宋_GB2312"/>
              </w:rPr>
              <w:t>标的金额（元）</w:t>
            </w:r>
          </w:p>
        </w:tc>
        <w:tc>
          <w:tcPr>
            <w:tcW w:w="755" w:type="dxa"/>
            <w:vAlign w:val="center"/>
          </w:tcPr>
          <w:p w14:paraId="7AFAABE1">
            <w:pPr>
              <w:pStyle w:val="15"/>
              <w:jc w:val="center"/>
            </w:pPr>
            <w:r>
              <w:rPr>
                <w:rFonts w:ascii="仿宋_GB2312" w:hAnsi="仿宋_GB2312" w:eastAsia="仿宋_GB2312" w:cs="仿宋_GB2312"/>
              </w:rPr>
              <w:t>计量单位</w:t>
            </w:r>
          </w:p>
        </w:tc>
        <w:tc>
          <w:tcPr>
            <w:tcW w:w="755" w:type="dxa"/>
            <w:vAlign w:val="center"/>
          </w:tcPr>
          <w:p w14:paraId="1D1C5D0A">
            <w:pPr>
              <w:pStyle w:val="15"/>
              <w:jc w:val="center"/>
            </w:pPr>
            <w:r>
              <w:rPr>
                <w:rFonts w:ascii="仿宋_GB2312" w:hAnsi="仿宋_GB2312" w:eastAsia="仿宋_GB2312" w:cs="仿宋_GB2312"/>
              </w:rPr>
              <w:t>所属行业</w:t>
            </w:r>
          </w:p>
        </w:tc>
        <w:tc>
          <w:tcPr>
            <w:tcW w:w="755" w:type="dxa"/>
            <w:vAlign w:val="center"/>
          </w:tcPr>
          <w:p w14:paraId="470F3454">
            <w:pPr>
              <w:pStyle w:val="15"/>
              <w:jc w:val="center"/>
            </w:pPr>
            <w:r>
              <w:rPr>
                <w:rFonts w:ascii="仿宋_GB2312" w:hAnsi="仿宋_GB2312" w:eastAsia="仿宋_GB2312" w:cs="仿宋_GB2312"/>
              </w:rPr>
              <w:t>是否核心产品</w:t>
            </w:r>
          </w:p>
        </w:tc>
        <w:tc>
          <w:tcPr>
            <w:tcW w:w="755" w:type="dxa"/>
            <w:vAlign w:val="center"/>
          </w:tcPr>
          <w:p w14:paraId="725486E7">
            <w:pPr>
              <w:pStyle w:val="15"/>
              <w:jc w:val="center"/>
            </w:pPr>
            <w:r>
              <w:rPr>
                <w:rFonts w:ascii="仿宋_GB2312" w:hAnsi="仿宋_GB2312" w:eastAsia="仿宋_GB2312" w:cs="仿宋_GB2312"/>
              </w:rPr>
              <w:t>是否允许进口产品</w:t>
            </w:r>
          </w:p>
        </w:tc>
        <w:tc>
          <w:tcPr>
            <w:tcW w:w="755" w:type="dxa"/>
            <w:vAlign w:val="center"/>
          </w:tcPr>
          <w:p w14:paraId="36DFA8B4">
            <w:pPr>
              <w:pStyle w:val="15"/>
              <w:jc w:val="center"/>
            </w:pPr>
            <w:r>
              <w:rPr>
                <w:rFonts w:ascii="仿宋_GB2312" w:hAnsi="仿宋_GB2312" w:eastAsia="仿宋_GB2312" w:cs="仿宋_GB2312"/>
              </w:rPr>
              <w:t>是否属于节能产品</w:t>
            </w:r>
          </w:p>
        </w:tc>
        <w:tc>
          <w:tcPr>
            <w:tcW w:w="755" w:type="dxa"/>
            <w:vAlign w:val="center"/>
          </w:tcPr>
          <w:p w14:paraId="7DD44CB4">
            <w:pPr>
              <w:pStyle w:val="15"/>
              <w:jc w:val="center"/>
            </w:pPr>
            <w:r>
              <w:rPr>
                <w:rFonts w:ascii="仿宋_GB2312" w:hAnsi="仿宋_GB2312" w:eastAsia="仿宋_GB2312" w:cs="仿宋_GB2312"/>
              </w:rPr>
              <w:t>是否属于环境标志产品</w:t>
            </w:r>
          </w:p>
        </w:tc>
        <w:tc>
          <w:tcPr>
            <w:tcW w:w="755" w:type="dxa"/>
            <w:vAlign w:val="center"/>
          </w:tcPr>
          <w:p w14:paraId="511DB47E">
            <w:pPr>
              <w:pStyle w:val="15"/>
              <w:jc w:val="center"/>
            </w:pPr>
            <w:r>
              <w:rPr>
                <w:rFonts w:ascii="仿宋_GB2312" w:hAnsi="仿宋_GB2312" w:eastAsia="仿宋_GB2312" w:cs="仿宋_GB2312"/>
              </w:rPr>
              <w:t>是否实施本国产品政策</w:t>
            </w:r>
          </w:p>
        </w:tc>
      </w:tr>
      <w:tr w14:paraId="0D9E8B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vAlign w:val="center"/>
          </w:tcPr>
          <w:p w14:paraId="740F6EDC">
            <w:pPr>
              <w:pStyle w:val="15"/>
              <w:jc w:val="center"/>
            </w:pPr>
            <w:r>
              <w:rPr>
                <w:rFonts w:ascii="仿宋_GB2312" w:hAnsi="仿宋_GB2312" w:eastAsia="仿宋_GB2312" w:cs="仿宋_GB2312"/>
              </w:rPr>
              <w:t>1</w:t>
            </w:r>
          </w:p>
        </w:tc>
        <w:tc>
          <w:tcPr>
            <w:tcW w:w="755" w:type="dxa"/>
            <w:vAlign w:val="center"/>
          </w:tcPr>
          <w:p w14:paraId="613833EB">
            <w:pPr>
              <w:pStyle w:val="15"/>
              <w:jc w:val="center"/>
            </w:pPr>
            <w:r>
              <w:rPr>
                <w:rFonts w:ascii="仿宋_GB2312" w:hAnsi="仿宋_GB2312" w:eastAsia="仿宋_GB2312" w:cs="仿宋_GB2312"/>
              </w:rPr>
              <w:t>健身器材</w:t>
            </w:r>
          </w:p>
        </w:tc>
        <w:tc>
          <w:tcPr>
            <w:tcW w:w="755" w:type="dxa"/>
            <w:vAlign w:val="center"/>
          </w:tcPr>
          <w:p w14:paraId="50AA1B2D">
            <w:pPr>
              <w:pStyle w:val="15"/>
              <w:jc w:val="center"/>
            </w:pPr>
            <w:r>
              <w:rPr>
                <w:rFonts w:ascii="仿宋_GB2312" w:hAnsi="仿宋_GB2312" w:eastAsia="仿宋_GB2312" w:cs="仿宋_GB2312"/>
              </w:rPr>
              <w:t>1.00</w:t>
            </w:r>
          </w:p>
        </w:tc>
        <w:tc>
          <w:tcPr>
            <w:tcW w:w="755" w:type="dxa"/>
            <w:vAlign w:val="center"/>
          </w:tcPr>
          <w:p w14:paraId="43970482">
            <w:pPr>
              <w:pStyle w:val="15"/>
              <w:jc w:val="center"/>
            </w:pPr>
            <w:r>
              <w:rPr>
                <w:rFonts w:ascii="仿宋_GB2312" w:hAnsi="仿宋_GB2312" w:eastAsia="仿宋_GB2312" w:cs="仿宋_GB2312"/>
              </w:rPr>
              <w:t>1,000,000.00</w:t>
            </w:r>
          </w:p>
        </w:tc>
        <w:tc>
          <w:tcPr>
            <w:tcW w:w="755" w:type="dxa"/>
            <w:vAlign w:val="center"/>
          </w:tcPr>
          <w:p w14:paraId="708032AA">
            <w:pPr>
              <w:pStyle w:val="15"/>
              <w:jc w:val="center"/>
            </w:pPr>
            <w:r>
              <w:rPr>
                <w:rFonts w:ascii="仿宋_GB2312" w:hAnsi="仿宋_GB2312" w:eastAsia="仿宋_GB2312" w:cs="仿宋_GB2312"/>
              </w:rPr>
              <w:t>批</w:t>
            </w:r>
          </w:p>
        </w:tc>
        <w:tc>
          <w:tcPr>
            <w:tcW w:w="755" w:type="dxa"/>
            <w:vAlign w:val="center"/>
          </w:tcPr>
          <w:p w14:paraId="4FBD967B">
            <w:pPr>
              <w:pStyle w:val="15"/>
              <w:jc w:val="center"/>
            </w:pPr>
            <w:r>
              <w:rPr>
                <w:rFonts w:ascii="仿宋_GB2312" w:hAnsi="仿宋_GB2312" w:eastAsia="仿宋_GB2312" w:cs="仿宋_GB2312"/>
              </w:rPr>
              <w:t>工业</w:t>
            </w:r>
          </w:p>
        </w:tc>
        <w:tc>
          <w:tcPr>
            <w:tcW w:w="755" w:type="dxa"/>
            <w:vAlign w:val="center"/>
          </w:tcPr>
          <w:p w14:paraId="7664C0D9">
            <w:pPr>
              <w:pStyle w:val="15"/>
              <w:jc w:val="center"/>
            </w:pPr>
            <w:r>
              <w:rPr>
                <w:rFonts w:ascii="仿宋_GB2312" w:hAnsi="仿宋_GB2312" w:eastAsia="仿宋_GB2312" w:cs="仿宋_GB2312"/>
              </w:rPr>
              <w:t>否</w:t>
            </w:r>
          </w:p>
        </w:tc>
        <w:tc>
          <w:tcPr>
            <w:tcW w:w="755" w:type="dxa"/>
            <w:vAlign w:val="center"/>
          </w:tcPr>
          <w:p w14:paraId="6FDF8BD3">
            <w:pPr>
              <w:pStyle w:val="15"/>
              <w:jc w:val="center"/>
            </w:pPr>
            <w:r>
              <w:rPr>
                <w:rFonts w:ascii="仿宋_GB2312" w:hAnsi="仿宋_GB2312" w:eastAsia="仿宋_GB2312" w:cs="仿宋_GB2312"/>
              </w:rPr>
              <w:t>否</w:t>
            </w:r>
          </w:p>
        </w:tc>
        <w:tc>
          <w:tcPr>
            <w:tcW w:w="755" w:type="dxa"/>
            <w:vAlign w:val="center"/>
          </w:tcPr>
          <w:p w14:paraId="227E3BC4">
            <w:pPr>
              <w:pStyle w:val="15"/>
              <w:jc w:val="center"/>
            </w:pPr>
            <w:r>
              <w:rPr>
                <w:rFonts w:ascii="仿宋_GB2312" w:hAnsi="仿宋_GB2312" w:eastAsia="仿宋_GB2312" w:cs="仿宋_GB2312"/>
              </w:rPr>
              <w:t>否</w:t>
            </w:r>
          </w:p>
        </w:tc>
        <w:tc>
          <w:tcPr>
            <w:tcW w:w="755" w:type="dxa"/>
            <w:vAlign w:val="center"/>
          </w:tcPr>
          <w:p w14:paraId="3C371894">
            <w:pPr>
              <w:pStyle w:val="15"/>
              <w:jc w:val="center"/>
            </w:pPr>
            <w:r>
              <w:rPr>
                <w:rFonts w:ascii="仿宋_GB2312" w:hAnsi="仿宋_GB2312" w:eastAsia="仿宋_GB2312" w:cs="仿宋_GB2312"/>
              </w:rPr>
              <w:t>否</w:t>
            </w:r>
          </w:p>
        </w:tc>
        <w:tc>
          <w:tcPr>
            <w:tcW w:w="755" w:type="dxa"/>
            <w:vAlign w:val="center"/>
          </w:tcPr>
          <w:p w14:paraId="41880644">
            <w:pPr>
              <w:pStyle w:val="15"/>
              <w:jc w:val="center"/>
            </w:pPr>
            <w:r>
              <w:rPr>
                <w:rFonts w:ascii="仿宋_GB2312" w:hAnsi="仿宋_GB2312" w:eastAsia="仿宋_GB2312" w:cs="仿宋_GB2312"/>
              </w:rPr>
              <w:t>是</w:t>
            </w:r>
          </w:p>
        </w:tc>
      </w:tr>
    </w:tbl>
    <w:p w14:paraId="29DFB7D0">
      <w:pPr>
        <w:pStyle w:val="15"/>
      </w:pPr>
      <w:r>
        <w:rPr>
          <w:rFonts w:ascii="仿宋_GB2312" w:hAnsi="仿宋_GB2312" w:eastAsia="仿宋_GB2312" w:cs="仿宋_GB2312"/>
        </w:rPr>
        <w:t>采购包2：</w:t>
      </w:r>
    </w:p>
    <w:p w14:paraId="0E38E259">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采购包预算金额（元）:1,000,000.00</w:t>
      </w:r>
    </w:p>
    <w:p w14:paraId="5836857A">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采购包最高限价（元）:1,000,000.00</w:t>
      </w:r>
    </w:p>
    <w:p w14:paraId="7833BCBF">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供应商报价不允许超过标的金额</w:t>
      </w:r>
    </w:p>
    <w:p w14:paraId="5F1D1F14">
      <w:pPr>
        <w:pStyle w:val="15"/>
        <w:ind w:firstLine="480"/>
        <w:rPr>
          <w:rFonts w:ascii="仿宋_GB2312" w:hAnsi="仿宋_GB2312" w:eastAsia="仿宋_GB2312" w:cs="仿宋_GB2312"/>
          <w:sz w:val="21"/>
          <w:szCs w:val="21"/>
        </w:rPr>
      </w:pPr>
      <w:r>
        <w:rPr>
          <w:rFonts w:ascii="仿宋_GB2312" w:hAnsi="仿宋_GB2312" w:eastAsia="仿宋_GB2312" w:cs="仿宋_GB2312"/>
          <w:sz w:val="21"/>
          <w:szCs w:val="21"/>
        </w:rPr>
        <w:t>（招单价的）供应商报价不允许超过标的单价</w:t>
      </w:r>
    </w:p>
    <w:tbl>
      <w:tblPr>
        <w:tblStyle w:val="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394251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vAlign w:val="center"/>
          </w:tcPr>
          <w:p w14:paraId="6186CCFF">
            <w:pPr>
              <w:pStyle w:val="15"/>
              <w:jc w:val="center"/>
            </w:pPr>
            <w:r>
              <w:rPr>
                <w:rFonts w:ascii="仿宋_GB2312" w:hAnsi="仿宋_GB2312" w:eastAsia="仿宋_GB2312" w:cs="仿宋_GB2312"/>
              </w:rPr>
              <w:t>序号</w:t>
            </w:r>
          </w:p>
        </w:tc>
        <w:tc>
          <w:tcPr>
            <w:tcW w:w="755" w:type="dxa"/>
            <w:vAlign w:val="center"/>
          </w:tcPr>
          <w:p w14:paraId="3DF21205">
            <w:pPr>
              <w:pStyle w:val="15"/>
              <w:jc w:val="center"/>
            </w:pPr>
            <w:r>
              <w:rPr>
                <w:rFonts w:ascii="仿宋_GB2312" w:hAnsi="仿宋_GB2312" w:eastAsia="仿宋_GB2312" w:cs="仿宋_GB2312"/>
              </w:rPr>
              <w:t>标的名称</w:t>
            </w:r>
          </w:p>
        </w:tc>
        <w:tc>
          <w:tcPr>
            <w:tcW w:w="755" w:type="dxa"/>
            <w:vAlign w:val="center"/>
          </w:tcPr>
          <w:p w14:paraId="57E0BEA3">
            <w:pPr>
              <w:pStyle w:val="15"/>
              <w:jc w:val="center"/>
            </w:pPr>
            <w:r>
              <w:rPr>
                <w:rFonts w:ascii="仿宋_GB2312" w:hAnsi="仿宋_GB2312" w:eastAsia="仿宋_GB2312" w:cs="仿宋_GB2312"/>
              </w:rPr>
              <w:t>数量</w:t>
            </w:r>
          </w:p>
        </w:tc>
        <w:tc>
          <w:tcPr>
            <w:tcW w:w="755" w:type="dxa"/>
            <w:vAlign w:val="center"/>
          </w:tcPr>
          <w:p w14:paraId="5C648D38">
            <w:pPr>
              <w:pStyle w:val="15"/>
              <w:jc w:val="center"/>
            </w:pPr>
            <w:r>
              <w:rPr>
                <w:rFonts w:ascii="仿宋_GB2312" w:hAnsi="仿宋_GB2312" w:eastAsia="仿宋_GB2312" w:cs="仿宋_GB2312"/>
              </w:rPr>
              <w:t>标的金额（元）</w:t>
            </w:r>
          </w:p>
        </w:tc>
        <w:tc>
          <w:tcPr>
            <w:tcW w:w="755" w:type="dxa"/>
            <w:vAlign w:val="center"/>
          </w:tcPr>
          <w:p w14:paraId="505E8A45">
            <w:pPr>
              <w:pStyle w:val="15"/>
              <w:jc w:val="center"/>
            </w:pPr>
            <w:r>
              <w:rPr>
                <w:rFonts w:ascii="仿宋_GB2312" w:hAnsi="仿宋_GB2312" w:eastAsia="仿宋_GB2312" w:cs="仿宋_GB2312"/>
              </w:rPr>
              <w:t>计量单位</w:t>
            </w:r>
          </w:p>
        </w:tc>
        <w:tc>
          <w:tcPr>
            <w:tcW w:w="755" w:type="dxa"/>
            <w:vAlign w:val="center"/>
          </w:tcPr>
          <w:p w14:paraId="3F21125D">
            <w:pPr>
              <w:pStyle w:val="15"/>
              <w:jc w:val="center"/>
            </w:pPr>
            <w:r>
              <w:rPr>
                <w:rFonts w:ascii="仿宋_GB2312" w:hAnsi="仿宋_GB2312" w:eastAsia="仿宋_GB2312" w:cs="仿宋_GB2312"/>
              </w:rPr>
              <w:t>所属行业</w:t>
            </w:r>
          </w:p>
        </w:tc>
        <w:tc>
          <w:tcPr>
            <w:tcW w:w="755" w:type="dxa"/>
            <w:vAlign w:val="center"/>
          </w:tcPr>
          <w:p w14:paraId="68442A5C">
            <w:pPr>
              <w:pStyle w:val="15"/>
              <w:jc w:val="center"/>
            </w:pPr>
            <w:r>
              <w:rPr>
                <w:rFonts w:ascii="仿宋_GB2312" w:hAnsi="仿宋_GB2312" w:eastAsia="仿宋_GB2312" w:cs="仿宋_GB2312"/>
              </w:rPr>
              <w:t>是否核心产品</w:t>
            </w:r>
          </w:p>
        </w:tc>
        <w:tc>
          <w:tcPr>
            <w:tcW w:w="755" w:type="dxa"/>
            <w:vAlign w:val="center"/>
          </w:tcPr>
          <w:p w14:paraId="2FF659D5">
            <w:pPr>
              <w:pStyle w:val="15"/>
              <w:jc w:val="center"/>
            </w:pPr>
            <w:r>
              <w:rPr>
                <w:rFonts w:ascii="仿宋_GB2312" w:hAnsi="仿宋_GB2312" w:eastAsia="仿宋_GB2312" w:cs="仿宋_GB2312"/>
              </w:rPr>
              <w:t>是否允许进口产品</w:t>
            </w:r>
          </w:p>
        </w:tc>
        <w:tc>
          <w:tcPr>
            <w:tcW w:w="755" w:type="dxa"/>
            <w:vAlign w:val="center"/>
          </w:tcPr>
          <w:p w14:paraId="1D19C623">
            <w:pPr>
              <w:pStyle w:val="15"/>
              <w:jc w:val="center"/>
            </w:pPr>
            <w:r>
              <w:rPr>
                <w:rFonts w:ascii="仿宋_GB2312" w:hAnsi="仿宋_GB2312" w:eastAsia="仿宋_GB2312" w:cs="仿宋_GB2312"/>
              </w:rPr>
              <w:t>是否属于节能产品</w:t>
            </w:r>
          </w:p>
        </w:tc>
        <w:tc>
          <w:tcPr>
            <w:tcW w:w="755" w:type="dxa"/>
            <w:vAlign w:val="center"/>
          </w:tcPr>
          <w:p w14:paraId="51D8DE02">
            <w:pPr>
              <w:pStyle w:val="15"/>
              <w:jc w:val="center"/>
            </w:pPr>
            <w:r>
              <w:rPr>
                <w:rFonts w:ascii="仿宋_GB2312" w:hAnsi="仿宋_GB2312" w:eastAsia="仿宋_GB2312" w:cs="仿宋_GB2312"/>
              </w:rPr>
              <w:t>是否属于环境标志产品</w:t>
            </w:r>
          </w:p>
        </w:tc>
        <w:tc>
          <w:tcPr>
            <w:tcW w:w="755" w:type="dxa"/>
            <w:vAlign w:val="center"/>
          </w:tcPr>
          <w:p w14:paraId="1DAEC5FC">
            <w:pPr>
              <w:pStyle w:val="15"/>
              <w:jc w:val="center"/>
            </w:pPr>
            <w:r>
              <w:rPr>
                <w:rFonts w:ascii="仿宋_GB2312" w:hAnsi="仿宋_GB2312" w:eastAsia="仿宋_GB2312" w:cs="仿宋_GB2312"/>
              </w:rPr>
              <w:t>是否实施本国产品政策</w:t>
            </w:r>
          </w:p>
        </w:tc>
      </w:tr>
      <w:tr w14:paraId="31731A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vAlign w:val="center"/>
          </w:tcPr>
          <w:p w14:paraId="4022E546">
            <w:pPr>
              <w:pStyle w:val="15"/>
              <w:jc w:val="center"/>
            </w:pPr>
            <w:r>
              <w:rPr>
                <w:rFonts w:ascii="仿宋_GB2312" w:hAnsi="仿宋_GB2312" w:eastAsia="仿宋_GB2312" w:cs="仿宋_GB2312"/>
              </w:rPr>
              <w:t>1</w:t>
            </w:r>
          </w:p>
        </w:tc>
        <w:tc>
          <w:tcPr>
            <w:tcW w:w="755" w:type="dxa"/>
            <w:vAlign w:val="center"/>
          </w:tcPr>
          <w:p w14:paraId="68B56DEA">
            <w:pPr>
              <w:pStyle w:val="15"/>
              <w:jc w:val="center"/>
            </w:pPr>
            <w:r>
              <w:rPr>
                <w:rFonts w:ascii="仿宋_GB2312" w:hAnsi="仿宋_GB2312" w:eastAsia="仿宋_GB2312" w:cs="仿宋_GB2312"/>
              </w:rPr>
              <w:t>健身设备</w:t>
            </w:r>
          </w:p>
        </w:tc>
        <w:tc>
          <w:tcPr>
            <w:tcW w:w="755" w:type="dxa"/>
            <w:vAlign w:val="center"/>
          </w:tcPr>
          <w:p w14:paraId="673AFB8D">
            <w:pPr>
              <w:pStyle w:val="15"/>
              <w:jc w:val="center"/>
            </w:pPr>
            <w:r>
              <w:rPr>
                <w:rFonts w:ascii="仿宋_GB2312" w:hAnsi="仿宋_GB2312" w:eastAsia="仿宋_GB2312" w:cs="仿宋_GB2312"/>
              </w:rPr>
              <w:t>1.00</w:t>
            </w:r>
          </w:p>
        </w:tc>
        <w:tc>
          <w:tcPr>
            <w:tcW w:w="755" w:type="dxa"/>
            <w:vAlign w:val="center"/>
          </w:tcPr>
          <w:p w14:paraId="2AA3C116">
            <w:pPr>
              <w:pStyle w:val="15"/>
              <w:jc w:val="center"/>
            </w:pPr>
            <w:r>
              <w:rPr>
                <w:rFonts w:ascii="仿宋_GB2312" w:hAnsi="仿宋_GB2312" w:eastAsia="仿宋_GB2312" w:cs="仿宋_GB2312"/>
              </w:rPr>
              <w:t>1,000,000.00</w:t>
            </w:r>
          </w:p>
        </w:tc>
        <w:tc>
          <w:tcPr>
            <w:tcW w:w="755" w:type="dxa"/>
            <w:vAlign w:val="center"/>
          </w:tcPr>
          <w:p w14:paraId="3B2A0D27">
            <w:pPr>
              <w:pStyle w:val="15"/>
              <w:jc w:val="center"/>
            </w:pPr>
            <w:r>
              <w:rPr>
                <w:rFonts w:ascii="仿宋_GB2312" w:hAnsi="仿宋_GB2312" w:eastAsia="仿宋_GB2312" w:cs="仿宋_GB2312"/>
              </w:rPr>
              <w:t>批</w:t>
            </w:r>
          </w:p>
        </w:tc>
        <w:tc>
          <w:tcPr>
            <w:tcW w:w="755" w:type="dxa"/>
            <w:vAlign w:val="center"/>
          </w:tcPr>
          <w:p w14:paraId="4F0F9EB2">
            <w:pPr>
              <w:pStyle w:val="15"/>
              <w:jc w:val="center"/>
            </w:pPr>
            <w:r>
              <w:rPr>
                <w:rFonts w:ascii="仿宋_GB2312" w:hAnsi="仿宋_GB2312" w:eastAsia="仿宋_GB2312" w:cs="仿宋_GB2312"/>
              </w:rPr>
              <w:t>工业</w:t>
            </w:r>
          </w:p>
        </w:tc>
        <w:tc>
          <w:tcPr>
            <w:tcW w:w="755" w:type="dxa"/>
            <w:vAlign w:val="center"/>
          </w:tcPr>
          <w:p w14:paraId="10C59D91">
            <w:pPr>
              <w:pStyle w:val="15"/>
              <w:jc w:val="center"/>
            </w:pPr>
            <w:r>
              <w:rPr>
                <w:rFonts w:ascii="仿宋_GB2312" w:hAnsi="仿宋_GB2312" w:eastAsia="仿宋_GB2312" w:cs="仿宋_GB2312"/>
              </w:rPr>
              <w:t>是</w:t>
            </w:r>
          </w:p>
        </w:tc>
        <w:tc>
          <w:tcPr>
            <w:tcW w:w="755" w:type="dxa"/>
            <w:vAlign w:val="center"/>
          </w:tcPr>
          <w:p w14:paraId="01449641">
            <w:pPr>
              <w:pStyle w:val="15"/>
              <w:jc w:val="center"/>
            </w:pPr>
            <w:r>
              <w:rPr>
                <w:rFonts w:ascii="仿宋_GB2312" w:hAnsi="仿宋_GB2312" w:eastAsia="仿宋_GB2312" w:cs="仿宋_GB2312"/>
              </w:rPr>
              <w:t>否</w:t>
            </w:r>
          </w:p>
        </w:tc>
        <w:tc>
          <w:tcPr>
            <w:tcW w:w="755" w:type="dxa"/>
            <w:vAlign w:val="center"/>
          </w:tcPr>
          <w:p w14:paraId="4D495684">
            <w:pPr>
              <w:pStyle w:val="15"/>
              <w:jc w:val="center"/>
            </w:pPr>
            <w:r>
              <w:rPr>
                <w:rFonts w:ascii="仿宋_GB2312" w:hAnsi="仿宋_GB2312" w:eastAsia="仿宋_GB2312" w:cs="仿宋_GB2312"/>
              </w:rPr>
              <w:t>否</w:t>
            </w:r>
          </w:p>
        </w:tc>
        <w:tc>
          <w:tcPr>
            <w:tcW w:w="755" w:type="dxa"/>
            <w:vAlign w:val="center"/>
          </w:tcPr>
          <w:p w14:paraId="641618E4">
            <w:pPr>
              <w:pStyle w:val="15"/>
              <w:jc w:val="center"/>
            </w:pPr>
            <w:r>
              <w:rPr>
                <w:rFonts w:ascii="仿宋_GB2312" w:hAnsi="仿宋_GB2312" w:eastAsia="仿宋_GB2312" w:cs="仿宋_GB2312"/>
              </w:rPr>
              <w:t>否</w:t>
            </w:r>
          </w:p>
        </w:tc>
        <w:tc>
          <w:tcPr>
            <w:tcW w:w="755" w:type="dxa"/>
            <w:vAlign w:val="center"/>
          </w:tcPr>
          <w:p w14:paraId="1339FA88">
            <w:pPr>
              <w:pStyle w:val="15"/>
              <w:jc w:val="center"/>
            </w:pPr>
            <w:r>
              <w:rPr>
                <w:rFonts w:ascii="仿宋_GB2312" w:hAnsi="仿宋_GB2312" w:eastAsia="仿宋_GB2312" w:cs="仿宋_GB2312"/>
              </w:rPr>
              <w:t>是</w:t>
            </w:r>
          </w:p>
        </w:tc>
      </w:tr>
    </w:tbl>
    <w:p w14:paraId="714F277E">
      <w:pPr>
        <w:pStyle w:val="15"/>
        <w:outlineLvl w:val="2"/>
        <w:rPr>
          <w:sz w:val="21"/>
          <w:szCs w:val="21"/>
        </w:rPr>
      </w:pPr>
      <w:r>
        <w:rPr>
          <w:rFonts w:ascii="仿宋_GB2312" w:hAnsi="仿宋_GB2312" w:eastAsia="仿宋_GB2312" w:cs="仿宋_GB2312"/>
          <w:b/>
          <w:sz w:val="21"/>
          <w:szCs w:val="21"/>
        </w:rPr>
        <w:t>3</w:t>
      </w:r>
      <w:r>
        <w:rPr>
          <w:rFonts w:hint="eastAsia" w:ascii="仿宋_GB2312" w:hAnsi="仿宋_GB2312" w:eastAsia="仿宋_GB2312" w:cs="仿宋_GB2312"/>
          <w:b/>
          <w:sz w:val="21"/>
          <w:szCs w:val="21"/>
          <w:lang w:val="en-US" w:eastAsia="zh-CN"/>
        </w:rPr>
        <w:t>.</w:t>
      </w:r>
      <w:r>
        <w:rPr>
          <w:rFonts w:ascii="仿宋_GB2312" w:hAnsi="仿宋_GB2312" w:eastAsia="仿宋_GB2312" w:cs="仿宋_GB2312"/>
          <w:b/>
          <w:sz w:val="21"/>
          <w:szCs w:val="21"/>
        </w:rPr>
        <w:t>技术要求</w:t>
      </w:r>
    </w:p>
    <w:p w14:paraId="6736E514">
      <w:pPr>
        <w:pStyle w:val="15"/>
        <w:rPr>
          <w:sz w:val="21"/>
          <w:szCs w:val="21"/>
        </w:rPr>
      </w:pPr>
      <w:r>
        <w:rPr>
          <w:rFonts w:ascii="仿宋_GB2312" w:hAnsi="仿宋_GB2312" w:eastAsia="仿宋_GB2312" w:cs="仿宋_GB2312"/>
          <w:sz w:val="21"/>
          <w:szCs w:val="21"/>
        </w:rPr>
        <w:t>采购包1：</w:t>
      </w:r>
    </w:p>
    <w:p w14:paraId="6F31AC4E">
      <w:pPr>
        <w:pStyle w:val="15"/>
        <w:ind w:firstLine="420" w:firstLineChars="200"/>
        <w:rPr>
          <w:sz w:val="21"/>
          <w:szCs w:val="21"/>
        </w:rPr>
      </w:pPr>
      <w:r>
        <w:rPr>
          <w:rFonts w:ascii="仿宋_GB2312" w:hAnsi="仿宋_GB2312" w:eastAsia="仿宋_GB2312" w:cs="仿宋_GB2312"/>
          <w:sz w:val="21"/>
          <w:szCs w:val="21"/>
        </w:rPr>
        <w:t>标的名称：健身器材</w:t>
      </w:r>
    </w:p>
    <w:tbl>
      <w:tblPr>
        <w:tblStyle w:val="9"/>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22"/>
      </w:tblGrid>
      <w:tr w14:paraId="069B9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2" w:type="dxa"/>
          </w:tcPr>
          <w:p w14:paraId="0A4FAF55">
            <w:pPr>
              <w:pStyle w:val="15"/>
              <w:ind w:left="0" w:leftChars="0" w:right="0" w:rightChars="0" w:firstLine="0" w:firstLineChars="0"/>
            </w:pPr>
            <w:r>
              <w:rPr>
                <w:rFonts w:ascii="仿宋_GB2312" w:hAnsi="仿宋_GB2312" w:eastAsia="仿宋_GB2312" w:cs="仿宋_GB2312"/>
              </w:rPr>
              <w:t>技术参数与性能指标</w:t>
            </w:r>
          </w:p>
        </w:tc>
      </w:tr>
      <w:tr w14:paraId="237192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2" w:type="dxa"/>
          </w:tcPr>
          <w:p w14:paraId="0249A5A2">
            <w:pPr>
              <w:pStyle w:val="15"/>
              <w:ind w:left="0" w:leftChars="0" w:right="0" w:rightChars="0" w:firstLine="0" w:firstLineChars="0"/>
            </w:pPr>
            <w:r>
              <w:rPr>
                <w:rFonts w:ascii="仿宋_GB2312" w:hAnsi="仿宋_GB2312" w:eastAsia="仿宋_GB2312" w:cs="仿宋_GB2312"/>
              </w:rPr>
              <w:t>一、采购内容</w:t>
            </w:r>
          </w:p>
          <w:p w14:paraId="1307AEF1">
            <w:pPr>
              <w:pStyle w:val="15"/>
              <w:ind w:left="0" w:leftChars="0" w:right="0" w:rightChars="0" w:firstLine="0" w:firstLineChars="0"/>
            </w:pPr>
            <w:r>
              <w:rPr>
                <w:rFonts w:ascii="仿宋_GB2312" w:hAnsi="仿宋_GB2312" w:eastAsia="仿宋_GB2312" w:cs="仿宋_GB2312"/>
              </w:rPr>
              <w:t>室内乒乓球台150张，地胶3600㎡。</w:t>
            </w:r>
          </w:p>
          <w:p w14:paraId="5C21BA52">
            <w:pPr>
              <w:pStyle w:val="15"/>
              <w:ind w:left="0" w:leftChars="0" w:right="0" w:rightChars="0" w:firstLine="0" w:firstLineChars="0"/>
            </w:pPr>
            <w:r>
              <w:rPr>
                <w:rFonts w:ascii="仿宋_GB2312" w:hAnsi="仿宋_GB2312" w:eastAsia="仿宋_GB2312" w:cs="仿宋_GB2312"/>
              </w:rPr>
              <w:t>二、技术参数与性能指标</w:t>
            </w:r>
          </w:p>
          <w:p w14:paraId="3A5BB625">
            <w:pPr>
              <w:pStyle w:val="15"/>
              <w:ind w:left="0" w:leftChars="0" w:right="0" w:rightChars="0" w:firstLine="0" w:firstLineChars="0"/>
            </w:pPr>
            <w:r>
              <w:rPr>
                <w:rFonts w:ascii="仿宋_GB2312" w:hAnsi="仿宋_GB2312" w:eastAsia="仿宋_GB2312" w:cs="仿宋_GB2312"/>
              </w:rPr>
              <w:t>（一）室内乒乓球台</w:t>
            </w:r>
          </w:p>
          <w:p w14:paraId="4DE8F400">
            <w:pPr>
              <w:pStyle w:val="15"/>
              <w:ind w:left="0" w:leftChars="0" w:right="0" w:rightChars="0" w:firstLine="0" w:firstLineChars="0"/>
            </w:pPr>
            <w:r>
              <w:rPr>
                <w:rFonts w:ascii="仿宋_GB2312" w:hAnsi="仿宋_GB2312" w:eastAsia="仿宋_GB2312" w:cs="仿宋_GB2312"/>
              </w:rPr>
              <w:t>1、★安全与性能要求：产品须符合GB/T32597-2016《乒乓球台的安全、性能要求和试验方法》或QB/T2700-2005《乒乓球台》的相关要求并国家认证认可监督管理委员会批准具备体育用品认证资格的第三方认证机构依据标准出具的认证证书。</w:t>
            </w:r>
          </w:p>
          <w:p w14:paraId="77270206">
            <w:pPr>
              <w:pStyle w:val="15"/>
              <w:ind w:left="0" w:leftChars="0" w:right="0" w:rightChars="0" w:firstLine="0" w:firstLineChars="0"/>
            </w:pPr>
            <w:r>
              <w:rPr>
                <w:rFonts w:ascii="仿宋_GB2312" w:hAnsi="仿宋_GB2312" w:eastAsia="仿宋_GB2312" w:cs="仿宋_GB2312"/>
              </w:rPr>
              <w:t>2、规格尺寸参数</w:t>
            </w:r>
          </w:p>
          <w:p w14:paraId="351CDF89">
            <w:pPr>
              <w:pStyle w:val="15"/>
              <w:ind w:left="0" w:leftChars="0" w:right="0" w:rightChars="0" w:firstLine="0" w:firstLineChars="0"/>
            </w:pPr>
            <w:r>
              <w:rPr>
                <w:rFonts w:ascii="仿宋_GB2312" w:hAnsi="仿宋_GB2312" w:eastAsia="仿宋_GB2312" w:cs="仿宋_GB2312"/>
              </w:rPr>
              <w:t>⑴▲台面尺寸：标准比赛台面长2740mm，宽1525mm，台面高度760mm（公差范围须符合GB/T32597-2016规定）。</w:t>
            </w:r>
          </w:p>
          <w:p w14:paraId="529D5723">
            <w:pPr>
              <w:pStyle w:val="15"/>
              <w:ind w:left="0" w:leftChars="0" w:right="0" w:rightChars="0" w:firstLine="0" w:firstLineChars="0"/>
            </w:pPr>
            <w:r>
              <w:rPr>
                <w:rFonts w:ascii="仿宋_GB2312" w:hAnsi="仿宋_GB2312" w:eastAsia="仿宋_GB2312" w:cs="仿宋_GB2312"/>
              </w:rPr>
              <w:t>⑵线条规格：台面端线、边线宽度为20mm，中线宽度为3mm（±0.5mm），颜色为白色，无明显反光。</w:t>
            </w:r>
          </w:p>
          <w:p w14:paraId="05C14EBD">
            <w:pPr>
              <w:pStyle w:val="15"/>
              <w:ind w:left="0" w:leftChars="0" w:right="0" w:rightChars="0" w:firstLine="0" w:firstLineChars="0"/>
            </w:pPr>
            <w:r>
              <w:rPr>
                <w:rFonts w:ascii="仿宋_GB2312" w:hAnsi="仿宋_GB2312" w:eastAsia="仿宋_GB2312" w:cs="仿宋_GB2312"/>
              </w:rPr>
              <w:t>⑶▲结构形式：采用单折式或双折式结构，底部配备高强度耐磨脚轮，方便移动与收纳。</w:t>
            </w:r>
          </w:p>
          <w:p w14:paraId="000EDD67">
            <w:pPr>
              <w:pStyle w:val="15"/>
              <w:ind w:left="0" w:leftChars="0" w:right="0" w:rightChars="0" w:firstLine="0" w:firstLineChars="0"/>
            </w:pPr>
            <w:r>
              <w:rPr>
                <w:rFonts w:ascii="仿宋_GB2312" w:hAnsi="仿宋_GB2312" w:eastAsia="仿宋_GB2312" w:cs="仿宋_GB2312"/>
              </w:rPr>
              <w:t>3、材质与工艺要求</w:t>
            </w:r>
          </w:p>
          <w:p w14:paraId="58648977">
            <w:pPr>
              <w:pStyle w:val="15"/>
              <w:ind w:left="0" w:leftChars="0" w:right="0" w:rightChars="0" w:firstLine="0" w:firstLineChars="0"/>
            </w:pPr>
            <w:r>
              <w:rPr>
                <w:rFonts w:ascii="仿宋_GB2312" w:hAnsi="仿宋_GB2312" w:eastAsia="仿宋_GB2312" w:cs="仿宋_GB2312"/>
              </w:rPr>
              <w:t>⑴▲台面材质：采用优质高密度纤维板或SMC（片状模塑料）复合材料，确保台面平整、坚固且不易变形。</w:t>
            </w:r>
          </w:p>
          <w:p w14:paraId="1BFA277C">
            <w:pPr>
              <w:pStyle w:val="15"/>
              <w:ind w:left="0" w:leftChars="0" w:right="0" w:rightChars="0" w:firstLine="0" w:firstLineChars="0"/>
            </w:pPr>
            <w:r>
              <w:rPr>
                <w:rFonts w:ascii="仿宋_GB2312" w:hAnsi="仿宋_GB2312" w:eastAsia="仿宋_GB2312" w:cs="仿宋_GB2312"/>
              </w:rPr>
              <w:t>⑵▲表面涂装：台面采用专用环保哑光漆，手摸不掉色，光泽度≤15GU（60°），防眩光，确保运动员视线清晰。</w:t>
            </w:r>
          </w:p>
          <w:p w14:paraId="03AA7854">
            <w:pPr>
              <w:pStyle w:val="15"/>
              <w:ind w:left="0" w:leftChars="0" w:right="0" w:rightChars="0" w:firstLine="0" w:firstLineChars="0"/>
            </w:pPr>
            <w:r>
              <w:rPr>
                <w:rFonts w:ascii="仿宋_GB2312" w:hAnsi="仿宋_GB2312" w:eastAsia="仿宋_GB2312" w:cs="仿宋_GB2312"/>
              </w:rPr>
              <w:t>⑶▲支架材质：主框架采用优质冷轧钢管，管壁厚度不低于2.0mm，表面经酸洗磷化及静电粉末喷涂烤漆处理，防腐防锈，坚固耐用。</w:t>
            </w:r>
          </w:p>
          <w:p w14:paraId="30141522">
            <w:pPr>
              <w:pStyle w:val="15"/>
              <w:ind w:left="0" w:leftChars="0" w:right="0" w:rightChars="0" w:firstLine="0" w:firstLineChars="0"/>
            </w:pPr>
            <w:r>
              <w:rPr>
                <w:rFonts w:ascii="仿宋_GB2312" w:hAnsi="仿宋_GB2312" w:eastAsia="仿宋_GB2312" w:cs="仿宋_GB2312"/>
              </w:rPr>
              <w:t>4、物理性能要求</w:t>
            </w:r>
          </w:p>
          <w:p w14:paraId="67C53F48">
            <w:pPr>
              <w:pStyle w:val="15"/>
              <w:ind w:left="0" w:leftChars="0" w:right="0" w:rightChars="0" w:firstLine="0" w:firstLineChars="0"/>
            </w:pPr>
            <w:r>
              <w:rPr>
                <w:rFonts w:ascii="仿宋_GB2312" w:hAnsi="仿宋_GB2312" w:eastAsia="仿宋_GB2312" w:cs="仿宋_GB2312"/>
              </w:rPr>
              <w:t>⑴▲弹性与均匀度：标准乒乓球从300mm高度自由落下，平均反弹高度在230mm～260mm之间；同台面不同区域反弹差≤5mm。</w:t>
            </w:r>
          </w:p>
          <w:p w14:paraId="44428020">
            <w:pPr>
              <w:pStyle w:val="15"/>
              <w:ind w:left="0" w:leftChars="0" w:right="0" w:rightChars="0" w:firstLine="0" w:firstLineChars="0"/>
            </w:pPr>
            <w:r>
              <w:rPr>
                <w:rFonts w:ascii="仿宋_GB2312" w:hAnsi="仿宋_GB2312" w:eastAsia="仿宋_GB2312" w:cs="仿宋_GB2312"/>
              </w:rPr>
              <w:t>⑵▲平整度：台面平面度误差≤3mm。</w:t>
            </w:r>
          </w:p>
          <w:p w14:paraId="38A34B65">
            <w:pPr>
              <w:pStyle w:val="15"/>
              <w:ind w:left="0" w:leftChars="0" w:right="0" w:rightChars="0" w:firstLine="0" w:firstLineChars="0"/>
            </w:pPr>
            <w:r>
              <w:rPr>
                <w:rFonts w:ascii="仿宋_GB2312" w:hAnsi="仿宋_GB2312" w:eastAsia="仿宋_GB2312" w:cs="仿宋_GB2312"/>
              </w:rPr>
              <w:t>⑶▲摩擦系数：台面摩擦系数≤0.6。</w:t>
            </w:r>
          </w:p>
          <w:p w14:paraId="31EF7ED4">
            <w:pPr>
              <w:pStyle w:val="15"/>
              <w:ind w:left="0" w:leftChars="0" w:right="0" w:rightChars="0" w:firstLine="0" w:firstLineChars="0"/>
            </w:pPr>
            <w:r>
              <w:rPr>
                <w:rFonts w:ascii="仿宋_GB2312" w:hAnsi="仿宋_GB2312" w:eastAsia="仿宋_GB2312" w:cs="仿宋_GB2312"/>
              </w:rPr>
              <w:t>⑷▲稳定性：球台整体晃动幅度≤7mm（或施加75kg垂直载荷时，台面变形量≤2mm）。</w:t>
            </w:r>
          </w:p>
          <w:p w14:paraId="054DA10C">
            <w:pPr>
              <w:pStyle w:val="15"/>
              <w:ind w:left="0" w:leftChars="0" w:right="0" w:rightChars="0" w:firstLine="0" w:firstLineChars="0"/>
            </w:pPr>
            <w:r>
              <w:rPr>
                <w:rFonts w:ascii="仿宋_GB2312" w:hAnsi="仿宋_GB2312" w:eastAsia="仿宋_GB2312" w:cs="仿宋_GB2312"/>
              </w:rPr>
              <w:t>5、安全与环保要求</w:t>
            </w:r>
          </w:p>
          <w:p w14:paraId="565B17E5">
            <w:pPr>
              <w:pStyle w:val="15"/>
              <w:ind w:left="0" w:leftChars="0" w:right="0" w:rightChars="0" w:firstLine="0" w:firstLineChars="0"/>
            </w:pPr>
            <w:r>
              <w:rPr>
                <w:rFonts w:ascii="仿宋_GB2312" w:hAnsi="仿宋_GB2312" w:eastAsia="仿宋_GB2312" w:cs="仿宋_GB2312"/>
              </w:rPr>
              <w:t>⑴安全防护：器材整体无尖锐棱角、无毛刺，所有焊点光滑饱满、无虚焊；各连接部位采用防松、防盗螺栓紧固，防止松动脱落。</w:t>
            </w:r>
          </w:p>
          <w:p w14:paraId="7BAD9D9D">
            <w:pPr>
              <w:pStyle w:val="15"/>
              <w:ind w:left="0" w:leftChars="0" w:right="0" w:rightChars="0" w:firstLine="0" w:firstLineChars="0"/>
            </w:pPr>
            <w:r>
              <w:rPr>
                <w:rFonts w:ascii="仿宋_GB2312" w:hAnsi="仿宋_GB2312" w:eastAsia="仿宋_GB2312" w:cs="仿宋_GB2312"/>
              </w:rPr>
              <w:t>⑵▲环保要求：台面及涂装材料须符合室内环保标准，无刺激性气味，甲醛释放量符合相关室内空气质量要求。</w:t>
            </w:r>
          </w:p>
          <w:p w14:paraId="25AC9A18">
            <w:pPr>
              <w:pStyle w:val="15"/>
              <w:ind w:left="0" w:leftChars="0" w:right="0" w:rightChars="0" w:firstLine="0" w:firstLineChars="0"/>
            </w:pPr>
            <w:r>
              <w:rPr>
                <w:rFonts w:ascii="仿宋_GB2312" w:hAnsi="仿宋_GB2312" w:eastAsia="仿宋_GB2312" w:cs="仿宋_GB2312"/>
              </w:rPr>
              <w:t>6、★标准配件：每副球台须标配国标专用球网、网架及全套固定配件。</w:t>
            </w:r>
          </w:p>
          <w:p w14:paraId="2B96C05C">
            <w:pPr>
              <w:pStyle w:val="15"/>
              <w:ind w:left="0" w:leftChars="0" w:right="0" w:rightChars="0" w:firstLine="0" w:firstLineChars="0"/>
            </w:pPr>
            <w:r>
              <w:rPr>
                <w:rFonts w:ascii="仿宋_GB2312" w:hAnsi="仿宋_GB2312" w:eastAsia="仿宋_GB2312" w:cs="仿宋_GB2312"/>
              </w:rPr>
              <w:t>（二）地胶</w:t>
            </w:r>
          </w:p>
          <w:p w14:paraId="25D64DAF">
            <w:pPr>
              <w:pStyle w:val="15"/>
              <w:ind w:left="0" w:leftChars="0" w:right="0" w:rightChars="0" w:firstLine="0" w:firstLineChars="0"/>
            </w:pPr>
            <w:r>
              <w:rPr>
                <w:rFonts w:ascii="仿宋_GB2312" w:hAnsi="仿宋_GB2312" w:eastAsia="仿宋_GB2312" w:cs="仿宋_GB2312"/>
              </w:rPr>
              <w:t>1、核心执行标准：产品须符合GB36246-2018《中小学合成材料面层运动场地》的强制性环保与安全要求，同时其运动性能指标须符合GB/T22517.6-2020《体育场地使用要求及检验方法第6部分：乒乓球场地》的相关规定。</w:t>
            </w:r>
          </w:p>
          <w:p w14:paraId="1BB466CF">
            <w:pPr>
              <w:pStyle w:val="15"/>
              <w:ind w:left="0" w:leftChars="0" w:right="0" w:rightChars="0" w:firstLine="0" w:firstLineChars="0"/>
            </w:pPr>
            <w:r>
              <w:rPr>
                <w:rFonts w:ascii="仿宋_GB2312" w:hAnsi="仿宋_GB2312" w:eastAsia="仿宋_GB2312" w:cs="仿宋_GB2312"/>
              </w:rPr>
              <w:t>2、规格与结构参数</w:t>
            </w:r>
          </w:p>
          <w:p w14:paraId="43FFA3CF">
            <w:pPr>
              <w:pStyle w:val="15"/>
              <w:ind w:left="0" w:leftChars="0" w:right="0" w:rightChars="0" w:firstLine="0" w:firstLineChars="0"/>
            </w:pPr>
            <w:r>
              <w:rPr>
                <w:rFonts w:ascii="仿宋_GB2312" w:hAnsi="仿宋_GB2312" w:eastAsia="仿宋_GB2312" w:cs="仿宋_GB2312"/>
              </w:rPr>
              <w:t>⑴▲总厚度：≥4.5mm。</w:t>
            </w:r>
          </w:p>
          <w:p w14:paraId="32E86DC8">
            <w:pPr>
              <w:pStyle w:val="15"/>
              <w:ind w:left="0" w:leftChars="0" w:right="0" w:rightChars="0" w:firstLine="0" w:firstLineChars="0"/>
            </w:pPr>
            <w:r>
              <w:rPr>
                <w:rFonts w:ascii="仿宋_GB2312" w:hAnsi="仿宋_GB2312" w:eastAsia="仿宋_GB2312" w:cs="仿宋_GB2312"/>
              </w:rPr>
              <w:t>⑵▲耐磨层厚度：≥0.7mm。</w:t>
            </w:r>
          </w:p>
          <w:p w14:paraId="36556F0A">
            <w:pPr>
              <w:pStyle w:val="15"/>
              <w:ind w:left="0" w:leftChars="0" w:right="0" w:rightChars="0" w:firstLine="0" w:firstLineChars="0"/>
            </w:pPr>
            <w:r>
              <w:rPr>
                <w:rFonts w:ascii="仿宋_GB2312" w:hAnsi="仿宋_GB2312" w:eastAsia="仿宋_GB2312" w:cs="仿宋_GB2312"/>
              </w:rPr>
              <w:t>⑶▲表面纹理：采用细纹理或荔枝纹。</w:t>
            </w:r>
          </w:p>
          <w:p w14:paraId="0DD70CBC">
            <w:pPr>
              <w:pStyle w:val="15"/>
              <w:ind w:left="0" w:leftChars="0" w:right="0" w:rightChars="0" w:firstLine="0" w:firstLineChars="0"/>
            </w:pPr>
            <w:r>
              <w:rPr>
                <w:rFonts w:ascii="仿宋_GB2312" w:hAnsi="仿宋_GB2312" w:eastAsia="仿宋_GB2312" w:cs="仿宋_GB2312"/>
              </w:rPr>
              <w:t>⑷颜色：红色或蓝色（搭配白色边线）。</w:t>
            </w:r>
          </w:p>
          <w:p w14:paraId="577CCD1F">
            <w:pPr>
              <w:pStyle w:val="15"/>
              <w:ind w:left="0" w:leftChars="0" w:right="0" w:rightChars="0" w:firstLine="0" w:firstLineChars="0"/>
            </w:pPr>
            <w:r>
              <w:rPr>
                <w:rFonts w:ascii="仿宋_GB2312" w:hAnsi="仿宋_GB2312" w:eastAsia="仿宋_GB2312" w:cs="仿宋_GB2312"/>
              </w:rPr>
              <w:t>⑸稳定层要求：基材层须添加玻璃纤维稳定层，防止热胀冷缩导致的起拱变形，保障场地长期平整。</w:t>
            </w:r>
          </w:p>
          <w:p w14:paraId="2326CD13">
            <w:pPr>
              <w:pStyle w:val="15"/>
              <w:ind w:left="0" w:leftChars="0" w:right="0" w:rightChars="0" w:firstLine="0" w:firstLineChars="0"/>
            </w:pPr>
            <w:r>
              <w:rPr>
                <w:rFonts w:ascii="仿宋_GB2312" w:hAnsi="仿宋_GB2312" w:eastAsia="仿宋_GB2312" w:cs="仿宋_GB2312"/>
              </w:rPr>
              <w:t>3、物理机械性能要求（依据GB36246-2018）</w:t>
            </w:r>
          </w:p>
          <w:p w14:paraId="65919679">
            <w:pPr>
              <w:pStyle w:val="15"/>
              <w:ind w:left="0" w:leftChars="0" w:right="0" w:rightChars="0" w:firstLine="0" w:firstLineChars="0"/>
            </w:pPr>
            <w:r>
              <w:rPr>
                <w:rFonts w:ascii="仿宋_GB2312" w:hAnsi="仿宋_GB2312" w:eastAsia="仿宋_GB2312" w:cs="仿宋_GB2312"/>
              </w:rPr>
              <w:t>⑴▲冲击吸收：20%～50%。</w:t>
            </w:r>
          </w:p>
          <w:p w14:paraId="0157598A">
            <w:pPr>
              <w:pStyle w:val="15"/>
              <w:ind w:left="0" w:leftChars="0" w:right="0" w:rightChars="0" w:firstLine="0" w:firstLineChars="0"/>
            </w:pPr>
            <w:r>
              <w:rPr>
                <w:rFonts w:ascii="仿宋_GB2312" w:hAnsi="仿宋_GB2312" w:eastAsia="仿宋_GB2312" w:cs="仿宋_GB2312"/>
              </w:rPr>
              <w:t>⑵▲垂直变形：0.6mm～3.0mm。</w:t>
            </w:r>
          </w:p>
          <w:p w14:paraId="776A6DE1">
            <w:pPr>
              <w:pStyle w:val="15"/>
              <w:ind w:left="0" w:leftChars="0" w:right="0" w:rightChars="0" w:firstLine="0" w:firstLineChars="0"/>
            </w:pPr>
            <w:r>
              <w:rPr>
                <w:rFonts w:ascii="仿宋_GB2312" w:hAnsi="仿宋_GB2312" w:eastAsia="仿宋_GB2312" w:cs="仿宋_GB2312"/>
              </w:rPr>
              <w:t>⑶▲抗滑值：80～110（20℃干测）。</w:t>
            </w:r>
          </w:p>
          <w:p w14:paraId="5E8B2745">
            <w:pPr>
              <w:pStyle w:val="15"/>
              <w:ind w:left="0" w:leftChars="0" w:right="0" w:rightChars="0" w:firstLine="0" w:firstLineChars="0"/>
            </w:pPr>
            <w:r>
              <w:rPr>
                <w:rFonts w:ascii="仿宋_GB2312" w:hAnsi="仿宋_GB2312" w:eastAsia="仿宋_GB2312" w:cs="仿宋_GB2312"/>
              </w:rPr>
              <w:t>⑷▲拉伸强度：≥0.5MPa。</w:t>
            </w:r>
          </w:p>
          <w:p w14:paraId="114E6DAF">
            <w:pPr>
              <w:pStyle w:val="15"/>
              <w:ind w:left="0" w:leftChars="0" w:right="0" w:rightChars="0" w:firstLine="0" w:firstLineChars="0"/>
            </w:pPr>
            <w:r>
              <w:rPr>
                <w:rFonts w:ascii="仿宋_GB2312" w:hAnsi="仿宋_GB2312" w:eastAsia="仿宋_GB2312" w:cs="仿宋_GB2312"/>
              </w:rPr>
              <w:t>⑸▲拉断伸长率：≥40%。</w:t>
            </w:r>
          </w:p>
          <w:p w14:paraId="0C7C462C">
            <w:pPr>
              <w:pStyle w:val="15"/>
              <w:ind w:left="0" w:leftChars="0" w:right="0" w:rightChars="0" w:firstLine="0" w:firstLineChars="0"/>
            </w:pPr>
            <w:r>
              <w:rPr>
                <w:rFonts w:ascii="仿宋_GB2312" w:hAnsi="仿宋_GB2312" w:eastAsia="仿宋_GB2312" w:cs="仿宋_GB2312"/>
              </w:rPr>
              <w:t>⑹▲阻燃性能：达到B1级阻燃。</w:t>
            </w:r>
          </w:p>
          <w:p w14:paraId="0561CA24">
            <w:pPr>
              <w:pStyle w:val="15"/>
              <w:ind w:left="0" w:leftChars="0" w:right="0" w:rightChars="0" w:firstLine="0" w:firstLineChars="0"/>
            </w:pPr>
            <w:r>
              <w:rPr>
                <w:rFonts w:ascii="仿宋_GB2312" w:hAnsi="仿宋_GB2312" w:eastAsia="仿宋_GB2312" w:cs="仿宋_GB2312"/>
              </w:rPr>
              <w:t>4、环保与有害物质限量</w:t>
            </w:r>
          </w:p>
          <w:p w14:paraId="762AF922">
            <w:pPr>
              <w:pStyle w:val="15"/>
              <w:ind w:left="0" w:leftChars="0" w:right="0" w:rightChars="0" w:firstLine="0" w:firstLineChars="0"/>
            </w:pPr>
            <w:r>
              <w:rPr>
                <w:rFonts w:ascii="仿宋_GB2312" w:hAnsi="仿宋_GB2312" w:eastAsia="仿宋_GB2312" w:cs="仿宋_GB2312"/>
              </w:rPr>
              <w:t>⑴▲成品有害物质限量：18种多环芳烃总和≤50mg/kg；苯并[a]芘≤1.0mg/kg；可溶性铅、镉、铬、汞等重金属含量符合标准表4要求；短链氯化石蜡（SCCPs）≤0.1g/kg；</w:t>
            </w:r>
          </w:p>
          <w:p w14:paraId="481F5CCB">
            <w:pPr>
              <w:pStyle w:val="15"/>
              <w:ind w:left="0" w:leftChars="0" w:right="0" w:rightChars="0" w:firstLine="0" w:firstLineChars="0"/>
            </w:pPr>
            <w:r>
              <w:rPr>
                <w:rFonts w:ascii="仿宋_GB2312" w:hAnsi="仿宋_GB2312" w:eastAsia="仿宋_GB2312" w:cs="仿宋_GB2312"/>
              </w:rPr>
              <w:t>⑵▲有害物质释放量：总挥发性有机化合物（TVOC）释放率≤5.0mg/(m2·h)；甲醛释放量≤0.4mg/(m²·h)。</w:t>
            </w:r>
          </w:p>
          <w:p w14:paraId="19DEBE2E">
            <w:pPr>
              <w:pStyle w:val="15"/>
              <w:ind w:left="0" w:leftChars="0" w:right="0" w:rightChars="0" w:firstLine="0" w:firstLineChars="0"/>
            </w:pPr>
            <w:r>
              <w:rPr>
                <w:rFonts w:ascii="仿宋_GB2312" w:hAnsi="仿宋_GB2312" w:eastAsia="仿宋_GB2312" w:cs="仿宋_GB2312"/>
              </w:rPr>
              <w:t>⑶▲气味评定：气味等级≤3级。</w:t>
            </w:r>
          </w:p>
          <w:p w14:paraId="0A7EF28A">
            <w:pPr>
              <w:pStyle w:val="15"/>
              <w:ind w:left="0" w:leftChars="0" w:right="0" w:rightChars="0" w:firstLine="0" w:firstLineChars="0"/>
            </w:pPr>
            <w:r>
              <w:rPr>
                <w:rFonts w:ascii="仿宋_GB2312" w:hAnsi="仿宋_GB2312" w:eastAsia="仿宋_GB2312" w:cs="仿宋_GB2312"/>
              </w:rPr>
              <w:t>5、▲耐老化性能：按GB36246-2018第5.4.1条规定，经加速老化500h测试后，拉伸强度和拉断伸长率须符合标准要求，且外观无粉化、无破损、无起皮和分层。</w:t>
            </w:r>
          </w:p>
          <w:p w14:paraId="4E03FDDE">
            <w:pPr>
              <w:pStyle w:val="15"/>
              <w:ind w:left="0" w:leftChars="0" w:right="0" w:rightChars="0" w:firstLine="0" w:firstLineChars="0"/>
            </w:pPr>
            <w:r>
              <w:rPr>
                <w:rFonts w:ascii="仿宋_GB2312" w:hAnsi="仿宋_GB2312" w:eastAsia="仿宋_GB2312" w:cs="仿宋_GB2312"/>
              </w:rPr>
              <w:t>6、铺装与验收要求</w:t>
            </w:r>
          </w:p>
          <w:p w14:paraId="67701BA8">
            <w:pPr>
              <w:pStyle w:val="15"/>
              <w:ind w:left="0" w:leftChars="0" w:right="0" w:rightChars="0" w:firstLine="0" w:firstLineChars="0"/>
            </w:pPr>
            <w:r>
              <w:rPr>
                <w:rFonts w:ascii="仿宋_GB2312" w:hAnsi="仿宋_GB2312" w:eastAsia="仿宋_GB2312" w:cs="仿宋_GB2312"/>
              </w:rPr>
              <w:t>⑴铺装工艺：采用专业运动地胶专用环保胶水满铺粘接，接缝处采用无缝热熔焊接工艺，确保整体平整、无翘边。</w:t>
            </w:r>
          </w:p>
          <w:p w14:paraId="631CBC71">
            <w:pPr>
              <w:pStyle w:val="15"/>
              <w:ind w:left="0" w:leftChars="0" w:right="0" w:rightChars="0" w:firstLine="0" w:firstLineChars="0"/>
            </w:pPr>
            <w:r>
              <w:rPr>
                <w:rFonts w:ascii="仿宋_GB2312" w:hAnsi="仿宋_GB2312" w:eastAsia="仿宋_GB2312" w:cs="仿宋_GB2312"/>
              </w:rPr>
              <w:t>⑵平整度要求：2米靠尺检测，地面缝隙≤3mm（铺装前需做自流平找平，杜绝空鼓）。</w:t>
            </w:r>
          </w:p>
          <w:p w14:paraId="2C020AEF">
            <w:pPr>
              <w:pStyle w:val="15"/>
              <w:ind w:left="0" w:leftChars="0" w:right="0" w:rightChars="0" w:firstLine="0" w:firstLineChars="0"/>
            </w:pPr>
            <w:r>
              <w:rPr>
                <w:rFonts w:ascii="仿宋_GB2312" w:hAnsi="仿宋_GB2312" w:eastAsia="仿宋_GB2312" w:cs="仿宋_GB2312"/>
              </w:rPr>
              <w:t>⑶现场检测：铺装完成后，须由具有CMA或CNAS资质的第三方检测机构进行现场取样检测，重点监测TVOC释放量及气味等级，合格后方可交付使用。</w:t>
            </w:r>
          </w:p>
        </w:tc>
      </w:tr>
    </w:tbl>
    <w:p w14:paraId="4907B9AD">
      <w:pPr>
        <w:pStyle w:val="15"/>
      </w:pPr>
      <w:r>
        <w:rPr>
          <w:rFonts w:ascii="仿宋_GB2312" w:hAnsi="仿宋_GB2312" w:eastAsia="仿宋_GB2312" w:cs="仿宋_GB2312"/>
        </w:rPr>
        <w:t>采购包2：</w:t>
      </w:r>
    </w:p>
    <w:p w14:paraId="70123E07">
      <w:pPr>
        <w:pStyle w:val="15"/>
      </w:pPr>
      <w:r>
        <w:rPr>
          <w:rFonts w:ascii="仿宋_GB2312" w:hAnsi="仿宋_GB2312" w:eastAsia="仿宋_GB2312" w:cs="仿宋_GB2312"/>
        </w:rPr>
        <w:t>标的名称：健身设备</w:t>
      </w:r>
    </w:p>
    <w:tbl>
      <w:tblPr>
        <w:tblStyle w:val="9"/>
        <w:tblW w:w="852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522"/>
      </w:tblGrid>
      <w:tr w14:paraId="4CABE9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2" w:type="dxa"/>
          </w:tcPr>
          <w:p w14:paraId="3D414448">
            <w:pPr>
              <w:pStyle w:val="15"/>
              <w:ind w:left="0" w:leftChars="0" w:right="0" w:rightChars="0" w:firstLine="0" w:firstLineChars="0"/>
            </w:pPr>
            <w:r>
              <w:rPr>
                <w:rFonts w:ascii="仿宋_GB2312" w:hAnsi="仿宋_GB2312" w:eastAsia="仿宋_GB2312" w:cs="仿宋_GB2312"/>
              </w:rPr>
              <w:t>技术参数与性能指标</w:t>
            </w:r>
          </w:p>
        </w:tc>
      </w:tr>
      <w:tr w14:paraId="4753D7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22" w:type="dxa"/>
          </w:tcPr>
          <w:p w14:paraId="4B2E1D71">
            <w:pPr>
              <w:pStyle w:val="15"/>
              <w:ind w:left="0" w:leftChars="0" w:right="0" w:rightChars="0" w:firstLine="0" w:firstLineChars="0"/>
            </w:pPr>
            <w:r>
              <w:rPr>
                <w:rFonts w:ascii="仿宋_GB2312" w:hAnsi="仿宋_GB2312" w:eastAsia="仿宋_GB2312" w:cs="仿宋_GB2312"/>
              </w:rPr>
              <w:t>一、采购内容：室外乒乓球台370张。</w:t>
            </w:r>
          </w:p>
          <w:p w14:paraId="39846141">
            <w:pPr>
              <w:pStyle w:val="15"/>
              <w:ind w:left="0" w:leftChars="0" w:right="0" w:rightChars="0" w:firstLine="0" w:firstLineChars="0"/>
            </w:pPr>
            <w:r>
              <w:rPr>
                <w:rFonts w:ascii="仿宋_GB2312" w:hAnsi="仿宋_GB2312" w:eastAsia="仿宋_GB2312" w:cs="仿宋_GB2312"/>
              </w:rPr>
              <w:t>二、技术参数与性能指标</w:t>
            </w:r>
          </w:p>
          <w:p w14:paraId="47BA962C">
            <w:pPr>
              <w:pStyle w:val="15"/>
              <w:ind w:left="0" w:leftChars="0" w:right="0" w:rightChars="0" w:firstLine="0" w:firstLineChars="0"/>
            </w:pPr>
            <w:r>
              <w:rPr>
                <w:rFonts w:ascii="仿宋_GB2312" w:hAnsi="仿宋_GB2312" w:eastAsia="仿宋_GB2312" w:cs="仿宋_GB2312"/>
              </w:rPr>
              <w:t>㈠核心执行标准</w:t>
            </w:r>
          </w:p>
          <w:p w14:paraId="3F30A474">
            <w:pPr>
              <w:pStyle w:val="15"/>
              <w:ind w:left="0" w:leftChars="0" w:right="0" w:rightChars="0" w:firstLine="0" w:firstLineChars="0"/>
            </w:pPr>
            <w:r>
              <w:rPr>
                <w:rFonts w:ascii="仿宋_GB2312" w:hAnsi="仿宋_GB2312" w:eastAsia="仿宋_GB2312" w:cs="仿宋_GB2312"/>
              </w:rPr>
              <w:t>1.★安全与结构要求：产品须符合GB19272-2024《室外健身器材的安全通用要求》，并取得经国家认可的器材质量认证机构出具的产品质量认证证书及检验报告。</w:t>
            </w:r>
          </w:p>
          <w:p w14:paraId="35237E35">
            <w:pPr>
              <w:pStyle w:val="15"/>
              <w:ind w:left="0" w:leftChars="0" w:right="0" w:rightChars="0" w:firstLine="0" w:firstLineChars="0"/>
            </w:pPr>
            <w:r>
              <w:rPr>
                <w:rFonts w:ascii="仿宋_GB2312" w:hAnsi="仿宋_GB2312" w:eastAsia="仿宋_GB2312" w:cs="仿宋_GB2312"/>
              </w:rPr>
              <w:t>2.性能与尺寸要求：产品物理性能、尺寸公差及试验方法须符合GB/T32597-2016《乒乓球台的安全、性能要求和试验方法》。</w:t>
            </w:r>
          </w:p>
          <w:p w14:paraId="06BCE919">
            <w:pPr>
              <w:pStyle w:val="15"/>
              <w:ind w:left="0" w:leftChars="0" w:right="0" w:rightChars="0" w:firstLine="0" w:firstLineChars="0"/>
            </w:pPr>
            <w:r>
              <w:rPr>
                <w:rFonts w:ascii="仿宋_GB2312" w:hAnsi="仿宋_GB2312" w:eastAsia="仿宋_GB2312" w:cs="仿宋_GB2312"/>
              </w:rPr>
              <w:t>㈡规格尺寸参数</w:t>
            </w:r>
          </w:p>
          <w:p w14:paraId="147A10BC">
            <w:pPr>
              <w:pStyle w:val="15"/>
              <w:ind w:left="0" w:leftChars="0" w:right="0" w:rightChars="0" w:firstLine="0" w:firstLineChars="0"/>
            </w:pPr>
            <w:r>
              <w:rPr>
                <w:rFonts w:ascii="仿宋_GB2312" w:hAnsi="仿宋_GB2312" w:eastAsia="仿宋_GB2312" w:cs="仿宋_GB2312"/>
              </w:rPr>
              <w:t>1.▲台面尺寸：长2740mm，宽1525mm，台面高度760mm（公差范围须符合GB/T32597-2016规定）。</w:t>
            </w:r>
          </w:p>
          <w:p w14:paraId="4E8738C3">
            <w:pPr>
              <w:pStyle w:val="15"/>
              <w:ind w:left="0" w:leftChars="0" w:right="0" w:rightChars="0" w:firstLine="0" w:firstLineChars="0"/>
            </w:pPr>
            <w:r>
              <w:rPr>
                <w:rFonts w:ascii="仿宋_GB2312" w:hAnsi="仿宋_GB2312" w:eastAsia="仿宋_GB2312" w:cs="仿宋_GB2312"/>
              </w:rPr>
              <w:t>2.线条规格：台面端线、边线宽度为20mm，中线宽度为3mm（±0.5mm），颜色为白色，无明显反光。</w:t>
            </w:r>
          </w:p>
          <w:p w14:paraId="63243062">
            <w:pPr>
              <w:pStyle w:val="15"/>
              <w:ind w:left="0" w:leftChars="0" w:right="0" w:rightChars="0" w:firstLine="0" w:firstLineChars="0"/>
            </w:pPr>
            <w:r>
              <w:rPr>
                <w:rFonts w:ascii="仿宋_GB2312" w:hAnsi="仿宋_GB2312" w:eastAsia="仿宋_GB2312" w:cs="仿宋_GB2312"/>
              </w:rPr>
              <w:t>3.▲整体结构：采用整体式或分体式支架，结构稳固，防倾倒设计。</w:t>
            </w:r>
          </w:p>
          <w:p w14:paraId="703D50BE">
            <w:pPr>
              <w:pStyle w:val="15"/>
              <w:ind w:left="0" w:leftChars="0" w:right="0" w:rightChars="0" w:firstLine="0" w:firstLineChars="0"/>
            </w:pPr>
            <w:r>
              <w:rPr>
                <w:rFonts w:ascii="仿宋_GB2312" w:hAnsi="仿宋_GB2312" w:eastAsia="仿宋_GB2312" w:cs="仿宋_GB2312"/>
              </w:rPr>
              <w:t>㈢材质与工艺要求</w:t>
            </w:r>
          </w:p>
          <w:p w14:paraId="1019D1EA">
            <w:pPr>
              <w:pStyle w:val="15"/>
              <w:ind w:left="0" w:leftChars="0" w:right="0" w:rightChars="0" w:firstLine="0" w:firstLineChars="0"/>
            </w:pPr>
            <w:r>
              <w:rPr>
                <w:rFonts w:ascii="仿宋_GB2312" w:hAnsi="仿宋_GB2312" w:eastAsia="仿宋_GB2312" w:cs="仿宋_GB2312"/>
              </w:rPr>
              <w:t>1.▲台面材质：采用SMC（片状模塑料）复合材料，整体高温模压一次成型。具备防风、防雨雪、阻燃、耐老化、防暴晒等特性，适合户外长期放置。</w:t>
            </w:r>
          </w:p>
          <w:p w14:paraId="6577DF32">
            <w:pPr>
              <w:pStyle w:val="15"/>
              <w:ind w:left="0" w:leftChars="0" w:right="0" w:rightChars="0" w:firstLine="0" w:firstLineChars="0"/>
            </w:pPr>
            <w:r>
              <w:rPr>
                <w:rFonts w:ascii="仿宋_GB2312" w:hAnsi="仿宋_GB2312" w:eastAsia="仿宋_GB2312" w:cs="仿宋_GB2312"/>
              </w:rPr>
              <w:t>2.▲台面厚度与加强筋：面板厚度不低于4.5mm；面板背面须采用“井”字形加强筋结构，加强筋厚度不低于4mm，以确保台面平整度与抗冲击性。</w:t>
            </w:r>
          </w:p>
          <w:p w14:paraId="7C1787D7">
            <w:pPr>
              <w:pStyle w:val="15"/>
              <w:ind w:left="0" w:leftChars="0" w:right="0" w:rightChars="0" w:firstLine="0" w:firstLineChars="0"/>
            </w:pPr>
            <w:r>
              <w:rPr>
                <w:rFonts w:ascii="仿宋_GB2312" w:hAnsi="仿宋_GB2312" w:eastAsia="仿宋_GB2312" w:cs="仿宋_GB2312"/>
              </w:rPr>
              <w:t>3.▲表面涂装：台面采用高压喷涂烤漆工艺，手摸不掉色，光泽度≤15GU（60°），防眩光。</w:t>
            </w:r>
          </w:p>
          <w:p w14:paraId="5DA6CBEF">
            <w:pPr>
              <w:pStyle w:val="15"/>
              <w:ind w:left="0" w:leftChars="0" w:right="0" w:rightChars="0" w:firstLine="0" w:firstLineChars="0"/>
            </w:pPr>
            <w:r>
              <w:rPr>
                <w:rFonts w:ascii="仿宋_GB2312" w:hAnsi="仿宋_GB2312" w:eastAsia="仿宋_GB2312" w:cs="仿宋_GB2312"/>
              </w:rPr>
              <w:t>4.▲支架材质：主立柱钢管规格不小于Φ60mm×3mm，辅助支撑管壁厚不小于2mm。</w:t>
            </w:r>
          </w:p>
          <w:p w14:paraId="31073920">
            <w:pPr>
              <w:pStyle w:val="15"/>
              <w:ind w:left="0" w:leftChars="0" w:right="0" w:rightChars="0" w:firstLine="0" w:firstLineChars="0"/>
            </w:pPr>
            <w:r>
              <w:rPr>
                <w:rFonts w:ascii="仿宋_GB2312" w:hAnsi="仿宋_GB2312" w:eastAsia="仿宋_GB2312" w:cs="仿宋_GB2312"/>
              </w:rPr>
              <w:t>5.▲防腐工艺：所有钢制部件须经酸洗磷化、抛丸除锈处理，表面采用静电粉末高压喷涂烤漆，防腐防锈，安全使用寿命不小于8年。</w:t>
            </w:r>
          </w:p>
          <w:p w14:paraId="5BE94EA1">
            <w:pPr>
              <w:pStyle w:val="15"/>
              <w:ind w:left="0" w:leftChars="0" w:right="0" w:rightChars="0" w:firstLine="0" w:firstLineChars="0"/>
            </w:pPr>
            <w:r>
              <w:rPr>
                <w:rFonts w:ascii="仿宋_GB2312" w:hAnsi="仿宋_GB2312" w:eastAsia="仿宋_GB2312" w:cs="仿宋_GB2312"/>
              </w:rPr>
              <w:t>㈣物理性能要求</w:t>
            </w:r>
          </w:p>
          <w:p w14:paraId="08D7C425">
            <w:pPr>
              <w:pStyle w:val="15"/>
              <w:ind w:left="0" w:leftChars="0" w:right="0" w:rightChars="0" w:firstLine="0" w:firstLineChars="0"/>
            </w:pPr>
            <w:r>
              <w:rPr>
                <w:rFonts w:ascii="仿宋_GB2312" w:hAnsi="仿宋_GB2312" w:eastAsia="仿宋_GB2312" w:cs="仿宋_GB2312"/>
              </w:rPr>
              <w:t>1.▲弹性与均匀度：标准乒乓球从300mm高度自由落下，平均反弹高度在230mm～260mm之间；同台面不同区域反弹差≤5mm。</w:t>
            </w:r>
          </w:p>
          <w:p w14:paraId="7F3FE056">
            <w:pPr>
              <w:pStyle w:val="15"/>
              <w:ind w:left="0" w:leftChars="0" w:right="0" w:rightChars="0" w:firstLine="0" w:firstLineChars="0"/>
            </w:pPr>
            <w:r>
              <w:rPr>
                <w:rFonts w:ascii="仿宋_GB2312" w:hAnsi="仿宋_GB2312" w:eastAsia="仿宋_GB2312" w:cs="仿宋_GB2312"/>
              </w:rPr>
              <w:t>2.▲平整度：台面平面度误差≤3mm。</w:t>
            </w:r>
          </w:p>
          <w:p w14:paraId="2CB68CE1">
            <w:pPr>
              <w:pStyle w:val="15"/>
              <w:ind w:left="0" w:leftChars="0" w:right="0" w:rightChars="0" w:firstLine="0" w:firstLineChars="0"/>
            </w:pPr>
            <w:r>
              <w:rPr>
                <w:rFonts w:ascii="仿宋_GB2312" w:hAnsi="仿宋_GB2312" w:eastAsia="仿宋_GB2312" w:cs="仿宋_GB2312"/>
              </w:rPr>
              <w:t>3.▲摩擦系数：台面摩擦系数≤0.6。</w:t>
            </w:r>
          </w:p>
          <w:p w14:paraId="7BE158C0">
            <w:pPr>
              <w:pStyle w:val="15"/>
              <w:ind w:left="0" w:leftChars="0" w:right="0" w:rightChars="0" w:firstLine="0" w:firstLineChars="0"/>
            </w:pPr>
            <w:r>
              <w:rPr>
                <w:rFonts w:ascii="仿宋_GB2312" w:hAnsi="仿宋_GB2312" w:eastAsia="仿宋_GB2312" w:cs="仿宋_GB2312"/>
              </w:rPr>
              <w:t>4.▲抗冲击性：经1040g±2g刚性球体从距台面1000mm高处自由落体冲击测试后，台面不得损坏、破裂。</w:t>
            </w:r>
          </w:p>
          <w:p w14:paraId="0FABDF82">
            <w:pPr>
              <w:pStyle w:val="15"/>
              <w:ind w:left="0" w:leftChars="0" w:right="0" w:rightChars="0" w:firstLine="0" w:firstLineChars="0"/>
            </w:pPr>
            <w:r>
              <w:rPr>
                <w:rFonts w:ascii="仿宋_GB2312" w:hAnsi="仿宋_GB2312" w:eastAsia="仿宋_GB2312" w:cs="仿宋_GB2312"/>
              </w:rPr>
              <w:t>㈤安全与环保要求</w:t>
            </w:r>
          </w:p>
          <w:p w14:paraId="073B7A88">
            <w:pPr>
              <w:pStyle w:val="15"/>
              <w:ind w:left="0" w:leftChars="0" w:right="0" w:rightChars="0" w:firstLine="0" w:firstLineChars="0"/>
            </w:pPr>
            <w:r>
              <w:rPr>
                <w:rFonts w:ascii="仿宋_GB2312" w:hAnsi="仿宋_GB2312" w:eastAsia="仿宋_GB2312" w:cs="仿宋_GB2312"/>
              </w:rPr>
              <w:t>1.安全防护：器材整体无尖锐棱角、无毛刺，所有焊点光滑饱满、无虚焊；各连接部位采用防松、防盗、防锈螺栓紧固。</w:t>
            </w:r>
          </w:p>
          <w:p w14:paraId="28DC272D">
            <w:pPr>
              <w:pStyle w:val="15"/>
              <w:ind w:left="0" w:leftChars="0" w:right="0" w:rightChars="0" w:firstLine="0" w:firstLineChars="0"/>
            </w:pPr>
            <w:r>
              <w:rPr>
                <w:rFonts w:ascii="仿宋_GB2312" w:hAnsi="仿宋_GB2312" w:eastAsia="仿宋_GB2312" w:cs="仿宋_GB2312"/>
              </w:rPr>
              <w:t>2.▲有害物质限量：产品涂料配方及台面材料中有毒有害元素含量必须符合GB19272-2024的环保要求，无刺激性气味。</w:t>
            </w:r>
          </w:p>
          <w:p w14:paraId="6CDD7745">
            <w:pPr>
              <w:pStyle w:val="15"/>
              <w:ind w:left="0" w:leftChars="0" w:right="0" w:rightChars="0" w:firstLine="0" w:firstLineChars="0"/>
            </w:pPr>
            <w:r>
              <w:rPr>
                <w:rFonts w:ascii="仿宋_GB2312" w:hAnsi="仿宋_GB2312" w:eastAsia="仿宋_GB2312" w:cs="仿宋_GB2312"/>
              </w:rPr>
              <w:t>3.▲安装要求：采用预埋式结构或膨胀螺栓固定，确保器材在户外大风等极端天气下的稳定性与安全性。</w:t>
            </w:r>
          </w:p>
          <w:p w14:paraId="688341C0">
            <w:pPr>
              <w:pStyle w:val="15"/>
              <w:ind w:left="0" w:leftChars="0" w:right="0" w:rightChars="0" w:firstLine="0" w:firstLineChars="0"/>
            </w:pPr>
            <w:r>
              <w:rPr>
                <w:rFonts w:ascii="仿宋_GB2312" w:hAnsi="仿宋_GB2312" w:eastAsia="仿宋_GB2312" w:cs="仿宋_GB2312"/>
              </w:rPr>
              <w:t>㈥★标准配件：每副球台须标配国标专用球网、网架及全套固定配件。</w:t>
            </w:r>
          </w:p>
        </w:tc>
      </w:tr>
    </w:tbl>
    <w:p w14:paraId="6EA1D978">
      <w:pPr>
        <w:pStyle w:val="15"/>
        <w:keepNext w:val="0"/>
        <w:keepLines w:val="0"/>
        <w:pageBreakBefore w:val="0"/>
        <w:widowControl/>
        <w:kinsoku/>
        <w:wordWrap/>
        <w:overflowPunct/>
        <w:topLinePunct w:val="0"/>
        <w:autoSpaceDE/>
        <w:autoSpaceDN/>
        <w:bidi w:val="0"/>
        <w:adjustRightInd/>
        <w:snapToGrid/>
        <w:textAlignment w:val="auto"/>
        <w:outlineLvl w:val="2"/>
        <w:rPr>
          <w:sz w:val="21"/>
          <w:szCs w:val="21"/>
        </w:rPr>
      </w:pPr>
      <w:r>
        <w:rPr>
          <w:rFonts w:ascii="仿宋_GB2312" w:hAnsi="仿宋_GB2312" w:eastAsia="仿宋_GB2312" w:cs="仿宋_GB2312"/>
          <w:b/>
          <w:sz w:val="21"/>
          <w:szCs w:val="21"/>
        </w:rPr>
        <w:t>4</w:t>
      </w:r>
      <w:r>
        <w:rPr>
          <w:rFonts w:hint="eastAsia" w:ascii="仿宋_GB2312" w:hAnsi="仿宋_GB2312" w:eastAsia="仿宋_GB2312" w:cs="仿宋_GB2312"/>
          <w:b/>
          <w:sz w:val="21"/>
          <w:szCs w:val="21"/>
          <w:lang w:val="en-US" w:eastAsia="zh-CN"/>
        </w:rPr>
        <w:t>.</w:t>
      </w:r>
      <w:r>
        <w:rPr>
          <w:rFonts w:ascii="仿宋_GB2312" w:hAnsi="仿宋_GB2312" w:eastAsia="仿宋_GB2312" w:cs="仿宋_GB2312"/>
          <w:b/>
          <w:sz w:val="21"/>
          <w:szCs w:val="21"/>
        </w:rPr>
        <w:t>商务要求</w:t>
      </w:r>
    </w:p>
    <w:p w14:paraId="2EAC77F6">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4.1交货时间</w:t>
      </w:r>
    </w:p>
    <w:p w14:paraId="79FBDE96">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★自合同签订后30日历天</w:t>
      </w:r>
    </w:p>
    <w:p w14:paraId="6AFA3508">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4.2交货地点</w:t>
      </w:r>
    </w:p>
    <w:p w14:paraId="5348FED4">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★采购人指定地点</w:t>
      </w:r>
    </w:p>
    <w:p w14:paraId="2D0A5DAF">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4.3支付方式</w:t>
      </w:r>
    </w:p>
    <w:p w14:paraId="2BC72227">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分期付款</w:t>
      </w:r>
    </w:p>
    <w:p w14:paraId="17E9F7FF">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4.4支付约定</w:t>
      </w:r>
    </w:p>
    <w:p w14:paraId="40B45D5D">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合同签订后，达到付款条件起10个工作日内，支付合同总金额的60.0%</w:t>
      </w:r>
    </w:p>
    <w:p w14:paraId="057CD11B">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交付完成且验收合格后，达到付款条件起10个工作日内，支付合同总金额的40.0%</w:t>
      </w:r>
    </w:p>
    <w:p w14:paraId="49A8E41D">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4.5验收标准和方法</w:t>
      </w:r>
    </w:p>
    <w:p w14:paraId="03EF5A17">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采购包1：★供货产品、安装及其相关伴随服务等须达到国家、行业及采购人要求标准。具体以供货合同、中标供应商投标文件、招标文件、采购人要求及国家及地方等行业现行规定为准。</w:t>
      </w:r>
    </w:p>
    <w:p w14:paraId="405023C7">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采购包2：★供货产品、安装及其相关伴随服务等须达到国家、行业及采购人要求标准。具体以供货合同、中标供应商投标文件、招标文件、采购人要求及国家及地方等行业现行规定为准。</w:t>
      </w:r>
    </w:p>
    <w:p w14:paraId="56EBF549">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4.6包装方式及运输</w:t>
      </w:r>
    </w:p>
    <w:p w14:paraId="6A38AFC3">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采购包1：涉及的商品包装和快递包装，均应符合《商品包装政府采购需求标准（试行）》《快递包装政府采购需求标准（试行）》的要求，包装应适应于远距离运输、防潮、防震、防锈和防野蛮装卸，以确保货物安全无损运抵指定地点。</w:t>
      </w:r>
    </w:p>
    <w:p w14:paraId="6FD14655">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采购包2：涉及的商品包装和快递包装，均应符合《商品包装政府采购需求标准（试行）》《快递包装政府采购需求标准（试行）》的要求，包装应适应于远距离运输、防潮、防震、防锈和防野蛮装卸，以确保货物安全无损运抵指定地点。</w:t>
      </w:r>
    </w:p>
    <w:p w14:paraId="01CC547E">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4.7质量保修范围和保修期</w:t>
      </w:r>
    </w:p>
    <w:p w14:paraId="40A727F8">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采购包1：★⑴室内乒乓球台：整体免费质保期8年（自验收合格之日起算），质保期内非人为损坏免费维修或更换。投标产品须投保产品质量责任险。⑵地胶：在质保期内出现非人为损坏的起泡、开裂、褪色等问题，供应商须在48小时内响应并免费维修或更换。</w:t>
      </w:r>
    </w:p>
    <w:p w14:paraId="022CA119">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采购包2：★整体免费质保期8年（自验收合格之日起算），质保期内非人为损坏免费维修或更换；投标产品须投保产品质量责任险。</w:t>
      </w:r>
    </w:p>
    <w:p w14:paraId="077DB745">
      <w:pPr>
        <w:pStyle w:val="15"/>
        <w:keepNext w:val="0"/>
        <w:keepLines w:val="0"/>
        <w:pageBreakBefore w:val="0"/>
        <w:widowControl/>
        <w:kinsoku/>
        <w:wordWrap/>
        <w:overflowPunct/>
        <w:topLinePunct w:val="0"/>
        <w:autoSpaceDE/>
        <w:autoSpaceDN/>
        <w:bidi w:val="0"/>
        <w:adjustRightInd/>
        <w:snapToGrid/>
        <w:ind w:firstLine="422" w:firstLineChars="200"/>
        <w:textAlignment w:val="auto"/>
        <w:outlineLvl w:val="3"/>
        <w:rPr>
          <w:sz w:val="21"/>
          <w:szCs w:val="21"/>
        </w:rPr>
      </w:pPr>
      <w:r>
        <w:rPr>
          <w:rFonts w:ascii="仿宋_GB2312" w:hAnsi="仿宋_GB2312" w:eastAsia="仿宋_GB2312" w:cs="仿宋_GB2312"/>
          <w:b/>
          <w:sz w:val="21"/>
          <w:szCs w:val="21"/>
        </w:rPr>
        <w:t>4.8违约责任与解决争议的方法</w:t>
      </w:r>
    </w:p>
    <w:p w14:paraId="6EA5F506">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详见合同文本</w:t>
      </w:r>
    </w:p>
    <w:p w14:paraId="40F7C808">
      <w:pPr>
        <w:pStyle w:val="15"/>
        <w:keepNext w:val="0"/>
        <w:keepLines w:val="0"/>
        <w:pageBreakBefore w:val="0"/>
        <w:widowControl/>
        <w:kinsoku/>
        <w:wordWrap/>
        <w:overflowPunct/>
        <w:topLinePunct w:val="0"/>
        <w:autoSpaceDE/>
        <w:autoSpaceDN/>
        <w:bidi w:val="0"/>
        <w:adjustRightInd/>
        <w:snapToGrid/>
        <w:jc w:val="left"/>
        <w:textAlignment w:val="auto"/>
        <w:outlineLvl w:val="2"/>
        <w:rPr>
          <w:sz w:val="21"/>
          <w:szCs w:val="21"/>
        </w:rPr>
      </w:pPr>
      <w:r>
        <w:rPr>
          <w:rFonts w:ascii="仿宋_GB2312" w:hAnsi="仿宋_GB2312" w:eastAsia="仿宋_GB2312" w:cs="仿宋_GB2312"/>
          <w:b/>
          <w:sz w:val="21"/>
          <w:szCs w:val="21"/>
        </w:rPr>
        <w:t>5</w:t>
      </w:r>
      <w:r>
        <w:rPr>
          <w:rFonts w:hint="eastAsia" w:ascii="仿宋_GB2312" w:hAnsi="仿宋_GB2312" w:eastAsia="仿宋_GB2312" w:cs="仿宋_GB2312"/>
          <w:b/>
          <w:sz w:val="21"/>
          <w:szCs w:val="21"/>
          <w:lang w:val="en-US" w:eastAsia="zh-CN"/>
        </w:rPr>
        <w:t>.</w:t>
      </w:r>
      <w:r>
        <w:rPr>
          <w:rFonts w:ascii="仿宋_GB2312" w:hAnsi="仿宋_GB2312" w:eastAsia="仿宋_GB2312" w:cs="仿宋_GB2312"/>
          <w:b/>
          <w:sz w:val="21"/>
          <w:szCs w:val="21"/>
        </w:rPr>
        <w:t>其他要求</w:t>
      </w:r>
    </w:p>
    <w:p w14:paraId="20EAE470">
      <w:pPr>
        <w:pStyle w:val="15"/>
        <w:keepNext w:val="0"/>
        <w:keepLines w:val="0"/>
        <w:pageBreakBefore w:val="0"/>
        <w:widowControl/>
        <w:kinsoku/>
        <w:wordWrap/>
        <w:overflowPunct/>
        <w:topLinePunct w:val="0"/>
        <w:autoSpaceDE/>
        <w:autoSpaceDN/>
        <w:bidi w:val="0"/>
        <w:adjustRightInd/>
        <w:snapToGrid/>
        <w:ind w:firstLine="420" w:firstLineChars="200"/>
        <w:textAlignment w:val="auto"/>
        <w:rPr>
          <w:rFonts w:hint="eastAsia" w:ascii="仿宋_GB2312" w:hAnsi="仿宋_GB2312" w:eastAsia="仿宋_GB2312" w:cs="仿宋_GB2312"/>
          <w:sz w:val="21"/>
          <w:szCs w:val="21"/>
          <w:lang w:eastAsia="zh-CN"/>
        </w:rPr>
      </w:pPr>
      <w:r>
        <w:rPr>
          <w:rFonts w:ascii="仿宋_GB2312" w:hAnsi="仿宋_GB2312" w:eastAsia="仿宋_GB2312" w:cs="仿宋_GB2312"/>
          <w:sz w:val="21"/>
          <w:szCs w:val="21"/>
        </w:rPr>
        <w:t>5.1关于核心产品：采购包1核心产品为地胶；采购包2核心产品为室外乒乓球台。</w:t>
      </w:r>
    </w:p>
    <w:p w14:paraId="08FC5488">
      <w:pPr>
        <w:pStyle w:val="15"/>
        <w:keepNext w:val="0"/>
        <w:keepLines w:val="0"/>
        <w:pageBreakBefore w:val="0"/>
        <w:widowControl/>
        <w:kinsoku/>
        <w:wordWrap/>
        <w:overflowPunct/>
        <w:topLinePunct w:val="0"/>
        <w:autoSpaceDE/>
        <w:autoSpaceDN/>
        <w:bidi w:val="0"/>
        <w:adjustRightInd/>
        <w:snapToGrid/>
        <w:ind w:firstLine="420" w:firstLineChars="200"/>
        <w:textAlignment w:val="auto"/>
        <w:rPr>
          <w:rFonts w:ascii="仿宋_GB2312" w:hAnsi="仿宋_GB2312" w:eastAsia="仿宋_GB2312" w:cs="仿宋_GB2312"/>
          <w:sz w:val="21"/>
          <w:szCs w:val="21"/>
        </w:rPr>
      </w:pPr>
      <w:r>
        <w:rPr>
          <w:rFonts w:ascii="仿宋_GB2312" w:hAnsi="仿宋_GB2312" w:eastAsia="仿宋_GB2312" w:cs="仿宋_GB2312"/>
          <w:sz w:val="21"/>
          <w:szCs w:val="21"/>
        </w:rPr>
        <w:t>5.2定标（中标）原则：一个供应商只能中标一个采购包。若供应商按评审办法被确定为第一中标候选供应商的采购包数超过1个，则依采购包顺序及“先开先中”的原则，在确定该供应商为该采购包中标供应商后，其所参投的其余采购包将自动失去中标资格。即同一供应商同时为两个采购包的第一中标候选供应商的，采购人在确认中标供应商时，采购包1设置中标人供应商为第一中标候选供应商，采购包2设置第二中标候选供应商为该采购包的中标供应商。</w:t>
      </w:r>
    </w:p>
    <w:p w14:paraId="2A156180">
      <w:pPr>
        <w:pStyle w:val="15"/>
        <w:keepNext w:val="0"/>
        <w:keepLines w:val="0"/>
        <w:pageBreakBefore w:val="0"/>
        <w:widowControl/>
        <w:kinsoku/>
        <w:wordWrap/>
        <w:overflowPunct/>
        <w:topLinePunct w:val="0"/>
        <w:autoSpaceDE/>
        <w:autoSpaceDN/>
        <w:bidi w:val="0"/>
        <w:adjustRightInd/>
        <w:snapToGrid/>
        <w:ind w:firstLine="420" w:firstLineChars="200"/>
        <w:textAlignment w:val="auto"/>
        <w:rPr>
          <w:sz w:val="21"/>
          <w:szCs w:val="21"/>
        </w:rPr>
      </w:pPr>
      <w:r>
        <w:rPr>
          <w:rFonts w:ascii="仿宋_GB2312" w:hAnsi="仿宋_GB2312" w:eastAsia="仿宋_GB2312" w:cs="仿宋_GB2312"/>
          <w:sz w:val="21"/>
          <w:szCs w:val="21"/>
        </w:rPr>
        <w:t>5.3中标供应商在中标结果公告后3个工作日内将3份与上传投标文件一致的纸质版投标文件递交代理机构。</w:t>
      </w:r>
    </w:p>
    <w:p w14:paraId="3A08BD3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94054B"/>
    <w:rsid w:val="05FD1BBE"/>
    <w:rsid w:val="06AC0A0C"/>
    <w:rsid w:val="0EC73F5E"/>
    <w:rsid w:val="0FA314C4"/>
    <w:rsid w:val="100C66D5"/>
    <w:rsid w:val="122A05F8"/>
    <w:rsid w:val="17395C7D"/>
    <w:rsid w:val="1E731794"/>
    <w:rsid w:val="240D341D"/>
    <w:rsid w:val="24422E26"/>
    <w:rsid w:val="26E7587D"/>
    <w:rsid w:val="29DF3391"/>
    <w:rsid w:val="2B780E96"/>
    <w:rsid w:val="2EA62314"/>
    <w:rsid w:val="30DB2D00"/>
    <w:rsid w:val="31F05F32"/>
    <w:rsid w:val="3465383C"/>
    <w:rsid w:val="3494054B"/>
    <w:rsid w:val="3CB75A27"/>
    <w:rsid w:val="3D643E0C"/>
    <w:rsid w:val="3D6E74D6"/>
    <w:rsid w:val="40CC25C5"/>
    <w:rsid w:val="4541667C"/>
    <w:rsid w:val="49787CEA"/>
    <w:rsid w:val="4AFE4EC2"/>
    <w:rsid w:val="54897A6D"/>
    <w:rsid w:val="5B6B56EA"/>
    <w:rsid w:val="5D5B6D2D"/>
    <w:rsid w:val="5DB91FC8"/>
    <w:rsid w:val="5E041700"/>
    <w:rsid w:val="5ECB4491"/>
    <w:rsid w:val="60E0460C"/>
    <w:rsid w:val="61915623"/>
    <w:rsid w:val="623C0084"/>
    <w:rsid w:val="634C5649"/>
    <w:rsid w:val="65705DC1"/>
    <w:rsid w:val="678332EB"/>
    <w:rsid w:val="69507602"/>
    <w:rsid w:val="6FAC02E5"/>
    <w:rsid w:val="710A048B"/>
    <w:rsid w:val="711F04E9"/>
    <w:rsid w:val="73F45085"/>
    <w:rsid w:val="780C7A6F"/>
    <w:rsid w:val="7B651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0"/>
    <w:pPr>
      <w:keepNext/>
      <w:spacing w:after="100" w:line="240" w:lineRule="auto"/>
      <w:ind w:firstLine="0" w:firstLineChars="0"/>
      <w:jc w:val="center"/>
      <w:outlineLvl w:val="0"/>
    </w:pPr>
    <w:rPr>
      <w:b/>
      <w:bCs/>
      <w:kern w:val="0"/>
      <w:sz w:val="44"/>
      <w:szCs w:val="44"/>
    </w:rPr>
  </w:style>
  <w:style w:type="paragraph" w:styleId="3">
    <w:name w:val="heading 2"/>
    <w:basedOn w:val="1"/>
    <w:next w:val="1"/>
    <w:link w:val="12"/>
    <w:semiHidden/>
    <w:unhideWhenUsed/>
    <w:qFormat/>
    <w:uiPriority w:val="0"/>
    <w:pPr>
      <w:keepNext/>
      <w:spacing w:line="240" w:lineRule="auto"/>
      <w:ind w:leftChars="200" w:firstLine="0" w:firstLineChars="0"/>
      <w:jc w:val="left"/>
      <w:outlineLvl w:val="1"/>
    </w:pPr>
    <w:rPr>
      <w:b/>
      <w:bCs/>
      <w:kern w:val="0"/>
      <w:sz w:val="32"/>
      <w:szCs w:val="32"/>
    </w:rPr>
  </w:style>
  <w:style w:type="paragraph" w:styleId="4">
    <w:name w:val="heading 3"/>
    <w:basedOn w:val="1"/>
    <w:next w:val="1"/>
    <w:link w:val="13"/>
    <w:semiHidden/>
    <w:unhideWhenUsed/>
    <w:qFormat/>
    <w:uiPriority w:val="0"/>
    <w:pPr>
      <w:keepNext/>
      <w:spacing w:line="240" w:lineRule="auto"/>
      <w:ind w:leftChars="200" w:firstLine="0" w:firstLineChars="0"/>
      <w:outlineLvl w:val="2"/>
    </w:pPr>
    <w:rPr>
      <w:b/>
      <w:bCs/>
      <w:kern w:val="0"/>
    </w:rPr>
  </w:style>
  <w:style w:type="paragraph" w:styleId="5">
    <w:name w:val="heading 4"/>
    <w:basedOn w:val="1"/>
    <w:next w:val="1"/>
    <w:link w:val="14"/>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6">
    <w:name w:val="Body Text Indent"/>
    <w:basedOn w:val="1"/>
    <w:qFormat/>
    <w:uiPriority w:val="0"/>
    <w:pPr>
      <w:spacing w:after="120" w:afterLines="0" w:afterAutospacing="0"/>
      <w:ind w:left="420" w:leftChars="200"/>
    </w:pPr>
  </w:style>
  <w:style w:type="paragraph" w:styleId="7">
    <w:name w:val="List 2"/>
    <w:basedOn w:val="1"/>
    <w:qFormat/>
    <w:uiPriority w:val="0"/>
    <w:pPr>
      <w:ind w:left="100" w:leftChars="200" w:hanging="200" w:hangingChars="200"/>
    </w:pPr>
  </w:style>
  <w:style w:type="paragraph" w:styleId="8">
    <w:name w:val="Body Text First Indent 2"/>
    <w:basedOn w:val="6"/>
    <w:qFormat/>
    <w:uiPriority w:val="0"/>
    <w:pPr>
      <w:ind w:firstLine="420" w:firstLineChars="200"/>
    </w:pPr>
  </w:style>
  <w:style w:type="character" w:customStyle="1" w:styleId="11">
    <w:name w:val="标题 1 Char"/>
    <w:link w:val="2"/>
    <w:qFormat/>
    <w:uiPriority w:val="0"/>
    <w:rPr>
      <w:rFonts w:ascii="仿宋" w:hAnsi="仿宋" w:eastAsia="仿宋" w:cs="仿宋"/>
      <w:b/>
      <w:bCs/>
      <w:kern w:val="0"/>
      <w:sz w:val="44"/>
      <w:szCs w:val="44"/>
    </w:rPr>
  </w:style>
  <w:style w:type="character" w:customStyle="1" w:styleId="12">
    <w:name w:val="标题 2 Char"/>
    <w:link w:val="3"/>
    <w:qFormat/>
    <w:uiPriority w:val="0"/>
    <w:rPr>
      <w:rFonts w:ascii="仿宋" w:hAnsi="仿宋" w:eastAsia="宋体" w:cs="宋体"/>
      <w:b/>
      <w:bCs/>
      <w:kern w:val="0"/>
      <w:sz w:val="32"/>
      <w:szCs w:val="32"/>
    </w:rPr>
  </w:style>
  <w:style w:type="character" w:customStyle="1" w:styleId="13">
    <w:name w:val="标题 3 Char"/>
    <w:link w:val="4"/>
    <w:qFormat/>
    <w:uiPriority w:val="0"/>
    <w:rPr>
      <w:rFonts w:ascii="宋体" w:hAnsi="宋体" w:eastAsia="宋体"/>
      <w:b/>
      <w:bCs/>
      <w:kern w:val="0"/>
      <w:sz w:val="28"/>
    </w:rPr>
  </w:style>
  <w:style w:type="character" w:customStyle="1" w:styleId="14">
    <w:name w:val="标题 4 Char"/>
    <w:link w:val="5"/>
    <w:qFormat/>
    <w:uiPriority w:val="0"/>
    <w:rPr>
      <w:rFonts w:ascii="宋体" w:hAnsi="宋体" w:eastAsia="宋体"/>
      <w:b/>
      <w:bCs/>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2026-09-02T09:55:00Z</dcterms:created>
  <dc:creator>朱娟</dc:creator>
  <cp:lastModifiedBy>朱娟</cp:lastModifiedBy>
  <dcterms:modified xsi:type="dcterms:W3CDTF">2026-09-02T10:00:43Z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74F23122E4894766943EE5435134C183_11</vt:lpwstr>
  </property>
  <property fmtid="{D5CDD505-2E9C-101B-9397-08002B2CF9AE}" pid="4" name="KSOTemplateDocerSaveRecord">
    <vt:lpwstr>eyJoZGlkIjoiNmQ5YTlhOTI1MTIxMWQzZmNmMTc3YTIwMzNkYjU1MDciLCJ1c2VySWQiOiIyMDIwODMyODIifQ==</vt:lpwstr>
  </property>
</Properties>
</file>