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48F140">
      <w:pPr>
        <w:spacing w:before="0" w:beforeAutospacing="0" w:after="0" w:afterAutospacing="0"/>
        <w:ind w:left="0" w:firstLine="0"/>
        <w:jc w:val="center"/>
        <w:rPr>
          <w:rFonts w:hint="eastAsia" w:ascii="宋体" w:hAnsi="Calibri" w:eastAsia="宋体" w:cs="Times New Roman"/>
          <w:b/>
          <w:bCs/>
          <w:vanish w:val="0"/>
          <w:spacing w:val="0"/>
          <w:kern w:val="2"/>
          <w:sz w:val="48"/>
          <w:szCs w:val="48"/>
          <w:u w:val="single"/>
        </w:rPr>
      </w:pPr>
      <w:r>
        <w:rPr>
          <w:rFonts w:hint="eastAsia" w:ascii="宋体" w:hAnsi="Calibri" w:eastAsia="宋体" w:cs="Times New Roman"/>
          <w:b/>
          <w:bCs/>
          <w:vanish w:val="0"/>
          <w:spacing w:val="0"/>
          <w:kern w:val="0"/>
          <w:sz w:val="48"/>
          <w:szCs w:val="48"/>
        </w:rPr>
        <w:t>服务合同</w:t>
      </w:r>
    </w:p>
    <w:p w14:paraId="62728F8F">
      <w:pPr>
        <w:spacing w:before="0" w:beforeAutospacing="0" w:after="0" w:afterAutospacing="0"/>
        <w:ind w:left="0" w:firstLine="0"/>
        <w:jc w:val="center"/>
        <w:rPr>
          <w:rFonts w:hint="eastAsia" w:ascii="宋体" w:cs="Times New Roman"/>
          <w:b/>
          <w:bCs/>
          <w:vanish w:val="0"/>
          <w:spacing w:val="0"/>
          <w:kern w:val="2"/>
          <w:sz w:val="24"/>
          <w:szCs w:val="24"/>
          <w:lang w:val="en-US" w:eastAsia="zh-CN"/>
        </w:rPr>
      </w:pPr>
    </w:p>
    <w:p w14:paraId="2A2EA786">
      <w:pPr>
        <w:spacing w:before="0" w:beforeAutospacing="0" w:after="0" w:afterAutospacing="0"/>
        <w:ind w:left="0" w:firstLine="0"/>
        <w:jc w:val="center"/>
        <w:rPr>
          <w:rFonts w:hint="eastAsia" w:ascii="宋体" w:cs="Times New Roman"/>
          <w:b/>
          <w:bCs/>
          <w:vanish w:val="0"/>
          <w:spacing w:val="0"/>
          <w:kern w:val="2"/>
          <w:sz w:val="24"/>
          <w:szCs w:val="24"/>
          <w:lang w:val="en-US" w:eastAsia="zh-CN"/>
        </w:rPr>
      </w:pPr>
    </w:p>
    <w:p w14:paraId="41BED52D">
      <w:pPr>
        <w:spacing w:before="0" w:beforeAutospacing="0" w:after="0" w:afterAutospacing="0"/>
        <w:ind w:left="0" w:firstLine="0"/>
        <w:jc w:val="center"/>
        <w:rPr>
          <w:rFonts w:hint="eastAsia" w:ascii="宋体" w:cs="Times New Roman"/>
          <w:b/>
          <w:bCs/>
          <w:vanish w:val="0"/>
          <w:spacing w:val="0"/>
          <w:kern w:val="2"/>
          <w:sz w:val="24"/>
          <w:szCs w:val="24"/>
          <w:lang w:val="en-US" w:eastAsia="zh-CN"/>
        </w:rPr>
      </w:pPr>
    </w:p>
    <w:p w14:paraId="74F3EF95">
      <w:pPr>
        <w:spacing w:before="0" w:beforeAutospacing="0" w:after="0" w:afterAutospacing="0"/>
        <w:ind w:left="0" w:firstLine="0"/>
        <w:jc w:val="center"/>
        <w:rPr>
          <w:rFonts w:hint="default" w:ascii="宋体" w:hAnsi="Calibri" w:eastAsia="宋体" w:cs="Times New Roman"/>
          <w:b/>
          <w:bCs/>
          <w:vanish w:val="0"/>
          <w:spacing w:val="0"/>
          <w:kern w:val="2"/>
          <w:sz w:val="24"/>
          <w:szCs w:val="24"/>
          <w:lang w:val="en-US" w:eastAsia="zh-CN"/>
        </w:rPr>
      </w:pPr>
      <w:r>
        <w:rPr>
          <w:rFonts w:hint="eastAsia" w:ascii="宋体" w:cs="Times New Roman"/>
          <w:b/>
          <w:bCs/>
          <w:vanish w:val="0"/>
          <w:spacing w:val="0"/>
          <w:kern w:val="2"/>
          <w:sz w:val="24"/>
          <w:szCs w:val="24"/>
          <w:lang w:val="en-US" w:eastAsia="zh-CN"/>
        </w:rPr>
        <w:t>（合同履行过程中非实质性内容可由双方协商调整，所有调整均</w:t>
      </w:r>
      <w:r>
        <w:rPr>
          <w:rFonts w:ascii="宋体" w:hAnsi="宋体" w:eastAsia="宋体" w:cs="宋体"/>
          <w:b/>
          <w:bCs/>
          <w:sz w:val="24"/>
          <w:szCs w:val="24"/>
        </w:rPr>
        <w:t>不得改变采购实质性内容、不得低于项目原有需求标准。</w:t>
      </w:r>
      <w:r>
        <w:rPr>
          <w:rFonts w:hint="eastAsia" w:ascii="宋体" w:cs="Times New Roman"/>
          <w:b/>
          <w:bCs/>
          <w:vanish w:val="0"/>
          <w:spacing w:val="0"/>
          <w:kern w:val="2"/>
          <w:sz w:val="24"/>
          <w:szCs w:val="24"/>
          <w:lang w:val="en-US" w:eastAsia="zh-CN"/>
        </w:rPr>
        <w:t>）</w:t>
      </w:r>
    </w:p>
    <w:p w14:paraId="2F80E279">
      <w:pPr>
        <w:pStyle w:val="6"/>
        <w:spacing w:before="100" w:beforeAutospacing="1" w:after="0" w:afterAutospacing="0"/>
        <w:ind w:left="0" w:firstLine="0"/>
        <w:jc w:val="both"/>
        <w:rPr>
          <w:rFonts w:ascii="Calibri" w:hAnsi="Calibri" w:eastAsia="宋体" w:cs="Times New Roman"/>
          <w:vanish w:val="0"/>
          <w:spacing w:val="0"/>
          <w:kern w:val="2"/>
          <w:sz w:val="21"/>
          <w:szCs w:val="21"/>
        </w:rPr>
      </w:pPr>
    </w:p>
    <w:p w14:paraId="4DFF5E0D">
      <w:pPr>
        <w:shd w:val="clear" w:fill="auto"/>
        <w:spacing w:before="0" w:beforeAutospacing="0" w:after="0" w:afterAutospacing="0"/>
        <w:ind w:left="0" w:firstLine="0"/>
        <w:jc w:val="both"/>
        <w:rPr>
          <w:rFonts w:hint="eastAsia" w:ascii="宋体" w:hAnsi="Calibri" w:eastAsia="宋体" w:cs="Times New Roman"/>
          <w:vanish w:val="0"/>
          <w:spacing w:val="0"/>
          <w:kern w:val="2"/>
          <w:sz w:val="24"/>
          <w:szCs w:val="24"/>
        </w:rPr>
      </w:pPr>
    </w:p>
    <w:p w14:paraId="024ED2C7">
      <w:pPr>
        <w:spacing w:before="0" w:beforeAutospacing="0" w:after="0" w:afterAutospacing="0"/>
        <w:ind w:left="0" w:firstLine="0"/>
        <w:jc w:val="both"/>
        <w:rPr>
          <w:rFonts w:hint="eastAsia" w:ascii="宋体" w:hAnsi="Calibri" w:eastAsia="宋体" w:cs="Times New Roman"/>
          <w:vanish w:val="0"/>
          <w:spacing w:val="0"/>
          <w:kern w:val="2"/>
          <w:sz w:val="24"/>
          <w:szCs w:val="24"/>
        </w:rPr>
      </w:pPr>
    </w:p>
    <w:p w14:paraId="37BE2073">
      <w:pPr>
        <w:spacing w:before="120" w:beforeLines="50" w:beforeAutospacing="0" w:after="0" w:afterAutospacing="0" w:line="360" w:lineRule="auto"/>
        <w:ind w:firstLine="883" w:firstLineChars="200"/>
        <w:jc w:val="both"/>
        <w:rPr>
          <w:rFonts w:hint="eastAsia" w:ascii="宋体" w:hAnsi="Calibri" w:eastAsia="宋体" w:cs="Times New Roman"/>
          <w:b/>
          <w:bCs/>
          <w:vanish w:val="0"/>
          <w:spacing w:val="0"/>
          <w:kern w:val="2"/>
          <w:sz w:val="44"/>
          <w:szCs w:val="44"/>
          <w:lang w:eastAsia="zh-CN"/>
        </w:rPr>
      </w:pPr>
      <w:r>
        <w:rPr>
          <w:rFonts w:hint="eastAsia" w:ascii="宋体" w:hAnsi="Calibri" w:eastAsia="宋体" w:cs="Times New Roman"/>
          <w:b/>
          <w:bCs/>
          <w:vanish w:val="0"/>
          <w:spacing w:val="0"/>
          <w:kern w:val="0"/>
          <w:sz w:val="44"/>
          <w:szCs w:val="44"/>
        </w:rPr>
        <w:t>采购人：</w:t>
      </w:r>
      <w:r>
        <w:rPr>
          <w:rFonts w:hint="eastAsia" w:ascii="宋体" w:cs="Times New Roman"/>
          <w:b/>
          <w:bCs/>
          <w:vanish w:val="0"/>
          <w:spacing w:val="0"/>
          <w:kern w:val="0"/>
          <w:sz w:val="44"/>
          <w:szCs w:val="44"/>
          <w:lang w:eastAsia="zh-CN"/>
        </w:rPr>
        <w:t>蓝田县人民法院</w:t>
      </w:r>
    </w:p>
    <w:p w14:paraId="0DCDBB24">
      <w:pPr>
        <w:spacing w:before="120" w:beforeLines="50" w:beforeAutospacing="0" w:after="0" w:afterAutospacing="0" w:line="360" w:lineRule="auto"/>
        <w:ind w:firstLine="2650" w:firstLineChars="600"/>
        <w:jc w:val="left"/>
        <w:rPr>
          <w:rFonts w:hint="eastAsia" w:ascii="宋体" w:hAnsi="Calibri" w:eastAsia="宋体" w:cs="Times New Roman"/>
          <w:b/>
          <w:bCs/>
          <w:vanish w:val="0"/>
          <w:spacing w:val="0"/>
          <w:kern w:val="0"/>
          <w:sz w:val="44"/>
          <w:szCs w:val="44"/>
        </w:rPr>
      </w:pPr>
    </w:p>
    <w:p w14:paraId="6E8948D2">
      <w:pPr>
        <w:spacing w:before="120" w:beforeLines="50" w:beforeAutospacing="0" w:after="0" w:afterAutospacing="0" w:line="360" w:lineRule="auto"/>
        <w:ind w:firstLine="883" w:firstLineChars="200"/>
        <w:jc w:val="left"/>
        <w:rPr>
          <w:rFonts w:hint="eastAsia" w:ascii="宋体" w:hAnsi="Calibri" w:eastAsia="宋体" w:cs="Times New Roman"/>
          <w:b/>
          <w:bCs/>
          <w:vanish w:val="0"/>
          <w:spacing w:val="0"/>
          <w:kern w:val="2"/>
          <w:sz w:val="44"/>
          <w:szCs w:val="44"/>
        </w:rPr>
      </w:pPr>
      <w:r>
        <w:rPr>
          <w:rFonts w:hint="eastAsia" w:ascii="宋体" w:hAnsi="Calibri" w:eastAsia="宋体" w:cs="Times New Roman"/>
          <w:b/>
          <w:bCs/>
          <w:vanish w:val="0"/>
          <w:spacing w:val="0"/>
          <w:kern w:val="0"/>
          <w:sz w:val="44"/>
          <w:szCs w:val="44"/>
        </w:rPr>
        <w:t>供应商：</w:t>
      </w:r>
    </w:p>
    <w:p w14:paraId="7058F1D2">
      <w:pPr>
        <w:pStyle w:val="6"/>
        <w:spacing w:before="100" w:beforeAutospacing="1" w:after="0" w:afterAutospacing="0"/>
        <w:ind w:left="0" w:firstLine="0"/>
        <w:jc w:val="both"/>
        <w:rPr>
          <w:rFonts w:ascii="Calibri" w:hAnsi="Calibri" w:eastAsia="宋体" w:cs="Times New Roman"/>
          <w:b/>
          <w:bCs/>
          <w:vanish w:val="0"/>
          <w:spacing w:val="0"/>
          <w:kern w:val="2"/>
          <w:sz w:val="32"/>
          <w:szCs w:val="32"/>
        </w:rPr>
      </w:pPr>
    </w:p>
    <w:p w14:paraId="5EC630E8">
      <w:pPr>
        <w:spacing w:before="120" w:beforeLines="50" w:beforeAutospacing="0" w:after="0" w:afterAutospacing="0" w:line="360" w:lineRule="auto"/>
        <w:ind w:left="0" w:firstLine="0"/>
        <w:jc w:val="center"/>
        <w:rPr>
          <w:rFonts w:hint="eastAsia" w:ascii="宋体" w:hAnsi="Calibri" w:eastAsia="宋体" w:cs="Times New Roman"/>
          <w:b/>
          <w:bCs/>
          <w:vanish w:val="0"/>
          <w:spacing w:val="0"/>
          <w:kern w:val="0"/>
          <w:sz w:val="32"/>
          <w:szCs w:val="32"/>
        </w:rPr>
      </w:pPr>
    </w:p>
    <w:p w14:paraId="263C630A">
      <w:pPr>
        <w:spacing w:before="120" w:beforeLines="50" w:beforeAutospacing="0" w:after="0" w:afterAutospacing="0" w:line="360" w:lineRule="auto"/>
        <w:ind w:left="0" w:firstLine="0"/>
        <w:jc w:val="center"/>
        <w:rPr>
          <w:rFonts w:hint="eastAsia" w:ascii="宋体" w:hAnsi="Calibri" w:eastAsia="宋体" w:cs="Times New Roman"/>
          <w:b/>
          <w:bCs/>
          <w:vanish w:val="0"/>
          <w:spacing w:val="0"/>
          <w:kern w:val="0"/>
          <w:sz w:val="32"/>
          <w:szCs w:val="32"/>
        </w:rPr>
      </w:pPr>
    </w:p>
    <w:p w14:paraId="57AB14FD">
      <w:pPr>
        <w:spacing w:before="120" w:beforeLines="50" w:beforeAutospacing="0" w:after="0" w:afterAutospacing="0" w:line="360" w:lineRule="auto"/>
        <w:ind w:left="0" w:firstLine="0"/>
        <w:jc w:val="center"/>
        <w:rPr>
          <w:rFonts w:hint="eastAsia" w:ascii="宋体" w:hAnsi="Calibri" w:eastAsia="宋体" w:cs="Times New Roman"/>
          <w:b/>
          <w:bCs/>
          <w:vanish w:val="0"/>
          <w:spacing w:val="0"/>
          <w:kern w:val="0"/>
          <w:sz w:val="32"/>
          <w:szCs w:val="32"/>
        </w:rPr>
      </w:pPr>
    </w:p>
    <w:p w14:paraId="1637FB86">
      <w:pPr>
        <w:spacing w:before="120" w:beforeLines="50" w:beforeAutospacing="0" w:after="0" w:afterAutospacing="0" w:line="360" w:lineRule="auto"/>
        <w:ind w:left="0" w:firstLine="0"/>
        <w:jc w:val="center"/>
        <w:rPr>
          <w:rFonts w:hint="eastAsia" w:ascii="宋体" w:hAnsi="Calibri" w:eastAsia="宋体" w:cs="Times New Roman"/>
          <w:b/>
          <w:bCs/>
          <w:vanish w:val="0"/>
          <w:spacing w:val="0"/>
          <w:kern w:val="0"/>
          <w:sz w:val="32"/>
          <w:szCs w:val="32"/>
        </w:rPr>
      </w:pPr>
    </w:p>
    <w:p w14:paraId="004FFE9D">
      <w:pPr>
        <w:spacing w:before="120" w:beforeLines="50" w:beforeAutospacing="0" w:after="0" w:afterAutospacing="0" w:line="360" w:lineRule="auto"/>
        <w:ind w:left="0" w:firstLine="0"/>
        <w:jc w:val="center"/>
        <w:rPr>
          <w:rFonts w:hint="eastAsia" w:ascii="方正小标宋简体" w:hAnsi="Calibri" w:eastAsia="方正小标宋简体" w:cs="宋体"/>
          <w:bCs/>
          <w:vanish w:val="0"/>
          <w:spacing w:val="0"/>
          <w:kern w:val="0"/>
          <w:sz w:val="36"/>
          <w:szCs w:val="36"/>
        </w:rPr>
      </w:pPr>
      <w:r>
        <w:rPr>
          <w:rFonts w:hint="eastAsia" w:ascii="宋体" w:hAnsi="Calibri" w:eastAsia="宋体" w:cs="Times New Roman"/>
          <w:b/>
          <w:bCs/>
          <w:vanish w:val="0"/>
          <w:spacing w:val="0"/>
          <w:kern w:val="0"/>
          <w:sz w:val="36"/>
          <w:szCs w:val="36"/>
        </w:rPr>
        <w:t>二〇二</w:t>
      </w:r>
      <w:r>
        <w:rPr>
          <w:rFonts w:hint="eastAsia" w:ascii="宋体" w:cs="Times New Roman"/>
          <w:b/>
          <w:bCs/>
          <w:vanish w:val="0"/>
          <w:spacing w:val="0"/>
          <w:kern w:val="0"/>
          <w:sz w:val="36"/>
          <w:szCs w:val="36"/>
          <w:lang w:eastAsia="zh-CN"/>
        </w:rPr>
        <w:t>六</w:t>
      </w:r>
      <w:r>
        <w:rPr>
          <w:rFonts w:hint="eastAsia" w:ascii="宋体" w:hAnsi="Calibri" w:eastAsia="宋体" w:cs="Times New Roman"/>
          <w:b/>
          <w:bCs/>
          <w:vanish w:val="0"/>
          <w:spacing w:val="0"/>
          <w:kern w:val="0"/>
          <w:sz w:val="36"/>
          <w:szCs w:val="36"/>
        </w:rPr>
        <w:t>年</w:t>
      </w:r>
    </w:p>
    <w:p w14:paraId="5290418C">
      <w:pPr>
        <w:spacing w:before="120" w:beforeLines="50" w:beforeAutospacing="0" w:after="0" w:afterAutospacing="0" w:line="360" w:lineRule="auto"/>
        <w:ind w:left="0" w:firstLine="3520" w:firstLineChars="800"/>
        <w:rPr>
          <w:rFonts w:ascii="方正小标宋简体" w:hAnsi="Calibri" w:eastAsia="方正小标宋简体" w:cs="宋体"/>
          <w:bCs/>
          <w:vanish w:val="0"/>
          <w:spacing w:val="0"/>
          <w:kern w:val="0"/>
          <w:sz w:val="44"/>
          <w:szCs w:val="44"/>
        </w:rPr>
      </w:pPr>
    </w:p>
    <w:p w14:paraId="44353552">
      <w:pPr>
        <w:pStyle w:val="2"/>
        <w:ind w:left="0"/>
        <w:rPr>
          <w:rFonts w:hint="eastAsia"/>
        </w:rPr>
      </w:pPr>
    </w:p>
    <w:p w14:paraId="2B037213">
      <w:pPr>
        <w:spacing w:before="120" w:beforeLines="50" w:beforeAutospacing="0" w:after="0" w:afterAutospacing="0" w:line="360" w:lineRule="auto"/>
        <w:ind w:left="0" w:firstLine="3520" w:firstLineChars="800"/>
        <w:rPr>
          <w:rFonts w:hint="eastAsia" w:ascii="方正小标宋简体" w:hAnsi="Calibri" w:eastAsia="方正小标宋简体" w:cs="宋体"/>
          <w:bCs/>
          <w:vanish w:val="0"/>
          <w:spacing w:val="0"/>
          <w:kern w:val="0"/>
          <w:sz w:val="44"/>
          <w:szCs w:val="44"/>
        </w:rPr>
      </w:pPr>
    </w:p>
    <w:p w14:paraId="046052A1">
      <w:pPr>
        <w:spacing w:before="120" w:beforeLines="50" w:beforeAutospacing="0" w:after="0" w:afterAutospacing="0" w:line="360" w:lineRule="auto"/>
        <w:ind w:firstLine="3520" w:firstLineChars="800"/>
        <w:rPr>
          <w:rFonts w:hint="eastAsia" w:ascii="方正小标宋简体" w:hAnsi="Calibri" w:eastAsia="方正小标宋简体" w:cs="宋体"/>
          <w:bCs/>
          <w:vanish w:val="0"/>
          <w:spacing w:val="0"/>
          <w:kern w:val="0"/>
          <w:sz w:val="44"/>
          <w:szCs w:val="44"/>
        </w:rPr>
      </w:pPr>
    </w:p>
    <w:p w14:paraId="77FB2DCE">
      <w:pPr>
        <w:spacing w:before="120" w:beforeLines="50" w:beforeAutospacing="0" w:after="0" w:afterAutospacing="0" w:line="360" w:lineRule="auto"/>
        <w:ind w:firstLine="3520" w:firstLineChars="800"/>
        <w:rPr>
          <w:rFonts w:hint="eastAsia" w:ascii="宋体" w:hAnsi="Calibri" w:eastAsia="宋体" w:cs="Times New Roman"/>
          <w:b/>
          <w:bCs/>
          <w:vanish w:val="0"/>
          <w:spacing w:val="0"/>
          <w:kern w:val="2"/>
          <w:sz w:val="44"/>
          <w:szCs w:val="44"/>
        </w:rPr>
      </w:pPr>
      <w:r>
        <w:rPr>
          <w:rFonts w:hint="eastAsia" w:ascii="方正小标宋简体" w:hAnsi="Calibri" w:eastAsia="方正小标宋简体" w:cs="宋体"/>
          <w:bCs/>
          <w:vanish w:val="0"/>
          <w:spacing w:val="0"/>
          <w:kern w:val="0"/>
          <w:sz w:val="44"/>
          <w:szCs w:val="44"/>
        </w:rPr>
        <w:t>协议书</w:t>
      </w:r>
    </w:p>
    <w:p w14:paraId="53A00B8C">
      <w:pPr>
        <w:adjustRightInd w:val="0"/>
        <w:snapToGrid w:val="0"/>
        <w:spacing w:before="0" w:beforeAutospacing="0" w:after="0" w:afterAutospacing="0" w:line="600" w:lineRule="exact"/>
        <w:ind w:left="0" w:firstLine="562" w:firstLineChars="200"/>
        <w:contextualSpacing w:val="0"/>
        <w:jc w:val="both"/>
        <w:rPr>
          <w:rFonts w:hint="eastAsia" w:ascii="黑体" w:hAnsi="Calibri" w:eastAsia="黑体" w:cs="宋体"/>
          <w:b/>
          <w:bCs/>
          <w:vanish w:val="0"/>
          <w:spacing w:val="0"/>
          <w:kern w:val="2"/>
          <w:sz w:val="28"/>
          <w:szCs w:val="28"/>
        </w:rPr>
      </w:pPr>
      <w:r>
        <w:rPr>
          <w:rFonts w:hint="eastAsia" w:ascii="黑体" w:hAnsi="Calibri" w:eastAsia="黑体" w:cs="宋体"/>
          <w:b/>
          <w:bCs/>
          <w:vanish w:val="0"/>
          <w:spacing w:val="0"/>
          <w:kern w:val="0"/>
          <w:sz w:val="28"/>
          <w:szCs w:val="28"/>
        </w:rPr>
        <w:t>采购人（甲方）：</w:t>
      </w:r>
      <w:r>
        <w:rPr>
          <w:rFonts w:hint="eastAsia" w:ascii="宋体" w:cs="Times New Roman"/>
          <w:b/>
          <w:bCs/>
          <w:vanish w:val="0"/>
          <w:spacing w:val="0"/>
          <w:kern w:val="0"/>
          <w:sz w:val="32"/>
          <w:szCs w:val="32"/>
          <w:lang w:eastAsia="zh-CN"/>
        </w:rPr>
        <w:t>蓝田县人民法院</w:t>
      </w:r>
    </w:p>
    <w:p w14:paraId="6F2322B2">
      <w:pPr>
        <w:adjustRightInd w:val="0"/>
        <w:snapToGrid w:val="0"/>
        <w:spacing w:before="0" w:beforeAutospacing="0" w:after="0" w:afterAutospacing="0" w:line="600" w:lineRule="exact"/>
        <w:ind w:left="0" w:firstLine="562" w:firstLineChars="200"/>
        <w:contextualSpacing w:val="0"/>
        <w:jc w:val="both"/>
        <w:rPr>
          <w:rFonts w:hint="eastAsia" w:ascii="黑体" w:hAnsi="Calibri" w:eastAsia="黑体" w:cs="宋体"/>
          <w:vanish w:val="0"/>
          <w:spacing w:val="0"/>
          <w:kern w:val="2"/>
          <w:sz w:val="28"/>
          <w:szCs w:val="28"/>
        </w:rPr>
      </w:pPr>
      <w:r>
        <w:rPr>
          <w:rFonts w:hint="eastAsia" w:ascii="黑体" w:hAnsi="Calibri" w:eastAsia="黑体" w:cs="宋体"/>
          <w:b/>
          <w:bCs/>
          <w:vanish w:val="0"/>
          <w:spacing w:val="0"/>
          <w:kern w:val="0"/>
          <w:sz w:val="28"/>
          <w:szCs w:val="28"/>
        </w:rPr>
        <w:t>供应商（乙方）：</w:t>
      </w:r>
    </w:p>
    <w:p w14:paraId="2AA49480">
      <w:pPr>
        <w:adjustRightInd w:val="0"/>
        <w:snapToGrid w:val="0"/>
        <w:spacing w:before="0" w:beforeAutospacing="0" w:after="0" w:afterAutospacing="0" w:line="600" w:lineRule="exact"/>
        <w:ind w:left="0" w:firstLine="640" w:firstLineChars="200"/>
        <w:contextualSpacing w:val="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根据《中华人民共和国民法典》《中华人民共和国招投标法》《中华人民共和国政府采购法》及其他有关法律、法规，遵循平等、自愿、公平和诚信的原则，双方就下述项目范围与相关服务事项协商一致，订立本合同。</w:t>
      </w:r>
    </w:p>
    <w:p w14:paraId="5B5E5B0E">
      <w:pPr>
        <w:adjustRightInd w:val="0"/>
        <w:snapToGrid w:val="0"/>
        <w:spacing w:before="0" w:beforeAutospacing="0" w:after="0" w:afterAutospacing="0" w:line="600" w:lineRule="exact"/>
        <w:ind w:left="0" w:firstLine="0"/>
        <w:contextualSpacing w:val="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一、项目概况</w:t>
      </w:r>
    </w:p>
    <w:p w14:paraId="28BAC315">
      <w:pPr>
        <w:adjustRightInd w:val="0"/>
        <w:snapToGrid w:val="0"/>
        <w:spacing w:before="0" w:beforeAutospacing="0" w:after="0" w:afterAutospacing="0" w:line="600" w:lineRule="exact"/>
        <w:ind w:left="0" w:firstLine="640" w:firstLineChars="200"/>
        <w:contextualSpacing w:val="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1. 项目名称：</w:t>
      </w:r>
      <w:r>
        <w:rPr>
          <w:rFonts w:hint="eastAsia" w:ascii="仿宋_GB2312" w:hAnsi="Calibri" w:eastAsia="仿宋_GB2312" w:cs="宋体"/>
          <w:vanish w:val="0"/>
          <w:spacing w:val="0"/>
          <w:kern w:val="0"/>
          <w:sz w:val="32"/>
          <w:szCs w:val="32"/>
          <w:u w:val="single"/>
          <w:lang w:val="en-US" w:eastAsia="zh-CN"/>
        </w:rPr>
        <w:t>蓝田县人民法院集约送达服务项目</w:t>
      </w:r>
      <w:r>
        <w:rPr>
          <w:rFonts w:hint="eastAsia" w:ascii="仿宋_GB2312" w:hAnsi="Calibri" w:eastAsia="仿宋_GB2312" w:cs="宋体"/>
          <w:vanish w:val="0"/>
          <w:spacing w:val="0"/>
          <w:kern w:val="0"/>
          <w:sz w:val="32"/>
          <w:szCs w:val="32"/>
        </w:rPr>
        <w:t>；</w:t>
      </w:r>
    </w:p>
    <w:p w14:paraId="49136137">
      <w:pPr>
        <w:adjustRightInd w:val="0"/>
        <w:snapToGrid w:val="0"/>
        <w:spacing w:before="0" w:beforeAutospacing="0" w:after="0" w:afterAutospacing="0" w:line="600" w:lineRule="exact"/>
        <w:ind w:left="0" w:firstLine="633" w:firstLineChars="198"/>
        <w:contextualSpacing w:val="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2. 项目</w:t>
      </w:r>
      <w:r>
        <w:rPr>
          <w:rFonts w:hint="eastAsia" w:ascii="仿宋_GB2312" w:eastAsia="仿宋_GB2312" w:cs="宋体"/>
          <w:vanish w:val="0"/>
          <w:spacing w:val="0"/>
          <w:kern w:val="0"/>
          <w:sz w:val="32"/>
          <w:szCs w:val="32"/>
          <w:lang w:eastAsia="zh-CN"/>
        </w:rPr>
        <w:t>编号</w:t>
      </w:r>
      <w:r>
        <w:rPr>
          <w:rFonts w:hint="eastAsia" w:ascii="仿宋_GB2312" w:hAnsi="Calibri" w:eastAsia="仿宋_GB2312" w:cs="宋体"/>
          <w:vanish w:val="0"/>
          <w:spacing w:val="0"/>
          <w:kern w:val="0"/>
          <w:sz w:val="32"/>
          <w:szCs w:val="32"/>
        </w:rPr>
        <w:t xml:space="preserve">: </w:t>
      </w:r>
      <w:r>
        <w:rPr>
          <w:rFonts w:hint="eastAsia" w:ascii="仿宋_GB2312" w:hAnsi="Calibri" w:eastAsia="仿宋_GB2312" w:cs="宋体"/>
          <w:vanish w:val="0"/>
          <w:spacing w:val="0"/>
          <w:kern w:val="0"/>
          <w:sz w:val="32"/>
          <w:szCs w:val="32"/>
          <w:u w:val="single"/>
          <w:lang w:val="en-US" w:eastAsia="zh-CN"/>
        </w:rPr>
        <w:t xml:space="preserve">SZ8268-GP-XC-019F </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w:t>
      </w:r>
    </w:p>
    <w:p w14:paraId="3D67BA85">
      <w:pPr>
        <w:adjustRightInd w:val="0"/>
        <w:snapToGrid w:val="0"/>
        <w:spacing w:before="0" w:beforeAutospacing="0" w:after="0" w:afterAutospacing="0" w:line="600" w:lineRule="exact"/>
        <w:ind w:left="0" w:firstLine="633" w:firstLineChars="198"/>
        <w:contextualSpacing w:val="0"/>
        <w:jc w:val="both"/>
        <w:rPr>
          <w:rFonts w:hint="eastAsia" w:ascii="仿宋_GB2312" w:hAnsi="Calibri" w:eastAsia="仿宋_GB2312" w:cs="宋体"/>
          <w:vanish w:val="0"/>
          <w:spacing w:val="0"/>
          <w:kern w:val="2"/>
          <w:sz w:val="32"/>
          <w:szCs w:val="32"/>
        </w:rPr>
      </w:pPr>
      <w:r>
        <w:rPr>
          <w:rFonts w:hint="eastAsia" w:ascii="仿宋_GB2312" w:eastAsia="仿宋_GB2312" w:cs="宋体"/>
          <w:vanish w:val="0"/>
          <w:spacing w:val="0"/>
          <w:kern w:val="0"/>
          <w:sz w:val="32"/>
          <w:szCs w:val="32"/>
          <w:lang w:val="en-US" w:eastAsia="zh-CN"/>
        </w:rPr>
        <w:t>3</w:t>
      </w:r>
      <w:r>
        <w:rPr>
          <w:rFonts w:hint="eastAsia" w:ascii="仿宋_GB2312" w:hAnsi="Calibri" w:eastAsia="仿宋_GB2312" w:cs="宋体"/>
          <w:vanish w:val="0"/>
          <w:spacing w:val="0"/>
          <w:kern w:val="0"/>
          <w:sz w:val="32"/>
          <w:szCs w:val="32"/>
        </w:rPr>
        <w:t xml:space="preserve">. 项目地点: </w:t>
      </w:r>
      <w:r>
        <w:rPr>
          <w:rFonts w:hint="eastAsia" w:ascii="仿宋_GB2312" w:eastAsia="仿宋_GB2312" w:cs="宋体"/>
          <w:vanish w:val="0"/>
          <w:spacing w:val="0"/>
          <w:kern w:val="0"/>
          <w:sz w:val="32"/>
          <w:szCs w:val="32"/>
          <w:u w:val="single"/>
          <w:lang w:eastAsia="zh-CN"/>
        </w:rPr>
        <w:t>蓝田县</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w:t>
      </w:r>
    </w:p>
    <w:p w14:paraId="0EA02D5A">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二、合同金额</w:t>
      </w:r>
    </w:p>
    <w:p w14:paraId="254B43B9">
      <w:pPr>
        <w:adjustRightInd w:val="0"/>
        <w:snapToGrid w:val="0"/>
        <w:spacing w:before="0" w:beforeAutospacing="0" w:after="0" w:afterAutospacing="0" w:line="600" w:lineRule="exact"/>
        <w:ind w:left="958" w:leftChars="304" w:hanging="320" w:hangingChars="100"/>
        <w:contextualSpacing w:val="0"/>
        <w:jc w:val="both"/>
        <w:rPr>
          <w:rFonts w:hint="eastAsia" w:ascii="仿宋_GB2312" w:eastAsia="仿宋_GB2312" w:cs="宋体"/>
          <w:vanish w:val="0"/>
          <w:spacing w:val="0"/>
          <w:kern w:val="0"/>
          <w:sz w:val="32"/>
          <w:szCs w:val="32"/>
          <w:lang w:val="en-US" w:eastAsia="zh-CN"/>
        </w:rPr>
      </w:pPr>
      <w:r>
        <w:rPr>
          <w:rFonts w:hint="eastAsia" w:ascii="仿宋_GB2312" w:hAnsi="Calibri" w:eastAsia="仿宋_GB2312" w:cs="宋体"/>
          <w:vanish w:val="0"/>
          <w:spacing w:val="0"/>
          <w:kern w:val="0"/>
          <w:sz w:val="32"/>
          <w:szCs w:val="32"/>
        </w:rPr>
        <w:t>合同</w:t>
      </w:r>
      <w:r>
        <w:rPr>
          <w:rFonts w:hint="eastAsia" w:ascii="仿宋_GB2312" w:eastAsia="仿宋_GB2312" w:cs="宋体"/>
          <w:vanish w:val="0"/>
          <w:spacing w:val="0"/>
          <w:kern w:val="0"/>
          <w:sz w:val="32"/>
          <w:szCs w:val="32"/>
          <w:lang w:val="en-US" w:eastAsia="zh-CN"/>
        </w:rPr>
        <w:t>总</w:t>
      </w:r>
      <w:r>
        <w:rPr>
          <w:rFonts w:hint="eastAsia" w:ascii="仿宋_GB2312" w:hAnsi="Calibri" w:eastAsia="仿宋_GB2312" w:cs="宋体"/>
          <w:vanish w:val="0"/>
          <w:spacing w:val="0"/>
          <w:kern w:val="0"/>
          <w:sz w:val="32"/>
          <w:szCs w:val="32"/>
        </w:rPr>
        <w:t>金额：</w:t>
      </w:r>
      <w:r>
        <w:rPr>
          <w:rFonts w:hint="eastAsia" w:hAnsi="宋体" w:cs="宋体"/>
          <w:sz w:val="28"/>
          <w:szCs w:val="28"/>
        </w:rPr>
        <w:t>¥</w:t>
      </w:r>
      <w:r>
        <w:rPr>
          <w:rFonts w:hint="eastAsia" w:ascii="仿宋_GB2312" w:hAnsi="Calibri" w:eastAsia="仿宋_GB2312" w:cs="宋体"/>
          <w:vanish w:val="0"/>
          <w:spacing w:val="0"/>
          <w:kern w:val="0"/>
          <w:sz w:val="32"/>
          <w:szCs w:val="32"/>
          <w:u w:val="single"/>
        </w:rPr>
        <w:t xml:space="preserve">        </w:t>
      </w:r>
      <w:r>
        <w:rPr>
          <w:rFonts w:hint="eastAsia" w:ascii="仿宋_GB2312" w:eastAsia="仿宋_GB2312" w:cs="宋体"/>
          <w:vanish w:val="0"/>
          <w:spacing w:val="0"/>
          <w:kern w:val="0"/>
          <w:sz w:val="32"/>
          <w:szCs w:val="32"/>
          <w:lang w:val="en-US" w:eastAsia="zh-CN"/>
        </w:rPr>
        <w:t>元（大写：</w:t>
      </w:r>
      <w:r>
        <w:rPr>
          <w:rFonts w:hint="eastAsia" w:ascii="仿宋_GB2312" w:hAnsi="Calibri" w:eastAsia="仿宋_GB2312" w:cs="宋体"/>
          <w:vanish w:val="0"/>
          <w:spacing w:val="0"/>
          <w:kern w:val="0"/>
          <w:sz w:val="32"/>
          <w:szCs w:val="32"/>
          <w:u w:val="single"/>
        </w:rPr>
        <w:t xml:space="preserve">               </w:t>
      </w:r>
      <w:r>
        <w:rPr>
          <w:rFonts w:hint="eastAsia" w:ascii="仿宋_GB2312" w:eastAsia="仿宋_GB2312" w:cs="宋体"/>
          <w:vanish w:val="0"/>
          <w:spacing w:val="0"/>
          <w:kern w:val="0"/>
          <w:sz w:val="32"/>
          <w:szCs w:val="32"/>
          <w:lang w:val="en-US" w:eastAsia="zh-CN"/>
        </w:rPr>
        <w:t>），</w:t>
      </w:r>
    </w:p>
    <w:p w14:paraId="408E0D35">
      <w:pPr>
        <w:adjustRightInd w:val="0"/>
        <w:snapToGrid w:val="0"/>
        <w:spacing w:before="0" w:beforeAutospacing="0" w:after="0" w:afterAutospacing="0" w:line="600" w:lineRule="exact"/>
        <w:ind w:left="958" w:leftChars="304" w:hanging="320" w:hangingChars="100"/>
        <w:contextualSpacing w:val="0"/>
        <w:jc w:val="both"/>
        <w:rPr>
          <w:rFonts w:hint="eastAsia" w:ascii="仿宋_GB2312" w:hAnsi="Calibri" w:eastAsia="仿宋_GB2312" w:cs="宋体"/>
          <w:vanish w:val="0"/>
          <w:spacing w:val="0"/>
          <w:kern w:val="2"/>
          <w:sz w:val="32"/>
          <w:szCs w:val="32"/>
        </w:rPr>
      </w:pPr>
      <w:r>
        <w:rPr>
          <w:rFonts w:hint="eastAsia" w:ascii="仿宋_GB2312" w:eastAsia="仿宋_GB2312" w:cs="宋体"/>
          <w:vanish w:val="0"/>
          <w:spacing w:val="0"/>
          <w:kern w:val="0"/>
          <w:sz w:val="32"/>
          <w:szCs w:val="32"/>
          <w:lang w:val="en-US" w:eastAsia="zh-CN"/>
        </w:rPr>
        <w:t>单价</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元/案，据实结算。</w:t>
      </w:r>
    </w:p>
    <w:p w14:paraId="6ADF77AB">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三、内容、标准及要求</w:t>
      </w:r>
    </w:p>
    <w:p w14:paraId="76C41428">
      <w:pPr>
        <w:pStyle w:val="6"/>
        <w:keepNext w:val="0"/>
        <w:keepLines w:val="0"/>
        <w:pageBreakBefore w:val="0"/>
        <w:widowControl w:val="0"/>
        <w:kinsoku/>
        <w:wordWrap/>
        <w:overflowPunct/>
        <w:topLinePunct w:val="0"/>
        <w:autoSpaceDE/>
        <w:autoSpaceDN/>
        <w:bidi w:val="0"/>
        <w:adjustRightInd/>
        <w:snapToGrid/>
        <w:spacing w:before="100" w:beforeAutospacing="1" w:after="0" w:afterAutospacing="0" w:line="600" w:lineRule="exact"/>
        <w:jc w:val="both"/>
        <w:textAlignment w:val="auto"/>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主要工作内容、标准及要求：</w:t>
      </w:r>
    </w:p>
    <w:p w14:paraId="7988B6BF">
      <w:pPr>
        <w:pStyle w:val="6"/>
        <w:keepNext w:val="0"/>
        <w:keepLines w:val="0"/>
        <w:pageBreakBefore w:val="0"/>
        <w:widowControl w:val="0"/>
        <w:numPr>
          <w:ilvl w:val="0"/>
          <w:numId w:val="1"/>
        </w:numPr>
        <w:kinsoku/>
        <w:wordWrap/>
        <w:overflowPunct/>
        <w:topLinePunct w:val="0"/>
        <w:autoSpaceDE/>
        <w:autoSpaceDN/>
        <w:bidi w:val="0"/>
        <w:adjustRightInd/>
        <w:snapToGrid/>
        <w:spacing w:before="100" w:beforeAutospacing="1" w:after="0" w:afterAutospacing="0" w:line="600" w:lineRule="exact"/>
        <w:ind w:left="0" w:firstLine="640" w:firstLineChars="200"/>
        <w:jc w:val="both"/>
        <w:textAlignment w:val="auto"/>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送达审核。集约送达中心在接收到送达任务后要认真审核，重点关注送达环节及备注情况，合理分配线上、线下送达，不符合要求及时退回并说明理由。</w:t>
      </w:r>
    </w:p>
    <w:p w14:paraId="1159DE07">
      <w:pPr>
        <w:pStyle w:val="6"/>
        <w:keepNext w:val="0"/>
        <w:keepLines w:val="0"/>
        <w:pageBreakBefore w:val="0"/>
        <w:widowControl w:val="0"/>
        <w:numPr>
          <w:ilvl w:val="0"/>
          <w:numId w:val="1"/>
        </w:numPr>
        <w:kinsoku/>
        <w:wordWrap/>
        <w:overflowPunct/>
        <w:topLinePunct w:val="0"/>
        <w:autoSpaceDE/>
        <w:autoSpaceDN/>
        <w:bidi w:val="0"/>
        <w:adjustRightInd/>
        <w:snapToGrid/>
        <w:spacing w:before="100" w:beforeAutospacing="1" w:after="0" w:afterAutospacing="0" w:line="600" w:lineRule="exact"/>
        <w:ind w:left="0" w:firstLine="640" w:firstLineChars="200"/>
        <w:jc w:val="both"/>
        <w:textAlignment w:val="auto"/>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电子送达。按照《陕西省高级人民法院关于电子送达与集中送达的若干规定（试行）》进行电子送达。使用送达平台送达文书和诉讼活动总量应符合人民法院诉讼服务质效评估体系指标要求，确保相应指标得满分。</w:t>
      </w:r>
    </w:p>
    <w:p w14:paraId="43487DE4">
      <w:pPr>
        <w:pStyle w:val="6"/>
        <w:keepNext w:val="0"/>
        <w:keepLines w:val="0"/>
        <w:pageBreakBefore w:val="0"/>
        <w:widowControl w:val="0"/>
        <w:numPr>
          <w:ilvl w:val="0"/>
          <w:numId w:val="1"/>
        </w:numPr>
        <w:kinsoku/>
        <w:wordWrap/>
        <w:overflowPunct/>
        <w:topLinePunct w:val="0"/>
        <w:autoSpaceDE/>
        <w:autoSpaceDN/>
        <w:bidi w:val="0"/>
        <w:adjustRightInd/>
        <w:snapToGrid/>
        <w:spacing w:before="100" w:beforeAutospacing="1" w:after="0" w:afterAutospacing="0" w:line="600" w:lineRule="exact"/>
        <w:ind w:left="0" w:firstLine="640" w:firstLineChars="200"/>
        <w:jc w:val="both"/>
        <w:textAlignment w:val="auto"/>
        <w:rPr>
          <w:rFonts w:hint="eastAsia" w:ascii="仿宋_GB2312" w:hAnsi="Calibri" w:eastAsia="仿宋_GB2312" w:cs="宋体"/>
          <w:vanish w:val="0"/>
          <w:spacing w:val="0"/>
          <w:kern w:val="0"/>
          <w:sz w:val="30"/>
          <w:szCs w:val="30"/>
        </w:rPr>
      </w:pPr>
      <w:r>
        <w:rPr>
          <w:rFonts w:hint="eastAsia" w:ascii="仿宋_GB2312" w:hAnsi="Calibri" w:eastAsia="仿宋_GB2312" w:cs="宋体"/>
          <w:vanish w:val="0"/>
          <w:spacing w:val="0"/>
          <w:kern w:val="0"/>
          <w:sz w:val="32"/>
          <w:szCs w:val="32"/>
        </w:rPr>
        <w:t>来院领取。根据电话联系情况，如受送达人同意来院领取，集约送达中心以派发工单的形式，将需送达诉讼文书</w:t>
      </w:r>
      <w:r>
        <w:rPr>
          <w:rFonts w:hint="eastAsia" w:ascii="仿宋_GB2312" w:hAnsi="Calibri" w:eastAsia="仿宋_GB2312" w:cs="宋体"/>
          <w:vanish w:val="0"/>
          <w:spacing w:val="0"/>
          <w:kern w:val="0"/>
          <w:sz w:val="30"/>
          <w:szCs w:val="30"/>
        </w:rPr>
        <w:t>打印后，由送达窗口或相关案件办理法官及书记员当面送达。</w:t>
      </w:r>
    </w:p>
    <w:p w14:paraId="016EF9C0">
      <w:pPr>
        <w:pStyle w:val="6"/>
        <w:keepNext w:val="0"/>
        <w:keepLines w:val="0"/>
        <w:pageBreakBefore w:val="0"/>
        <w:widowControl w:val="0"/>
        <w:numPr>
          <w:ilvl w:val="0"/>
          <w:numId w:val="1"/>
        </w:numPr>
        <w:kinsoku/>
        <w:wordWrap/>
        <w:overflowPunct/>
        <w:topLinePunct w:val="0"/>
        <w:autoSpaceDE/>
        <w:autoSpaceDN/>
        <w:bidi w:val="0"/>
        <w:adjustRightInd/>
        <w:snapToGrid/>
        <w:spacing w:before="100" w:beforeAutospacing="1" w:after="0" w:afterAutospacing="0" w:line="600" w:lineRule="exact"/>
        <w:ind w:left="0" w:firstLine="600" w:firstLineChars="200"/>
        <w:jc w:val="both"/>
        <w:textAlignment w:val="auto"/>
        <w:rPr>
          <w:rFonts w:hint="eastAsia" w:ascii="仿宋_GB2312" w:hAnsi="Calibri" w:eastAsia="仿宋_GB2312" w:cs="宋体"/>
          <w:vanish w:val="0"/>
          <w:spacing w:val="0"/>
          <w:kern w:val="0"/>
          <w:sz w:val="30"/>
          <w:szCs w:val="30"/>
        </w:rPr>
      </w:pPr>
      <w:r>
        <w:rPr>
          <w:rFonts w:hint="eastAsia" w:ascii="仿宋_GB2312" w:hAnsi="Calibri" w:eastAsia="仿宋_GB2312" w:cs="宋体"/>
          <w:vanish w:val="0"/>
          <w:spacing w:val="0"/>
          <w:kern w:val="0"/>
          <w:sz w:val="30"/>
          <w:szCs w:val="30"/>
        </w:rPr>
        <w:t>邮寄送达和邮政集约送达。集约送达中心根据法官、书记员指示选择送达方式，优先选用电子送达，邮寄送达需采用邮政法院专递，以</w:t>
      </w:r>
      <w:r>
        <w:rPr>
          <w:rFonts w:ascii="Calibri" w:hAnsi="Calibri" w:eastAsia="仿宋_GB2312" w:cs="宋体"/>
          <w:vanish w:val="0"/>
          <w:spacing w:val="0"/>
          <w:kern w:val="0"/>
          <w:sz w:val="30"/>
          <w:szCs w:val="30"/>
        </w:rPr>
        <w:t>“</w:t>
      </w:r>
      <w:r>
        <w:rPr>
          <w:rFonts w:hint="eastAsia" w:ascii="仿宋_GB2312" w:hAnsi="Calibri" w:eastAsia="仿宋_GB2312" w:cs="宋体"/>
          <w:vanish w:val="0"/>
          <w:spacing w:val="0"/>
          <w:kern w:val="0"/>
          <w:sz w:val="30"/>
          <w:szCs w:val="30"/>
        </w:rPr>
        <w:t>五日三投</w:t>
      </w:r>
      <w:r>
        <w:rPr>
          <w:rFonts w:ascii="Calibri" w:hAnsi="Calibri" w:eastAsia="仿宋_GB2312" w:cs="宋体"/>
          <w:vanish w:val="0"/>
          <w:spacing w:val="0"/>
          <w:kern w:val="0"/>
          <w:sz w:val="30"/>
          <w:szCs w:val="30"/>
        </w:rPr>
        <w:t>”</w:t>
      </w:r>
      <w:r>
        <w:rPr>
          <w:rFonts w:hint="eastAsia" w:ascii="仿宋_GB2312" w:hAnsi="Calibri" w:eastAsia="仿宋_GB2312" w:cs="宋体"/>
          <w:vanish w:val="0"/>
          <w:spacing w:val="0"/>
          <w:kern w:val="0"/>
          <w:sz w:val="30"/>
          <w:szCs w:val="30"/>
        </w:rPr>
        <w:t>（五日内投放三次，至少有一次为晚上18时之后或周六、日）方式送达。邮寄送达首选邮政跨域送达，即异地打印、同城送达。</w:t>
      </w:r>
    </w:p>
    <w:p w14:paraId="3B17CF67">
      <w:pPr>
        <w:pStyle w:val="6"/>
        <w:keepNext w:val="0"/>
        <w:keepLines w:val="0"/>
        <w:pageBreakBefore w:val="0"/>
        <w:widowControl w:val="0"/>
        <w:numPr>
          <w:ilvl w:val="0"/>
          <w:numId w:val="1"/>
        </w:numPr>
        <w:kinsoku/>
        <w:wordWrap/>
        <w:overflowPunct/>
        <w:topLinePunct w:val="0"/>
        <w:autoSpaceDE/>
        <w:autoSpaceDN/>
        <w:bidi w:val="0"/>
        <w:adjustRightInd/>
        <w:snapToGrid/>
        <w:spacing w:before="100" w:beforeAutospacing="1" w:after="0" w:afterAutospacing="0" w:line="600" w:lineRule="exact"/>
        <w:ind w:left="0" w:firstLine="600" w:firstLineChars="200"/>
        <w:jc w:val="both"/>
        <w:textAlignment w:val="auto"/>
        <w:rPr>
          <w:rFonts w:hint="eastAsia" w:ascii="仿宋_GB2312" w:hAnsi="Calibri" w:eastAsia="仿宋_GB2312" w:cs="宋体"/>
          <w:vanish w:val="0"/>
          <w:spacing w:val="0"/>
          <w:kern w:val="0"/>
          <w:sz w:val="30"/>
          <w:szCs w:val="30"/>
        </w:rPr>
      </w:pPr>
      <w:r>
        <w:rPr>
          <w:rFonts w:hint="eastAsia" w:ascii="仿宋_GB2312" w:hAnsi="Calibri" w:eastAsia="仿宋_GB2312" w:cs="宋体"/>
          <w:vanish w:val="0"/>
          <w:spacing w:val="0"/>
          <w:kern w:val="0"/>
          <w:sz w:val="30"/>
          <w:szCs w:val="30"/>
        </w:rPr>
        <w:t>数据整理。做好集约送达中心各项数据汇总、统计、分析，按月通报集约送达平台运行情况。</w:t>
      </w:r>
    </w:p>
    <w:p w14:paraId="7B31F7DD">
      <w:pPr>
        <w:pStyle w:val="6"/>
        <w:keepNext w:val="0"/>
        <w:keepLines w:val="0"/>
        <w:pageBreakBefore w:val="0"/>
        <w:widowControl w:val="0"/>
        <w:numPr>
          <w:ilvl w:val="0"/>
          <w:numId w:val="1"/>
        </w:numPr>
        <w:kinsoku/>
        <w:wordWrap/>
        <w:overflowPunct/>
        <w:topLinePunct w:val="0"/>
        <w:autoSpaceDE/>
        <w:autoSpaceDN/>
        <w:bidi w:val="0"/>
        <w:adjustRightInd/>
        <w:snapToGrid/>
        <w:spacing w:before="100" w:beforeAutospacing="1" w:after="0" w:afterAutospacing="0" w:line="600" w:lineRule="exact"/>
        <w:ind w:left="0" w:firstLine="600" w:firstLineChars="200"/>
        <w:jc w:val="both"/>
        <w:textAlignment w:val="auto"/>
        <w:rPr>
          <w:rFonts w:hint="eastAsia" w:ascii="仿宋_GB2312" w:hAnsi="Calibri" w:eastAsia="仿宋_GB2312" w:cs="宋体"/>
          <w:vanish w:val="0"/>
          <w:spacing w:val="0"/>
          <w:kern w:val="0"/>
          <w:sz w:val="30"/>
          <w:szCs w:val="30"/>
        </w:rPr>
      </w:pPr>
      <w:r>
        <w:rPr>
          <w:rFonts w:hint="eastAsia" w:ascii="仿宋_GB2312" w:hAnsi="Calibri" w:eastAsia="仿宋_GB2312" w:cs="宋体"/>
          <w:vanish w:val="0"/>
          <w:spacing w:val="0"/>
          <w:kern w:val="0"/>
          <w:sz w:val="30"/>
          <w:szCs w:val="30"/>
        </w:rPr>
        <w:t>其他事项。服从采购方管理，积极主动承办采购方交办的其他工作。</w:t>
      </w:r>
    </w:p>
    <w:p w14:paraId="258E27B1">
      <w:pPr>
        <w:pStyle w:val="6"/>
        <w:keepNext w:val="0"/>
        <w:keepLines w:val="0"/>
        <w:pageBreakBefore w:val="0"/>
        <w:widowControl w:val="0"/>
        <w:numPr>
          <w:ilvl w:val="0"/>
          <w:numId w:val="1"/>
        </w:numPr>
        <w:kinsoku/>
        <w:wordWrap/>
        <w:overflowPunct/>
        <w:topLinePunct w:val="0"/>
        <w:autoSpaceDE/>
        <w:autoSpaceDN/>
        <w:bidi w:val="0"/>
        <w:adjustRightInd/>
        <w:snapToGrid/>
        <w:spacing w:before="100" w:beforeAutospacing="1" w:after="0" w:afterAutospacing="0" w:line="600" w:lineRule="exact"/>
        <w:ind w:left="0" w:firstLine="640" w:firstLineChars="200"/>
        <w:jc w:val="both"/>
        <w:textAlignment w:val="auto"/>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项目指标</w:t>
      </w:r>
    </w:p>
    <w:p w14:paraId="3EDDCE18">
      <w:pPr>
        <w:shd w:val="clear" w:color="auto" w:fill="auto"/>
        <w:spacing w:before="0" w:beforeAutospacing="0" w:after="0" w:afterAutospacing="0" w:line="600" w:lineRule="exact"/>
        <w:ind w:left="0" w:firstLine="480" w:firstLineChars="150"/>
        <w:jc w:val="both"/>
        <w:rPr>
          <w:rFonts w:hint="default" w:ascii="仿宋_GB2312" w:hAnsi="Calibri" w:eastAsia="仿宋_GB2312" w:cs="宋体"/>
          <w:vanish w:val="0"/>
          <w:spacing w:val="0"/>
          <w:kern w:val="0"/>
          <w:sz w:val="32"/>
          <w:szCs w:val="32"/>
          <w:lang w:val="en-US" w:eastAsia="zh-CN"/>
        </w:rPr>
      </w:pPr>
      <w:r>
        <w:rPr>
          <w:rFonts w:hint="eastAsia" w:ascii="仿宋_GB2312" w:eastAsia="仿宋_GB2312" w:cs="宋体"/>
          <w:vanish w:val="0"/>
          <w:spacing w:val="0"/>
          <w:kern w:val="0"/>
          <w:sz w:val="32"/>
          <w:szCs w:val="32"/>
          <w:u w:val="single"/>
          <w:lang w:val="en-US" w:eastAsia="zh-CN"/>
        </w:rPr>
        <w:t>（项目指标以成交供应商响应文件响应内容为准，所有指标标准不得低于采购文件规定要求）</w:t>
      </w:r>
    </w:p>
    <w:p w14:paraId="663B913F">
      <w:pPr>
        <w:shd w:val="clear" w:color="auto" w:fill="auto"/>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8.甲乙双方的权利与义务</w:t>
      </w:r>
      <w:bookmarkStart w:id="0" w:name="_GoBack"/>
      <w:bookmarkEnd w:id="0"/>
    </w:p>
    <w:p w14:paraId="0A25B2D0">
      <w:pPr>
        <w:shd w:val="clear" w:color="auto" w:fill="auto"/>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8.1甲方的权利及义务</w:t>
      </w:r>
    </w:p>
    <w:p w14:paraId="5F47B9FD">
      <w:pPr>
        <w:shd w:val="clear" w:color="auto" w:fill="auto"/>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(1)甲方有权根据本合同约定向乙方提起服务需求，指定负责人在乙方提供专业服务时与乙方进行合作、协调及交流。</w:t>
      </w:r>
    </w:p>
    <w:p w14:paraId="4B425389">
      <w:pPr>
        <w:shd w:val="clear" w:color="auto" w:fill="auto"/>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(2)甲方须为乙方提供专门的送达服务点或集约送达中心的办公室，以保证乙方必要的工作环境与工作条件。</w:t>
      </w:r>
    </w:p>
    <w:p w14:paraId="42D3AB49">
      <w:pPr>
        <w:shd w:val="clear" w:color="auto" w:fill="auto"/>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(3)未经乙方书面许可，甲方不得使用乙方服务送达非本院案件或将乙方送达渠道提供给第三方使用。</w:t>
      </w:r>
    </w:p>
    <w:p w14:paraId="48B02DD5">
      <w:pPr>
        <w:shd w:val="clear" w:color="auto" w:fill="auto"/>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(4)甲方有义务审查送达的相关内容, 保证前述内容的应用符合中华人民共和国相关法律及互联网相关管理条例规定。</w:t>
      </w:r>
    </w:p>
    <w:p w14:paraId="793365A7">
      <w:pPr>
        <w:shd w:val="clear" w:color="auto" w:fill="auto"/>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(5)甲方向乙方提交的服务需求及相关数据的真实性、合法性、完整性，均已经过甲方充分有效的确认，甲方同意乙方依照前述信息进行送达并进行储存、分析、处理及使用（仅限于本合同业务范围内）等合法行为，甲方对此充分理解并认可。</w:t>
      </w:r>
    </w:p>
    <w:p w14:paraId="26999D16">
      <w:pPr>
        <w:shd w:val="clear" w:color="auto" w:fill="auto"/>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8.2乙方权利及义务</w:t>
      </w:r>
    </w:p>
    <w:p w14:paraId="12B97ABE">
      <w:pPr>
        <w:shd w:val="clear" w:color="auto" w:fill="auto"/>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(1)乙方驻场人员应满足以下要求：大专以上学历，计算机及法律等相关专业毕业；要求熟练掌握Office办公系统及其相关应用软件；政治合格、作风优良，并与乙方签订保密协议。</w:t>
      </w:r>
    </w:p>
    <w:p w14:paraId="58882CCC">
      <w:pPr>
        <w:shd w:val="clear" w:color="auto" w:fill="auto"/>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(2)乙方驻场辅助人员应按照送达服务标准规范为甲方提供相关服务：</w:t>
      </w:r>
    </w:p>
    <w:p w14:paraId="559F34D7">
      <w:pPr>
        <w:pStyle w:val="6"/>
        <w:keepNext w:val="0"/>
        <w:keepLines w:val="0"/>
        <w:pageBreakBefore w:val="0"/>
        <w:widowControl w:val="0"/>
        <w:numPr>
          <w:ilvl w:val="0"/>
          <w:numId w:val="2"/>
        </w:numPr>
        <w:kinsoku/>
        <w:wordWrap/>
        <w:overflowPunct/>
        <w:topLinePunct w:val="0"/>
        <w:autoSpaceDE/>
        <w:autoSpaceDN/>
        <w:bidi w:val="0"/>
        <w:adjustRightInd/>
        <w:snapToGrid/>
        <w:spacing w:before="100" w:beforeAutospacing="1" w:after="0" w:afterAutospacing="0" w:line="600" w:lineRule="exact"/>
        <w:ind w:left="0" w:firstLine="640" w:firstLineChars="200"/>
        <w:jc w:val="both"/>
        <w:textAlignment w:val="auto"/>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采用电子送达方式的，对负责发送的文书进行跟踪短信催收，并检查短信发送情况。</w:t>
      </w:r>
    </w:p>
    <w:p w14:paraId="638FB5F2">
      <w:pPr>
        <w:pStyle w:val="6"/>
        <w:keepNext w:val="0"/>
        <w:keepLines w:val="0"/>
        <w:pageBreakBefore w:val="0"/>
        <w:widowControl w:val="0"/>
        <w:numPr>
          <w:ilvl w:val="0"/>
          <w:numId w:val="2"/>
        </w:numPr>
        <w:kinsoku/>
        <w:wordWrap/>
        <w:overflowPunct/>
        <w:topLinePunct w:val="0"/>
        <w:autoSpaceDE/>
        <w:autoSpaceDN/>
        <w:bidi w:val="0"/>
        <w:adjustRightInd/>
        <w:snapToGrid/>
        <w:spacing w:before="100" w:beforeAutospacing="1" w:after="0" w:afterAutospacing="0" w:line="600" w:lineRule="exact"/>
        <w:ind w:left="0" w:firstLine="640" w:firstLineChars="200"/>
        <w:jc w:val="both"/>
        <w:textAlignment w:val="auto"/>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针对当事人每天不同时段进行多次电话通知服务。</w:t>
      </w:r>
    </w:p>
    <w:p w14:paraId="1DB82FF5">
      <w:pPr>
        <w:pStyle w:val="6"/>
        <w:keepNext w:val="0"/>
        <w:keepLines w:val="0"/>
        <w:pageBreakBefore w:val="0"/>
        <w:widowControl w:val="0"/>
        <w:numPr>
          <w:ilvl w:val="0"/>
          <w:numId w:val="2"/>
        </w:numPr>
        <w:kinsoku/>
        <w:wordWrap/>
        <w:overflowPunct/>
        <w:topLinePunct w:val="0"/>
        <w:autoSpaceDE/>
        <w:autoSpaceDN/>
        <w:bidi w:val="0"/>
        <w:adjustRightInd/>
        <w:snapToGrid/>
        <w:spacing w:before="100" w:beforeAutospacing="1" w:after="0" w:afterAutospacing="0" w:line="600" w:lineRule="exact"/>
        <w:ind w:left="0" w:firstLine="640" w:firstLineChars="200"/>
        <w:jc w:val="both"/>
        <w:textAlignment w:val="auto"/>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需要邮寄送达的，针对送达地址和材料文书进行核查，并进行严谨的打印和封装投递工作，及时回填记录邮政回执。</w:t>
      </w:r>
    </w:p>
    <w:p w14:paraId="0D777B82">
      <w:pPr>
        <w:pStyle w:val="6"/>
        <w:keepNext w:val="0"/>
        <w:keepLines w:val="0"/>
        <w:pageBreakBefore w:val="0"/>
        <w:widowControl w:val="0"/>
        <w:numPr>
          <w:ilvl w:val="0"/>
          <w:numId w:val="2"/>
        </w:numPr>
        <w:kinsoku/>
        <w:wordWrap/>
        <w:overflowPunct/>
        <w:topLinePunct w:val="0"/>
        <w:autoSpaceDE/>
        <w:autoSpaceDN/>
        <w:bidi w:val="0"/>
        <w:adjustRightInd/>
        <w:snapToGrid/>
        <w:spacing w:before="100" w:beforeAutospacing="1" w:after="0" w:afterAutospacing="0" w:line="600" w:lineRule="exact"/>
        <w:ind w:left="0" w:firstLine="640" w:firstLineChars="200"/>
        <w:jc w:val="both"/>
        <w:textAlignment w:val="auto"/>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严格控制公告送达率，针对前置环节是否穷尽了一切送达方式进行程序性审查，与法官进行沟通，并获确认后再进行公告送达。</w:t>
      </w:r>
    </w:p>
    <w:p w14:paraId="6E200058">
      <w:pPr>
        <w:pStyle w:val="6"/>
        <w:keepNext w:val="0"/>
        <w:keepLines w:val="0"/>
        <w:pageBreakBefore w:val="0"/>
        <w:widowControl w:val="0"/>
        <w:numPr>
          <w:ilvl w:val="0"/>
          <w:numId w:val="2"/>
        </w:numPr>
        <w:kinsoku/>
        <w:wordWrap/>
        <w:overflowPunct/>
        <w:topLinePunct w:val="0"/>
        <w:autoSpaceDE/>
        <w:autoSpaceDN/>
        <w:bidi w:val="0"/>
        <w:adjustRightInd/>
        <w:snapToGrid/>
        <w:spacing w:before="100" w:beforeAutospacing="1" w:after="0" w:afterAutospacing="0" w:line="600" w:lineRule="exact"/>
        <w:ind w:left="0" w:firstLine="640" w:firstLineChars="200"/>
        <w:jc w:val="both"/>
        <w:textAlignment w:val="auto"/>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针对送达的结果进行程序性审查，使其符合法律流程规范。</w:t>
      </w:r>
    </w:p>
    <w:p w14:paraId="5E397FBC">
      <w:pPr>
        <w:pStyle w:val="6"/>
        <w:keepNext w:val="0"/>
        <w:keepLines w:val="0"/>
        <w:pageBreakBefore w:val="0"/>
        <w:widowControl w:val="0"/>
        <w:numPr>
          <w:ilvl w:val="0"/>
          <w:numId w:val="2"/>
        </w:numPr>
        <w:kinsoku/>
        <w:wordWrap/>
        <w:overflowPunct/>
        <w:topLinePunct w:val="0"/>
        <w:autoSpaceDE/>
        <w:autoSpaceDN/>
        <w:bidi w:val="0"/>
        <w:adjustRightInd/>
        <w:snapToGrid/>
        <w:spacing w:before="100" w:beforeAutospacing="1" w:after="0" w:afterAutospacing="0" w:line="600" w:lineRule="exact"/>
        <w:ind w:left="0" w:firstLine="640" w:firstLineChars="200"/>
        <w:jc w:val="both"/>
        <w:textAlignment w:val="auto"/>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为法官团队提供包括沟通咨询、材料收转、配合法院需求生成送达结果数据统计等服务。</w:t>
      </w:r>
    </w:p>
    <w:p w14:paraId="3968E8AB">
      <w:pPr>
        <w:pStyle w:val="6"/>
        <w:keepNext w:val="0"/>
        <w:keepLines w:val="0"/>
        <w:pageBreakBefore w:val="0"/>
        <w:widowControl w:val="0"/>
        <w:numPr>
          <w:ilvl w:val="0"/>
          <w:numId w:val="2"/>
        </w:numPr>
        <w:kinsoku/>
        <w:wordWrap/>
        <w:overflowPunct/>
        <w:topLinePunct w:val="0"/>
        <w:autoSpaceDE/>
        <w:autoSpaceDN/>
        <w:bidi w:val="0"/>
        <w:adjustRightInd/>
        <w:snapToGrid/>
        <w:spacing w:before="100" w:beforeAutospacing="1" w:after="0" w:afterAutospacing="0" w:line="600" w:lineRule="exact"/>
        <w:ind w:left="0" w:firstLine="640" w:firstLineChars="200"/>
        <w:jc w:val="both"/>
        <w:textAlignment w:val="auto"/>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针对集约化送达中心日常运转需要的系统、软件和办公设备等进行维护工作。</w:t>
      </w:r>
    </w:p>
    <w:p w14:paraId="227BC14F">
      <w:pPr>
        <w:shd w:val="clear" w:color="auto" w:fill="auto"/>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(3)乙方保证法院服务平台的稳定性和安全性，将甲方用户信息及送达相关数据存储在乙方在联通私有云部署的系统之中，并设置多层级安全保护机制保证数据不被泄露。本协议终止后6个月内，甲方有权书面通知乙方进行数据的移交，乙方应在接到甲方通知后20个工作日内完成移交工作，移交数据形式可用mysql数据库sql语句或者按照甲方要求的文书文件等方式。</w:t>
      </w:r>
    </w:p>
    <w:p w14:paraId="7C5827EE">
      <w:pPr>
        <w:shd w:val="clear" w:color="auto" w:fill="auto"/>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(4)乙方有义务根据技术服务的需要，配套提供相应的设备及管理软件，并负责管理维护。</w:t>
      </w:r>
    </w:p>
    <w:p w14:paraId="0C547DD8">
      <w:pPr>
        <w:shd w:val="clear" w:color="auto" w:fill="auto"/>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(5)甲方未按照合同约定向乙方付款的，经乙方催促后一个月后仍不付款的，乙方有权暂停相关服务并撤回设备。</w:t>
      </w:r>
    </w:p>
    <w:p w14:paraId="47135C37">
      <w:pPr>
        <w:shd w:val="clear" w:color="auto" w:fill="auto"/>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(6)乙方定期将为甲方提供一份数据统计分析报告，为甲方评估辅助送达服务给予全方位数据参考。</w:t>
      </w:r>
    </w:p>
    <w:p w14:paraId="747BEA16">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四、合同履行期限</w:t>
      </w:r>
    </w:p>
    <w:p w14:paraId="1E7A3ED4">
      <w:pPr>
        <w:spacing w:line="600" w:lineRule="exact"/>
        <w:ind w:left="0" w:firstLine="640" w:firstLineChars="200"/>
        <w:jc w:val="both"/>
        <w:rPr>
          <w:rFonts w:hint="eastAsia" w:ascii="仿宋_GB2312" w:hAnsi="Calibri" w:eastAsia="仿宋_GB2312" w:cs="Times New Roman"/>
          <w:vanish w:val="0"/>
          <w:spacing w:val="0"/>
          <w:kern w:val="2"/>
          <w:sz w:val="32"/>
          <w:szCs w:val="32"/>
        </w:rPr>
      </w:pPr>
      <w:r>
        <w:rPr>
          <w:rFonts w:hint="eastAsia" w:ascii="仿宋_GB2312" w:hAnsi="Calibri" w:eastAsia="仿宋_GB2312" w:cs="宋体"/>
          <w:vanish w:val="0"/>
          <w:spacing w:val="0"/>
          <w:kern w:val="0"/>
          <w:sz w:val="32"/>
          <w:szCs w:val="32"/>
        </w:rPr>
        <w:t>本合同从</w:t>
      </w:r>
      <w:r>
        <w:rPr>
          <w:rFonts w:hint="eastAsia" w:ascii="仿宋_GB2312" w:hAnsi="Calibri" w:eastAsia="仿宋_GB2312" w:cs="宋体"/>
          <w:vanish w:val="0"/>
          <w:spacing w:val="0"/>
          <w:kern w:val="0"/>
          <w:sz w:val="32"/>
          <w:szCs w:val="32"/>
          <w:u w:val="single"/>
        </w:rPr>
        <w:t xml:space="preserve">    年  月  日 </w:t>
      </w:r>
      <w:r>
        <w:rPr>
          <w:rFonts w:hint="eastAsia" w:ascii="仿宋_GB2312" w:hAnsi="Calibri" w:eastAsia="仿宋_GB2312" w:cs="宋体"/>
          <w:vanish w:val="0"/>
          <w:spacing w:val="0"/>
          <w:kern w:val="0"/>
          <w:sz w:val="32"/>
          <w:szCs w:val="32"/>
        </w:rPr>
        <w:t>起到</w:t>
      </w:r>
      <w:r>
        <w:rPr>
          <w:rFonts w:hint="eastAsia" w:ascii="仿宋_GB2312" w:hAnsi="Calibri" w:eastAsia="仿宋_GB2312" w:cs="宋体"/>
          <w:vanish w:val="0"/>
          <w:spacing w:val="0"/>
          <w:kern w:val="0"/>
          <w:sz w:val="32"/>
          <w:szCs w:val="32"/>
          <w:u w:val="single"/>
        </w:rPr>
        <w:t xml:space="preserve">   年 月  日</w:t>
      </w:r>
      <w:r>
        <w:rPr>
          <w:rFonts w:hint="eastAsia" w:ascii="仿宋_GB2312" w:hAnsi="Calibri" w:eastAsia="仿宋_GB2312" w:cs="宋体"/>
          <w:vanish w:val="0"/>
          <w:spacing w:val="0"/>
          <w:kern w:val="0"/>
          <w:sz w:val="32"/>
          <w:szCs w:val="32"/>
        </w:rPr>
        <w:t>止，有效期</w:t>
      </w:r>
      <w:r>
        <w:rPr>
          <w:rFonts w:hint="eastAsia" w:ascii="仿宋_GB2312" w:hAnsi="Calibri" w:eastAsia="仿宋_GB2312" w:cs="宋体"/>
          <w:vanish w:val="0"/>
          <w:spacing w:val="0"/>
          <w:kern w:val="0"/>
          <w:sz w:val="32"/>
          <w:szCs w:val="32"/>
          <w:u w:val="single"/>
        </w:rPr>
        <w:t xml:space="preserve"> 壹 </w:t>
      </w:r>
      <w:r>
        <w:rPr>
          <w:rFonts w:hint="eastAsia" w:ascii="仿宋_GB2312" w:hAnsi="Calibri" w:eastAsia="仿宋_GB2312" w:cs="宋体"/>
          <w:vanish w:val="0"/>
          <w:spacing w:val="0"/>
          <w:kern w:val="0"/>
          <w:sz w:val="32"/>
          <w:szCs w:val="32"/>
        </w:rPr>
        <w:t>年。</w:t>
      </w:r>
    </w:p>
    <w:p w14:paraId="5A2A034A">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五、结算方式</w:t>
      </w:r>
    </w:p>
    <w:p w14:paraId="66CC1EFA">
      <w:pPr>
        <w:shd w:val="clear" w:color="auto" w:fill="auto"/>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 xml:space="preserve">   1.结算方式：银行转账，由采购人负责结算。在付款前，供应商必须开具与合同金额相应的发票给采购人。</w:t>
      </w:r>
    </w:p>
    <w:p w14:paraId="31AB8425">
      <w:pPr>
        <w:shd w:val="clear" w:color="auto" w:fill="auto"/>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0"/>
          <w:sz w:val="32"/>
          <w:szCs w:val="32"/>
        </w:rPr>
      </w:pPr>
      <w:r>
        <w:rPr>
          <w:rFonts w:hint="eastAsia" w:ascii="仿宋_GB2312" w:hAnsi="Calibri" w:eastAsia="仿宋_GB2312" w:cs="宋体"/>
          <w:vanish w:val="0"/>
          <w:spacing w:val="0"/>
          <w:kern w:val="0"/>
          <w:sz w:val="32"/>
          <w:szCs w:val="32"/>
        </w:rPr>
        <w:t xml:space="preserve">   2.付款方式：</w:t>
      </w:r>
    </w:p>
    <w:p w14:paraId="1DADE0AA">
      <w:pPr>
        <w:shd w:val="clear" w:color="auto" w:fill="auto"/>
        <w:spacing w:before="0" w:beforeAutospacing="0" w:after="0" w:afterAutospacing="0" w:line="600" w:lineRule="exact"/>
        <w:ind w:left="0" w:firstLine="480" w:firstLineChars="150"/>
        <w:jc w:val="both"/>
        <w:rPr>
          <w:rFonts w:hint="eastAsia" w:ascii="仿宋_GB2312" w:hAnsi="Calibri" w:eastAsia="仿宋_GB2312" w:cs="宋体"/>
          <w:vanish w:val="0"/>
          <w:spacing w:val="0"/>
          <w:kern w:val="0"/>
          <w:sz w:val="32"/>
          <w:szCs w:val="32"/>
          <w:lang w:eastAsia="zh-CN"/>
        </w:rPr>
      </w:pPr>
      <w:r>
        <w:rPr>
          <w:rFonts w:hint="eastAsia" w:ascii="仿宋_GB2312" w:hAnsi="Calibri" w:eastAsia="仿宋_GB2312" w:cs="宋体"/>
          <w:vanish w:val="0"/>
          <w:spacing w:val="0"/>
          <w:kern w:val="0"/>
          <w:sz w:val="32"/>
          <w:szCs w:val="32"/>
          <w:lang w:val="en-US" w:eastAsia="zh-CN"/>
        </w:rPr>
        <w:t>付款条件:</w:t>
      </w:r>
      <w:r>
        <w:rPr>
          <w:rFonts w:hint="eastAsia" w:ascii="仿宋_GB2312" w:hAnsi="Calibri" w:eastAsia="仿宋_GB2312" w:cs="宋体"/>
          <w:vanish w:val="0"/>
          <w:spacing w:val="0"/>
          <w:kern w:val="0"/>
          <w:sz w:val="32"/>
          <w:szCs w:val="32"/>
        </w:rPr>
        <w:t>合同签订后，达到付款条件起15 日内，支付合同总金额的60.0%</w:t>
      </w:r>
      <w:r>
        <w:rPr>
          <w:rFonts w:hint="eastAsia" w:ascii="仿宋_GB2312" w:eastAsia="仿宋_GB2312" w:cs="宋体"/>
          <w:vanish w:val="0"/>
          <w:spacing w:val="0"/>
          <w:kern w:val="0"/>
          <w:sz w:val="32"/>
          <w:szCs w:val="32"/>
          <w:lang w:eastAsia="zh-CN"/>
        </w:rPr>
        <w:t>；</w:t>
      </w:r>
      <w:r>
        <w:rPr>
          <w:rFonts w:hint="eastAsia" w:ascii="仿宋_GB2312" w:hAnsi="Calibri" w:eastAsia="仿宋_GB2312" w:cs="宋体"/>
          <w:vanish w:val="0"/>
          <w:spacing w:val="0"/>
          <w:kern w:val="0"/>
          <w:sz w:val="32"/>
          <w:szCs w:val="32"/>
        </w:rPr>
        <w:t>2026年年底一次性按</w:t>
      </w:r>
      <w:r>
        <w:rPr>
          <w:rFonts w:hint="eastAsia" w:ascii="仿宋_GB2312" w:eastAsia="仿宋_GB2312" w:cs="宋体"/>
          <w:vanish w:val="0"/>
          <w:spacing w:val="0"/>
          <w:kern w:val="0"/>
          <w:sz w:val="32"/>
          <w:szCs w:val="32"/>
          <w:lang w:val="en-US" w:eastAsia="zh-CN"/>
        </w:rPr>
        <w:t>案</w:t>
      </w:r>
      <w:r>
        <w:rPr>
          <w:rFonts w:hint="eastAsia" w:ascii="仿宋_GB2312" w:hAnsi="Calibri" w:eastAsia="仿宋_GB2312" w:cs="宋体"/>
          <w:vanish w:val="0"/>
          <w:spacing w:val="0"/>
          <w:kern w:val="0"/>
          <w:sz w:val="32"/>
          <w:szCs w:val="32"/>
        </w:rPr>
        <w:t>据实结算剩余合同金额，达到付款条件起15日内，支付合同总金额的40.00%。</w:t>
      </w:r>
    </w:p>
    <w:p w14:paraId="60E7F630">
      <w:pPr>
        <w:pStyle w:val="2"/>
        <w:rPr>
          <w:rFonts w:hint="eastAsia"/>
        </w:rPr>
      </w:pPr>
    </w:p>
    <w:p w14:paraId="1DC14FCE">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六、技术支撑服务</w:t>
      </w:r>
    </w:p>
    <w:p w14:paraId="6FF91D4C">
      <w:pPr>
        <w:spacing w:before="0" w:beforeAutospacing="0" w:after="0" w:afterAutospacing="0" w:line="600" w:lineRule="exact"/>
        <w:ind w:left="0" w:firstLine="640" w:firstLineChars="20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技术支持和售后服务由供应商严格按投标文件及有关承诺执行，确保采购人正确安全使用。</w:t>
      </w:r>
    </w:p>
    <w:p w14:paraId="2532F8C1">
      <w:pPr>
        <w:spacing w:before="0" w:beforeAutospacing="0" w:after="0" w:afterAutospacing="0" w:line="600" w:lineRule="exact"/>
        <w:ind w:left="0" w:firstLine="640" w:firstLineChars="20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乙方提供专业的服务人员进行现场导入服务，内容包括集约化送达流程梳理、电子送达规则确认、系统安装配置、法官\书记员操作培训、硬件部署等工作。协同前端工作人员完成集约化送达流程试运行，有序开展集约化送达工作。</w:t>
      </w:r>
    </w:p>
    <w:p w14:paraId="00844E67">
      <w:pPr>
        <w:spacing w:before="0" w:beforeAutospacing="0" w:after="0" w:afterAutospacing="0" w:line="600" w:lineRule="exact"/>
        <w:ind w:left="0" w:firstLine="640" w:firstLineChars="20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制定集约送达管理制度系列文件，如《集约送达暂行管理办法》、《电话送达话术规范及话务技巧》、《送达辅助系统操作指南》、《数据报表模板》、《硬件设备操作与维护指南》、《驻场工作信息保密制度》等等，确保送达服务合规性，不断完善驻场人员管理，保障集约化送达工作实现持续有效的规范运作。</w:t>
      </w:r>
    </w:p>
    <w:p w14:paraId="4F9D7FAB">
      <w:pPr>
        <w:spacing w:before="0" w:beforeAutospacing="0" w:after="0" w:afterAutospacing="0" w:line="600" w:lineRule="exact"/>
        <w:ind w:left="0" w:firstLine="640" w:firstLineChars="20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服务联系人：</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 xml:space="preserve">  电话：</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 xml:space="preserve">  </w:t>
      </w:r>
    </w:p>
    <w:p w14:paraId="772145DC">
      <w:pPr>
        <w:spacing w:before="0" w:beforeAutospacing="0" w:after="0" w:afterAutospacing="0" w:line="600" w:lineRule="exact"/>
        <w:ind w:left="0" w:firstLine="640" w:firstLineChars="200"/>
        <w:jc w:val="both"/>
        <w:rPr>
          <w:rFonts w:hint="eastAsia" w:ascii="仿宋_GB2312" w:hAnsi="Calibri" w:eastAsia="仿宋_GB2312" w:cs="宋体"/>
          <w:b/>
          <w:bCs/>
          <w:vanish w:val="0"/>
          <w:spacing w:val="0"/>
          <w:kern w:val="2"/>
          <w:sz w:val="32"/>
          <w:szCs w:val="32"/>
          <w:highlight w:val="green"/>
        </w:rPr>
      </w:pPr>
      <w:r>
        <w:rPr>
          <w:rFonts w:hint="eastAsia" w:ascii="仿宋_GB2312" w:hAnsi="Calibri" w:eastAsia="仿宋_GB2312" w:cs="宋体"/>
          <w:vanish w:val="0"/>
          <w:spacing w:val="0"/>
          <w:kern w:val="0"/>
          <w:sz w:val="32"/>
          <w:szCs w:val="32"/>
        </w:rPr>
        <w:t>如供应商怠于或不能履行维护保养义务，采购人有权委托第三方处理，由此产生的费用和风险由供应商承担。</w:t>
      </w:r>
    </w:p>
    <w:p w14:paraId="2E1CBCF0">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七、保密</w:t>
      </w:r>
    </w:p>
    <w:p w14:paraId="0C2345FB">
      <w:pPr>
        <w:spacing w:before="0" w:beforeAutospacing="0" w:after="0" w:afterAutospacing="0" w:line="600" w:lineRule="exact"/>
        <w:ind w:left="0" w:firstLine="480" w:firstLineChars="150"/>
        <w:jc w:val="both"/>
        <w:rPr>
          <w:rFonts w:hint="eastAsia" w:ascii="黑体" w:hAnsi="Calibri" w:eastAsia="黑体" w:cs="宋体"/>
          <w:b/>
          <w:bCs/>
          <w:vanish w:val="0"/>
          <w:spacing w:val="0"/>
          <w:kern w:val="0"/>
          <w:sz w:val="32"/>
          <w:szCs w:val="32"/>
        </w:rPr>
      </w:pPr>
      <w:r>
        <w:rPr>
          <w:rFonts w:hint="eastAsia" w:ascii="仿宋_GB2312" w:hAnsi="Calibri" w:eastAsia="仿宋_GB2312" w:cs="宋体"/>
          <w:vanish w:val="0"/>
          <w:spacing w:val="0"/>
          <w:kern w:val="0"/>
          <w:sz w:val="32"/>
          <w:szCs w:val="32"/>
        </w:rPr>
        <w:t xml:space="preserve"> 对工作中了解到的采购人的技术、机密等进行严格保密，不得向他人泄漏。本合同的解除或终止不免除供应商应承担的保密义务。</w:t>
      </w:r>
    </w:p>
    <w:p w14:paraId="737F3751">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八、知识产权</w:t>
      </w:r>
    </w:p>
    <w:p w14:paraId="64D632FE">
      <w:pPr>
        <w:spacing w:before="0" w:beforeAutospacing="0" w:after="0" w:afterAutospacing="0" w:line="600" w:lineRule="exact"/>
        <w:ind w:left="0" w:firstLine="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 xml:space="preserve">    供应商应对所供服务具有或已取得合法知识产权，供应商应保证所供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064285F7">
      <w:pPr>
        <w:spacing w:before="0" w:beforeAutospacing="0" w:after="0" w:afterAutospacing="0" w:line="600" w:lineRule="exact"/>
        <w:ind w:left="0" w:firstLine="0"/>
        <w:jc w:val="both"/>
        <w:rPr>
          <w:rFonts w:hint="eastAsia" w:ascii="黑体" w:hAnsi="Calibri" w:eastAsia="黑体" w:cs="宋体"/>
          <w:b/>
          <w:bCs/>
          <w:vanish w:val="0"/>
          <w:spacing w:val="0"/>
          <w:kern w:val="0"/>
          <w:sz w:val="32"/>
          <w:szCs w:val="32"/>
        </w:rPr>
      </w:pPr>
    </w:p>
    <w:p w14:paraId="7C766197">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九、合同争议的解决</w:t>
      </w:r>
    </w:p>
    <w:p w14:paraId="71AF915E">
      <w:pPr>
        <w:spacing w:before="0" w:beforeAutospacing="0" w:after="0" w:afterAutospacing="0" w:line="600" w:lineRule="exact"/>
        <w:ind w:left="0" w:firstLine="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 xml:space="preserve">    合同执行中发生争议的，当事人双方应协商解决。协商达不成一致时，可向当地人民法院提请诉讼。</w:t>
      </w:r>
    </w:p>
    <w:p w14:paraId="7E48E3EB">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十、不可抗力情况下的免责约定</w:t>
      </w:r>
    </w:p>
    <w:p w14:paraId="089F5CB2">
      <w:pPr>
        <w:spacing w:before="0" w:beforeAutospacing="0" w:after="0" w:afterAutospacing="0" w:line="600" w:lineRule="exact"/>
        <w:ind w:left="0" w:firstLine="0"/>
        <w:jc w:val="left"/>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 xml:space="preserve">    双方约定不可抗力情况指：双方不可预见、不可避免、不可克服的客观情况，但不包括双方的违约或疏忽。这些事件包括但不限于：战争、严重火灾、洪水、台风、地震等。</w:t>
      </w:r>
    </w:p>
    <w:p w14:paraId="72FFAAF6">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十一、违约责任</w:t>
      </w:r>
    </w:p>
    <w:p w14:paraId="64769B52">
      <w:pPr>
        <w:spacing w:before="0" w:beforeAutospacing="0" w:after="0" w:afterAutospacing="0" w:line="600" w:lineRule="exact"/>
        <w:ind w:left="0" w:firstLine="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 xml:space="preserve">    依据《中华人民共和国民法典》、《中华人民共和国政府采购法》、《中华人民共和国政府采购法实施条例》的相关条款和本合同约定，供应商未全面履行合同义务或者发生违约，采购单位有权终止合同，依法向供应商进行经济索赔，并报请政府采购监督管理机关进行相应的行政处罚。采购单位违约的，应当赔偿供应商相应的经济损失。</w:t>
      </w:r>
    </w:p>
    <w:p w14:paraId="3E887DBC">
      <w:pPr>
        <w:spacing w:before="0" w:beforeAutospacing="0" w:after="0" w:afterAutospacing="0" w:line="600" w:lineRule="exact"/>
        <w:ind w:left="0" w:firstLine="0"/>
        <w:jc w:val="both"/>
        <w:rPr>
          <w:rFonts w:hint="eastAsia" w:ascii="黑体" w:hAnsi="Calibri" w:eastAsia="黑体" w:cs="宋体"/>
          <w:b/>
          <w:bCs/>
          <w:vanish w:val="0"/>
          <w:spacing w:val="0"/>
          <w:kern w:val="2"/>
          <w:sz w:val="32"/>
          <w:szCs w:val="32"/>
        </w:rPr>
      </w:pPr>
      <w:r>
        <w:rPr>
          <w:rFonts w:hint="eastAsia" w:ascii="黑体" w:hAnsi="Calibri" w:eastAsia="黑体" w:cs="宋体"/>
          <w:b/>
          <w:bCs/>
          <w:vanish w:val="0"/>
          <w:spacing w:val="0"/>
          <w:kern w:val="0"/>
          <w:sz w:val="32"/>
          <w:szCs w:val="32"/>
        </w:rPr>
        <w:t>十二、合同订立</w:t>
      </w:r>
    </w:p>
    <w:p w14:paraId="2842E158">
      <w:pPr>
        <w:adjustRightInd w:val="0"/>
        <w:snapToGrid w:val="0"/>
        <w:spacing w:before="0" w:beforeAutospacing="0" w:after="0" w:afterAutospacing="0" w:line="600" w:lineRule="exact"/>
        <w:ind w:left="0" w:firstLine="633" w:firstLineChars="198"/>
        <w:contextualSpacing w:val="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1. 订立时间：</w:t>
      </w:r>
      <w:r>
        <w:rPr>
          <w:rFonts w:hint="eastAsia" w:ascii="仿宋_GB2312" w:hAnsi="Calibri" w:eastAsia="仿宋_GB2312" w:cs="宋体"/>
          <w:vanish w:val="0"/>
          <w:spacing w:val="0"/>
          <w:kern w:val="0"/>
          <w:sz w:val="32"/>
          <w:szCs w:val="32"/>
          <w:u w:val="single"/>
        </w:rPr>
        <w:t xml:space="preserve">   </w:t>
      </w:r>
      <w:r>
        <w:rPr>
          <w:rFonts w:hint="eastAsia" w:ascii="仿宋_GB2312" w:eastAsia="仿宋_GB2312" w:cs="宋体"/>
          <w:vanish w:val="0"/>
          <w:spacing w:val="0"/>
          <w:kern w:val="0"/>
          <w:sz w:val="32"/>
          <w:szCs w:val="32"/>
          <w:u w:val="single"/>
          <w:lang w:val="en-US" w:eastAsia="zh-CN"/>
        </w:rPr>
        <w:t xml:space="preserve">  </w:t>
      </w:r>
      <w:r>
        <w:rPr>
          <w:rFonts w:hint="eastAsia" w:ascii="仿宋_GB2312" w:hAnsi="Calibri" w:eastAsia="仿宋_GB2312" w:cs="宋体"/>
          <w:vanish w:val="0"/>
          <w:spacing w:val="0"/>
          <w:kern w:val="0"/>
          <w:sz w:val="32"/>
          <w:szCs w:val="32"/>
        </w:rPr>
        <w:t>年</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月</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日。</w:t>
      </w:r>
    </w:p>
    <w:p w14:paraId="33F3FE57">
      <w:pPr>
        <w:adjustRightInd w:val="0"/>
        <w:snapToGrid w:val="0"/>
        <w:spacing w:before="0" w:beforeAutospacing="0" w:after="0" w:afterAutospacing="0" w:line="600" w:lineRule="exact"/>
        <w:ind w:left="0" w:firstLine="633" w:firstLineChars="198"/>
        <w:contextualSpacing w:val="0"/>
        <w:jc w:val="both"/>
        <w:rPr>
          <w:rFonts w:hint="eastAsia" w:ascii="仿宋_GB2312" w:hAnsi="Calibri" w:eastAsia="仿宋_GB2312" w:cs="宋体"/>
          <w:vanish w:val="0"/>
          <w:spacing w:val="0"/>
          <w:kern w:val="2"/>
          <w:sz w:val="32"/>
          <w:szCs w:val="32"/>
        </w:rPr>
      </w:pPr>
      <w:r>
        <w:rPr>
          <w:rFonts w:hint="eastAsia" w:ascii="仿宋_GB2312" w:hAnsi="Calibri" w:eastAsia="仿宋_GB2312" w:cs="宋体"/>
          <w:vanish w:val="0"/>
          <w:spacing w:val="0"/>
          <w:kern w:val="0"/>
          <w:sz w:val="32"/>
          <w:szCs w:val="32"/>
        </w:rPr>
        <w:t>2. 订立地点：</w:t>
      </w:r>
      <w:r>
        <w:rPr>
          <w:rFonts w:hint="eastAsia" w:ascii="仿宋_GB2312" w:hAnsi="Calibri" w:eastAsia="仿宋_GB2312" w:cs="宋体"/>
          <w:vanish w:val="0"/>
          <w:spacing w:val="0"/>
          <w:kern w:val="0"/>
          <w:sz w:val="32"/>
          <w:szCs w:val="32"/>
          <w:u w:val="single"/>
        </w:rPr>
        <w:t xml:space="preserve"> </w:t>
      </w:r>
      <w:r>
        <w:rPr>
          <w:rFonts w:hint="eastAsia" w:ascii="仿宋_GB2312" w:eastAsia="仿宋_GB2312" w:cs="宋体"/>
          <w:vanish w:val="0"/>
          <w:spacing w:val="0"/>
          <w:kern w:val="0"/>
          <w:sz w:val="32"/>
          <w:szCs w:val="32"/>
          <w:u w:val="single"/>
          <w:lang w:eastAsia="zh-CN"/>
        </w:rPr>
        <w:t>蓝田县人民法院</w:t>
      </w:r>
      <w:r>
        <w:rPr>
          <w:rFonts w:hint="eastAsia" w:ascii="仿宋_GB2312" w:hAnsi="Calibri" w:eastAsia="仿宋_GB2312" w:cs="宋体"/>
          <w:vanish w:val="0"/>
          <w:spacing w:val="0"/>
          <w:kern w:val="0"/>
          <w:sz w:val="32"/>
          <w:szCs w:val="32"/>
          <w:u w:val="single"/>
        </w:rPr>
        <w:t xml:space="preserve"> </w:t>
      </w:r>
      <w:r>
        <w:rPr>
          <w:rFonts w:hint="eastAsia" w:ascii="仿宋_GB2312" w:hAnsi="Calibri" w:eastAsia="仿宋_GB2312" w:cs="宋体"/>
          <w:vanish w:val="0"/>
          <w:spacing w:val="0"/>
          <w:kern w:val="0"/>
          <w:sz w:val="32"/>
          <w:szCs w:val="32"/>
        </w:rPr>
        <w:t>。</w:t>
      </w:r>
    </w:p>
    <w:p w14:paraId="58F00AD0">
      <w:pPr>
        <w:kinsoku w:val="0"/>
        <w:wordWrap/>
        <w:overflowPunct/>
        <w:topLinePunct w:val="0"/>
        <w:autoSpaceDE/>
        <w:autoSpaceDN/>
        <w:spacing w:before="0" w:beforeAutospacing="0" w:after="0" w:afterAutospacing="0" w:line="600" w:lineRule="exact"/>
        <w:ind w:left="0" w:firstLine="640" w:firstLineChars="200"/>
        <w:jc w:val="both"/>
        <w:rPr>
          <w:rFonts w:hint="eastAsia" w:ascii="宋体" w:hAnsi="Calibri" w:eastAsia="宋体" w:cs="Times New Roman"/>
          <w:vanish w:val="0"/>
          <w:spacing w:val="0"/>
          <w:kern w:val="2"/>
          <w:sz w:val="24"/>
          <w:szCs w:val="24"/>
        </w:rPr>
      </w:pPr>
      <w:r>
        <w:rPr>
          <w:rFonts w:hint="eastAsia" w:ascii="仿宋_GB2312" w:hAnsi="Calibri" w:eastAsia="仿宋_GB2312" w:cs="宋体"/>
          <w:vanish w:val="0"/>
          <w:spacing w:val="0"/>
          <w:kern w:val="0"/>
          <w:sz w:val="32"/>
          <w:szCs w:val="32"/>
        </w:rPr>
        <w:t>3. 本合同一式</w:t>
      </w:r>
      <w:r>
        <w:rPr>
          <w:rFonts w:hint="eastAsia" w:ascii="仿宋_GB2312" w:hAnsi="Calibri" w:eastAsia="仿宋_GB2312" w:cs="宋体"/>
          <w:vanish w:val="0"/>
          <w:spacing w:val="0"/>
          <w:kern w:val="0"/>
          <w:sz w:val="32"/>
          <w:szCs w:val="32"/>
          <w:u w:val="single"/>
        </w:rPr>
        <w:t xml:space="preserve"> 肆 </w:t>
      </w:r>
      <w:r>
        <w:rPr>
          <w:rFonts w:hint="eastAsia" w:ascii="仿宋_GB2312" w:hAnsi="Calibri" w:eastAsia="仿宋_GB2312" w:cs="宋体"/>
          <w:vanish w:val="0"/>
          <w:spacing w:val="0"/>
          <w:kern w:val="0"/>
          <w:sz w:val="32"/>
          <w:szCs w:val="32"/>
        </w:rPr>
        <w:t>份，具有同等法律效力，双方各执</w:t>
      </w:r>
      <w:r>
        <w:rPr>
          <w:rFonts w:hint="eastAsia" w:ascii="仿宋_GB2312" w:hAnsi="Calibri" w:eastAsia="仿宋_GB2312" w:cs="宋体"/>
          <w:vanish w:val="0"/>
          <w:spacing w:val="0"/>
          <w:kern w:val="0"/>
          <w:sz w:val="32"/>
          <w:szCs w:val="32"/>
          <w:u w:val="single"/>
        </w:rPr>
        <w:t>贰</w:t>
      </w:r>
      <w:r>
        <w:rPr>
          <w:rFonts w:hint="eastAsia" w:ascii="仿宋_GB2312" w:hAnsi="Calibri" w:eastAsia="仿宋_GB2312" w:cs="宋体"/>
          <w:vanish w:val="0"/>
          <w:spacing w:val="0"/>
          <w:kern w:val="0"/>
          <w:sz w:val="32"/>
          <w:szCs w:val="32"/>
        </w:rPr>
        <w:t>份。各方签字盖章后生效，合同执行完毕自动失效。（合同的服务承诺则长期有效）。</w:t>
      </w:r>
      <w:r>
        <w:rPr>
          <w:rFonts w:hint="eastAsia" w:ascii="宋体" w:hAnsi="Calibri" w:eastAsia="宋体" w:cs="Times New Roman"/>
          <w:vanish w:val="0"/>
          <w:spacing w:val="0"/>
          <w:kern w:val="0"/>
          <w:sz w:val="24"/>
          <w:szCs w:val="24"/>
        </w:rPr>
        <w:t xml:space="preserve"> </w:t>
      </w:r>
    </w:p>
    <w:p w14:paraId="7CC12D35">
      <w:pPr>
        <w:spacing w:before="0" w:beforeAutospacing="0" w:after="0" w:afterAutospacing="0"/>
        <w:ind w:left="0" w:firstLine="0"/>
        <w:jc w:val="both"/>
        <w:rPr>
          <w:rFonts w:hint="eastAsia" w:ascii="宋体" w:hAnsi="Calibri" w:eastAsia="宋体" w:cs="Times New Roman"/>
          <w:vanish w:val="0"/>
          <w:spacing w:val="0"/>
          <w:kern w:val="2"/>
          <w:sz w:val="24"/>
          <w:szCs w:val="24"/>
        </w:rPr>
      </w:pPr>
      <w:r>
        <w:rPr>
          <w:rFonts w:hint="eastAsia" w:ascii="仿宋_GB2312" w:eastAsia="仿宋_GB2312" w:cs="宋体"/>
          <w:vanish w:val="0"/>
          <w:spacing w:val="0"/>
          <w:kern w:val="0"/>
          <w:sz w:val="32"/>
          <w:szCs w:val="32"/>
          <w:u w:val="none"/>
          <w:lang w:val="en-US" w:eastAsia="zh-CN"/>
        </w:rPr>
        <w:t xml:space="preserve">               </w:t>
      </w:r>
    </w:p>
    <w:p w14:paraId="4BE0DFD4">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14:paraId="56ACD422">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14:paraId="170C0E52">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14:paraId="260A2FBB">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14:paraId="1786D8EA">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14:paraId="274644F5">
      <w:pPr>
        <w:adjustRightInd w:val="0"/>
        <w:snapToGrid w:val="0"/>
        <w:spacing w:before="0" w:beforeAutospacing="0" w:after="0" w:afterAutospacing="0" w:line="560" w:lineRule="exact"/>
        <w:ind w:left="4517" w:leftChars="-177" w:hanging="4889" w:hangingChars="1528"/>
        <w:contextualSpacing w:val="0"/>
        <w:jc w:val="both"/>
        <w:rPr>
          <w:rFonts w:hint="eastAsia" w:ascii="仿宋_GB2312" w:hAnsi="Calibri" w:eastAsia="仿宋_GB2312" w:cs="宋体"/>
          <w:vanish w:val="0"/>
          <w:spacing w:val="0"/>
          <w:kern w:val="0"/>
          <w:sz w:val="32"/>
          <w:szCs w:val="32"/>
        </w:rPr>
      </w:pPr>
    </w:p>
    <w:p w14:paraId="296867D0">
      <w:pPr>
        <w:adjustRightInd w:val="0"/>
        <w:snapToGrid w:val="0"/>
        <w:spacing w:before="0" w:beforeAutospacing="0" w:after="0" w:afterAutospacing="0" w:line="560" w:lineRule="exact"/>
        <w:ind w:left="4517" w:leftChars="-177" w:hanging="4889" w:hangingChars="1528"/>
        <w:contextualSpacing w:val="0"/>
        <w:jc w:val="both"/>
        <w:rPr>
          <w:rFonts w:hint="default" w:ascii="仿宋_GB2312" w:hAnsi="Calibri" w:eastAsia="仿宋_GB2312" w:cs="宋体"/>
          <w:vanish w:val="0"/>
          <w:spacing w:val="0"/>
          <w:kern w:val="2"/>
          <w:sz w:val="32"/>
          <w:szCs w:val="32"/>
          <w:u w:val="none"/>
          <w:lang w:val="en-US" w:eastAsia="zh-CN"/>
        </w:rPr>
      </w:pPr>
      <w:r>
        <w:rPr>
          <w:rFonts w:hint="eastAsia" w:ascii="仿宋_GB2312" w:hAnsi="Calibri" w:eastAsia="仿宋_GB2312" w:cs="宋体"/>
          <w:vanish w:val="0"/>
          <w:spacing w:val="0"/>
          <w:kern w:val="0"/>
          <w:sz w:val="32"/>
          <w:szCs w:val="32"/>
        </w:rPr>
        <w:t>采购人：</w:t>
      </w:r>
      <w:r>
        <w:rPr>
          <w:rFonts w:hint="eastAsia" w:ascii="仿宋_GB2312" w:eastAsia="仿宋_GB2312" w:cs="宋体"/>
          <w:vanish w:val="0"/>
          <w:spacing w:val="0"/>
          <w:kern w:val="0"/>
          <w:sz w:val="32"/>
          <w:szCs w:val="32"/>
          <w:lang w:val="en-US" w:eastAsia="zh-CN"/>
        </w:rPr>
        <w:t xml:space="preserve">                      </w:t>
      </w:r>
      <w:r>
        <w:rPr>
          <w:rFonts w:hint="eastAsia" w:ascii="仿宋_GB2312" w:hAnsi="Calibri" w:eastAsia="仿宋_GB2312" w:cs="宋体"/>
          <w:vanish w:val="0"/>
          <w:spacing w:val="0"/>
          <w:kern w:val="0"/>
          <w:sz w:val="32"/>
          <w:szCs w:val="32"/>
        </w:rPr>
        <w:t>供应商</w:t>
      </w:r>
      <w:r>
        <w:rPr>
          <w:rFonts w:hint="eastAsia" w:ascii="仿宋_GB2312" w:eastAsia="仿宋_GB2312" w:cs="宋体"/>
          <w:vanish w:val="0"/>
          <w:spacing w:val="0"/>
          <w:kern w:val="0"/>
          <w:sz w:val="32"/>
          <w:szCs w:val="32"/>
          <w:lang w:eastAsia="zh-CN"/>
        </w:rPr>
        <w:t>：</w:t>
      </w:r>
      <w:r>
        <w:rPr>
          <w:rFonts w:hint="eastAsia" w:ascii="仿宋_GB2312" w:eastAsia="仿宋_GB2312" w:cs="宋体"/>
          <w:vanish w:val="0"/>
          <w:spacing w:val="0"/>
          <w:kern w:val="0"/>
          <w:sz w:val="32"/>
          <w:szCs w:val="32"/>
          <w:u w:val="single"/>
          <w:lang w:val="en-US" w:eastAsia="zh-CN"/>
        </w:rPr>
        <w:t xml:space="preserve">             </w:t>
      </w:r>
      <w:r>
        <w:rPr>
          <w:rFonts w:hint="eastAsia" w:ascii="仿宋_GB2312" w:eastAsia="仿宋_GB2312" w:cs="宋体"/>
          <w:vanish w:val="0"/>
          <w:spacing w:val="0"/>
          <w:kern w:val="0"/>
          <w:sz w:val="32"/>
          <w:szCs w:val="32"/>
          <w:u w:val="none"/>
          <w:lang w:val="en-US" w:eastAsia="zh-CN"/>
        </w:rPr>
        <w:t xml:space="preserve">  </w:t>
      </w:r>
    </w:p>
    <w:p w14:paraId="31EA2432">
      <w:pPr>
        <w:adjustRightInd w:val="0"/>
        <w:snapToGrid w:val="0"/>
        <w:spacing w:before="0" w:beforeAutospacing="0" w:after="0" w:afterAutospacing="0" w:line="560" w:lineRule="exact"/>
        <w:ind w:left="5861" w:leftChars="-177" w:hanging="6233" w:hangingChars="1948"/>
        <w:contextualSpacing w:val="0"/>
        <w:jc w:val="both"/>
        <w:rPr>
          <w:rFonts w:hint="eastAsia" w:ascii="仿宋_GB2312" w:hAnsi="Calibri" w:eastAsia="仿宋_GB2312" w:cs="宋体"/>
          <w:vanish w:val="0"/>
          <w:spacing w:val="0"/>
          <w:kern w:val="2"/>
          <w:sz w:val="32"/>
          <w:szCs w:val="32"/>
          <w:u w:val="single"/>
          <w:lang w:eastAsia="zh-CN"/>
        </w:rPr>
      </w:pPr>
      <w:r>
        <w:rPr>
          <w:rFonts w:hint="eastAsia" w:ascii="仿宋_GB2312" w:hAnsi="Calibri" w:eastAsia="仿宋_GB2312" w:cs="宋体"/>
          <w:vanish w:val="0"/>
          <w:spacing w:val="0"/>
          <w:kern w:val="0"/>
          <w:sz w:val="32"/>
          <w:szCs w:val="32"/>
        </w:rPr>
        <w:t>地  址：</w:t>
      </w:r>
      <w:r>
        <w:rPr>
          <w:rFonts w:hint="eastAsia" w:ascii="仿宋_GB2312" w:eastAsia="仿宋_GB2312" w:cs="宋体"/>
          <w:vanish w:val="0"/>
          <w:spacing w:val="0"/>
          <w:kern w:val="0"/>
          <w:sz w:val="32"/>
          <w:szCs w:val="32"/>
          <w:u w:val="none"/>
          <w:lang w:val="en-US" w:eastAsia="zh-CN"/>
        </w:rPr>
        <w:t xml:space="preserve">                      </w:t>
      </w:r>
      <w:r>
        <w:rPr>
          <w:rFonts w:hint="eastAsia" w:ascii="仿宋_GB2312" w:hAnsi="Calibri" w:eastAsia="仿宋_GB2312" w:cs="宋体"/>
          <w:vanish w:val="0"/>
          <w:spacing w:val="0"/>
          <w:kern w:val="0"/>
          <w:sz w:val="32"/>
          <w:szCs w:val="32"/>
        </w:rPr>
        <w:t>地  址：</w:t>
      </w:r>
      <w:r>
        <w:rPr>
          <w:rFonts w:hint="eastAsia" w:ascii="仿宋_GB2312" w:eastAsia="仿宋_GB2312" w:cs="宋体"/>
          <w:vanish w:val="0"/>
          <w:spacing w:val="0"/>
          <w:kern w:val="0"/>
          <w:sz w:val="32"/>
          <w:szCs w:val="32"/>
          <w:u w:val="single"/>
          <w:lang w:val="en-US" w:eastAsia="zh-CN"/>
        </w:rPr>
        <w:t xml:space="preserve">        </w:t>
      </w:r>
      <w:r>
        <w:rPr>
          <w:rFonts w:hint="eastAsia" w:ascii="仿宋_GB2312" w:hAnsi="Calibri" w:eastAsia="仿宋_GB2312" w:cs="宋体"/>
          <w:vanish w:val="0"/>
          <w:spacing w:val="0"/>
          <w:kern w:val="0"/>
          <w:sz w:val="32"/>
          <w:szCs w:val="32"/>
          <w:u w:val="single"/>
        </w:rPr>
        <w:t xml:space="preserve"> </w:t>
      </w:r>
    </w:p>
    <w:p w14:paraId="545353BF">
      <w:pPr>
        <w:adjustRightInd w:val="0"/>
        <w:snapToGrid w:val="0"/>
        <w:spacing w:before="0" w:beforeAutospacing="0" w:after="0" w:afterAutospacing="0" w:line="560" w:lineRule="exact"/>
        <w:ind w:left="-372" w:leftChars="-177" w:firstLine="1"/>
        <w:contextualSpacing w:val="0"/>
        <w:jc w:val="both"/>
        <w:rPr>
          <w:rFonts w:hint="eastAsia" w:ascii="宋体" w:hAnsi="Calibri" w:eastAsia="宋体" w:cs="Times New Roman"/>
          <w:vanish w:val="0"/>
          <w:spacing w:val="0"/>
          <w:kern w:val="2"/>
          <w:sz w:val="24"/>
          <w:szCs w:val="24"/>
        </w:rPr>
      </w:pPr>
      <w:r>
        <w:rPr>
          <w:rFonts w:hint="eastAsia" w:ascii="仿宋_GB2312" w:hAnsi="Calibri" w:eastAsia="仿宋_GB2312" w:cs="宋体"/>
          <w:vanish w:val="0"/>
          <w:spacing w:val="0"/>
          <w:kern w:val="0"/>
          <w:sz w:val="32"/>
          <w:szCs w:val="32"/>
        </w:rPr>
        <w:t xml:space="preserve">法定代表人或其授权的代理人 </w:t>
      </w:r>
      <w:r>
        <w:rPr>
          <w:rFonts w:hint="eastAsia" w:ascii="仿宋_GB2312" w:eastAsia="仿宋_GB2312" w:cs="宋体"/>
          <w:vanish w:val="0"/>
          <w:spacing w:val="0"/>
          <w:kern w:val="0"/>
          <w:sz w:val="32"/>
          <w:szCs w:val="32"/>
          <w:lang w:val="en-US" w:eastAsia="zh-CN"/>
        </w:rPr>
        <w:t xml:space="preserve">  </w:t>
      </w:r>
      <w:r>
        <w:rPr>
          <w:rFonts w:hint="eastAsia" w:ascii="仿宋_GB2312" w:hAnsi="Calibri" w:eastAsia="仿宋_GB2312" w:cs="宋体"/>
          <w:vanish w:val="0"/>
          <w:spacing w:val="0"/>
          <w:kern w:val="0"/>
          <w:sz w:val="32"/>
          <w:szCs w:val="32"/>
        </w:rPr>
        <w:t>法定代表人或其授权的代理人：</w:t>
      </w:r>
      <w:r>
        <w:rPr>
          <w:rFonts w:hint="eastAsia" w:ascii="仿宋_GB2312" w:eastAsia="仿宋_GB2312" w:cs="宋体"/>
          <w:vanish w:val="0"/>
          <w:spacing w:val="0"/>
          <w:kern w:val="0"/>
          <w:sz w:val="32"/>
          <w:szCs w:val="32"/>
          <w:u w:val="single"/>
          <w:lang w:eastAsia="zh-CN"/>
        </w:rPr>
        <w:t>（签字或签章）</w:t>
      </w:r>
      <w:r>
        <w:rPr>
          <w:rFonts w:hint="eastAsia" w:ascii="仿宋_GB2312" w:hAnsi="Calibri" w:eastAsia="仿宋_GB2312" w:cs="宋体"/>
          <w:vanish w:val="0"/>
          <w:spacing w:val="0"/>
          <w:kern w:val="0"/>
          <w:sz w:val="32"/>
          <w:szCs w:val="32"/>
        </w:rPr>
        <w:t xml:space="preserve">        </w:t>
      </w:r>
      <w:r>
        <w:rPr>
          <w:rFonts w:hint="eastAsia" w:ascii="仿宋_GB2312" w:eastAsia="仿宋_GB2312" w:cs="宋体"/>
          <w:vanish w:val="0"/>
          <w:spacing w:val="0"/>
          <w:kern w:val="0"/>
          <w:sz w:val="32"/>
          <w:szCs w:val="32"/>
          <w:lang w:val="en-US" w:eastAsia="zh-CN"/>
        </w:rPr>
        <w:t xml:space="preserve">    </w:t>
      </w:r>
      <w:r>
        <w:rPr>
          <w:rFonts w:hint="eastAsia" w:ascii="仿宋_GB2312" w:hAnsi="Calibri" w:eastAsia="仿宋_GB2312" w:cs="宋体"/>
          <w:vanish w:val="0"/>
          <w:spacing w:val="0"/>
          <w:kern w:val="0"/>
          <w:sz w:val="32"/>
          <w:szCs w:val="32"/>
        </w:rPr>
        <w:t>人：</w:t>
      </w:r>
      <w:r>
        <w:rPr>
          <w:rFonts w:hint="eastAsia" w:ascii="仿宋_GB2312" w:eastAsia="仿宋_GB2312" w:cs="宋体"/>
          <w:vanish w:val="0"/>
          <w:spacing w:val="0"/>
          <w:kern w:val="0"/>
          <w:sz w:val="32"/>
          <w:szCs w:val="32"/>
          <w:u w:val="single"/>
          <w:lang w:eastAsia="zh-CN"/>
        </w:rPr>
        <w:t>（签字或签章）</w:t>
      </w:r>
      <w:r>
        <w:rPr>
          <w:rFonts w:hint="eastAsia" w:ascii="仿宋_GB2312" w:hAnsi="Calibri" w:eastAsia="仿宋_GB2312" w:cs="宋体"/>
          <w:vanish w:val="0"/>
          <w:spacing w:val="0"/>
          <w:kern w:val="0"/>
          <w:sz w:val="32"/>
          <w:szCs w:val="32"/>
        </w:rPr>
        <w:t xml:space="preserve"> </w:t>
      </w:r>
      <w:r>
        <w:rPr>
          <w:rFonts w:hint="eastAsia" w:ascii="仿宋_GB2312" w:hAnsi="Calibri" w:eastAsia="仿宋_GB2312" w:cs="宋体"/>
          <w:vanish w:val="0"/>
          <w:spacing w:val="0"/>
          <w:kern w:val="0"/>
          <w:sz w:val="32"/>
          <w:szCs w:val="32"/>
          <w:u w:val="single"/>
        </w:rPr>
        <w:t xml:space="preserve">         </w:t>
      </w:r>
    </w:p>
    <w:p w14:paraId="22347CF2">
      <w:pPr>
        <w:rPr>
          <w:rFonts w:ascii="Calibri" w:hAnsi="Calibri" w:eastAsia="宋体" w:cs="Times New Roman"/>
          <w:spacing w:val="0"/>
          <w:kern w:val="2"/>
          <w:sz w:val="21"/>
          <w:szCs w:val="21"/>
        </w:rPr>
      </w:pPr>
    </w:p>
    <w:p w14:paraId="5CFA8B3E">
      <w:pPr>
        <w:rPr>
          <w:rFonts w:hint="eastAsia" w:ascii="仿宋" w:hAnsi="仿宋" w:eastAsia="仿宋"/>
          <w:spacing w:val="0"/>
          <w:kern w:val="2"/>
          <w:sz w:val="32"/>
          <w:szCs w:val="32"/>
        </w:rPr>
      </w:pPr>
    </w:p>
    <w:p w14:paraId="34A43F25"/>
    <w:sectPr>
      <w:headerReference r:id="rId7" w:type="first"/>
      <w:headerReference r:id="rId5" w:type="default"/>
      <w:headerReference r:id="rId6" w:type="even"/>
      <w:pgSz w:w="11907" w:h="16839"/>
      <w:pgMar w:top="1440" w:right="1800" w:bottom="1440" w:left="1800" w:header="851" w:footer="992" w:gutter="0"/>
      <w:pgBorders>
        <w:top w:val="none" w:sz="0" w:space="0"/>
        <w:left w:val="none" w:sz="0" w:space="0"/>
        <w:bottom w:val="none" w:sz="0" w:space="0"/>
        <w:right w:val="none" w:sz="0" w:space="0"/>
      </w:pgBorders>
      <w:cols w:space="72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5"/>
      <w:tblW w:w="8523"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2"/>
      <w:gridCol w:w="7671"/>
    </w:tblGrid>
    <w:tr w14:paraId="323D9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right"/>
      </w:trPr>
      <w:tc>
        <w:tcPr>
          <w:tcW w:w="852" w:type="dxa"/>
          <w:shd w:val="clear" w:color="auto" w:fill="auto"/>
        </w:tcPr>
        <w:p w14:paraId="5CFB6732"/>
      </w:tc>
      <w:tc>
        <w:tcPr>
          <w:tcW w:w="7671" w:type="dxa"/>
          <w:tcBorders>
            <w:top w:val="nil"/>
            <w:left w:val="nil"/>
            <w:bottom w:val="nil"/>
            <w:right w:val="nil"/>
          </w:tcBorders>
          <w:shd w:val="clear" w:color="auto" w:fill="auto"/>
        </w:tcPr>
        <w:p w14:paraId="0ADB46ED">
          <w:pPr>
            <w:jc w:val="right"/>
          </w:pPr>
        </w:p>
      </w:tc>
    </w:tr>
  </w:tbl>
  <w:p w14:paraId="4C4F0D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D63B7">
    <w:r>
      <w:pict>
        <v:shape id="PowerPlusWaterMarkObject2" o:spid="_x0000_s4099" o:spt="136" type="#_x0000_t136" style="position:absolute;left:0pt;height:54.3pt;width:246.45pt;mso-position-horizontal:center;mso-position-horizontal-relative:margin;mso-position-vertical:center;mso-position-vertical-relative:margin;rotation:20643840f;z-index:-251657216;mso-width-relative:page;mso-height-relative:page;" fillcolor="#515753" filled="t" stroked="f" coordsize="21600,21600" o:allowincell="f" adj="10800">
          <v:path/>
          <v:fill on="t" opacity="32768f" focussize="0,0"/>
          <v:stroke on="f" color="#000000"/>
          <v:imagedata o:title=""/>
          <o:lock v:ext="edit"/>
          <v:textpath on="t" fitshape="t" fitpath="t" trim="t" xscale="f" string="China Post" style="font-family:Lucida Sans;font-size:5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ED5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lvlText w:val="%1."/>
      <w:lvlJc w:val="left"/>
      <w:pPr>
        <w:tabs>
          <w:tab w:val="left" w:pos="312"/>
        </w:tabs>
        <w:ind w:left="0" w:firstLine="0"/>
      </w:pPr>
      <w:rPr>
        <w:rFonts w:hint="default" w:ascii="Times New Roman" w:hAnsi="Times New Roman"/>
      </w:rPr>
    </w:lvl>
    <w:lvl w:ilvl="1" w:tentative="0">
      <w:start w:val="1"/>
      <w:numFmt w:val="decimal"/>
      <w:lvlText w:val="%2."/>
      <w:lvlJc w:val="left"/>
      <w:pPr>
        <w:tabs>
          <w:tab w:val="left" w:pos="1440"/>
        </w:tabs>
        <w:ind w:left="1440" w:hanging="360"/>
      </w:pPr>
      <w:rPr>
        <w:rFonts w:hint="default" w:ascii="Times New Roman" w:hAnsi="Times New Roman"/>
      </w:rPr>
    </w:lvl>
    <w:lvl w:ilvl="2" w:tentative="0">
      <w:start w:val="1"/>
      <w:numFmt w:val="decimal"/>
      <w:lvlText w:val="%3."/>
      <w:lvlJc w:val="left"/>
      <w:pPr>
        <w:tabs>
          <w:tab w:val="left" w:pos="2160"/>
        </w:tabs>
        <w:ind w:left="2160" w:hanging="360"/>
      </w:pPr>
      <w:rPr>
        <w:rFonts w:hint="default" w:ascii="Times New Roman" w:hAnsi="Times New Roman"/>
      </w:rPr>
    </w:lvl>
    <w:lvl w:ilvl="3" w:tentative="0">
      <w:start w:val="1"/>
      <w:numFmt w:val="decimal"/>
      <w:lvlText w:val="%4."/>
      <w:lvlJc w:val="left"/>
      <w:pPr>
        <w:tabs>
          <w:tab w:val="left" w:pos="2880"/>
        </w:tabs>
        <w:ind w:left="2880" w:hanging="360"/>
      </w:pPr>
      <w:rPr>
        <w:rFonts w:hint="default" w:ascii="Times New Roman" w:hAnsi="Times New Roman"/>
      </w:rPr>
    </w:lvl>
    <w:lvl w:ilvl="4" w:tentative="0">
      <w:start w:val="1"/>
      <w:numFmt w:val="decimal"/>
      <w:lvlText w:val="%5."/>
      <w:lvlJc w:val="left"/>
      <w:pPr>
        <w:tabs>
          <w:tab w:val="left" w:pos="3600"/>
        </w:tabs>
        <w:ind w:left="3600" w:hanging="360"/>
      </w:pPr>
      <w:rPr>
        <w:rFonts w:hint="default" w:ascii="Times New Roman" w:hAnsi="Times New Roman"/>
      </w:rPr>
    </w:lvl>
    <w:lvl w:ilvl="5" w:tentative="0">
      <w:start w:val="1"/>
      <w:numFmt w:val="decimal"/>
      <w:lvlText w:val="%6."/>
      <w:lvlJc w:val="left"/>
      <w:pPr>
        <w:tabs>
          <w:tab w:val="left" w:pos="4320"/>
        </w:tabs>
        <w:ind w:left="4320" w:hanging="360"/>
      </w:pPr>
      <w:rPr>
        <w:rFonts w:hint="default" w:ascii="Times New Roman" w:hAnsi="Times New Roman"/>
      </w:rPr>
    </w:lvl>
    <w:lvl w:ilvl="6" w:tentative="0">
      <w:start w:val="1"/>
      <w:numFmt w:val="decimal"/>
      <w:lvlText w:val="%7."/>
      <w:lvlJc w:val="left"/>
      <w:pPr>
        <w:tabs>
          <w:tab w:val="left" w:pos="5040"/>
        </w:tabs>
        <w:ind w:left="5040" w:hanging="360"/>
      </w:pPr>
      <w:rPr>
        <w:rFonts w:hint="default" w:ascii="Times New Roman" w:hAnsi="Times New Roman"/>
      </w:rPr>
    </w:lvl>
    <w:lvl w:ilvl="7" w:tentative="0">
      <w:start w:val="1"/>
      <w:numFmt w:val="decimal"/>
      <w:lvlText w:val="%8."/>
      <w:lvlJc w:val="left"/>
      <w:pPr>
        <w:tabs>
          <w:tab w:val="left" w:pos="5760"/>
        </w:tabs>
        <w:ind w:left="5760" w:hanging="360"/>
      </w:pPr>
      <w:rPr>
        <w:rFonts w:hint="default" w:ascii="Times New Roman" w:hAnsi="Times New Roman"/>
      </w:rPr>
    </w:lvl>
    <w:lvl w:ilvl="8" w:tentative="0">
      <w:start w:val="1"/>
      <w:numFmt w:val="decimal"/>
      <w:lvlText w:val="%9."/>
      <w:lvlJc w:val="left"/>
      <w:pPr>
        <w:tabs>
          <w:tab w:val="left" w:pos="6480"/>
        </w:tabs>
        <w:ind w:left="6480" w:hanging="360"/>
      </w:pPr>
      <w:rPr>
        <w:rFonts w:hint="default" w:ascii="Times New Roman" w:hAnsi="Times New Roman"/>
      </w:rPr>
    </w:lvl>
  </w:abstractNum>
  <w:abstractNum w:abstractNumId="1">
    <w:nsid w:val="00000003"/>
    <w:multiLevelType w:val="multilevel"/>
    <w:tmpl w:val="00000003"/>
    <w:lvl w:ilvl="0"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1"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2"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3"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4"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5"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6"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7"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lvl w:ilvl="8" w:tentative="0">
      <w:start w:val="1"/>
      <w:numFmt w:val="decimalEnclosedCircleChinese"/>
      <w:suff w:val="nothing"/>
      <w:lvlText w:val="%1　"/>
      <w:lvlJc w:val="left"/>
      <w:pPr>
        <w:tabs>
          <w:tab w:val="left" w:pos="0"/>
        </w:tabs>
        <w:ind w:left="0" w:firstLine="400"/>
      </w:pPr>
      <w:rPr>
        <w:rFonts w:hint="eastAsia" w:ascii="宋体" w:hAnsi="宋体" w:eastAsia="宋体"/>
        <w:caps w:val="0"/>
        <w:smallCaps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hdrShapeDefaults>
    <o:shapelayout v:ext="edit">
      <o:idmap v:ext="edit" data="3,4"/>
    </o:shapelayout>
  </w:hdrShapeDefaults>
  <w:footnotePr>
    <w:footnote w:id="0"/>
    <w:footnote w:id="1"/>
  </w:footnotePr>
  <w:endnotePr>
    <w:endnote w:id="0"/>
    <w:endnote w:id="1"/>
  </w:endnotePr>
  <w:compat>
    <w:doNotExpandShiftReturn/>
    <w:adjustLineHeightInTable/>
    <w:doNotWrapTextWithPunct/>
    <w:doNotUseEastAsianBreakRules/>
    <w:useFELayout/>
    <w:compatSetting w:name="compatibilityMode" w:uri="http://schemas.microsoft.com/office/word" w:val="14"/>
  </w:compat>
  <w:rsids>
    <w:rsidRoot w:val="00000000"/>
    <w:rsid w:val="02C61745"/>
    <w:rsid w:val="042B4422"/>
    <w:rsid w:val="05D333B0"/>
    <w:rsid w:val="0B4A5AF5"/>
    <w:rsid w:val="0F4A239B"/>
    <w:rsid w:val="0FEF732A"/>
    <w:rsid w:val="175A6027"/>
    <w:rsid w:val="1B0D5E0B"/>
    <w:rsid w:val="1B936370"/>
    <w:rsid w:val="1C835C4D"/>
    <w:rsid w:val="1EC95D6E"/>
    <w:rsid w:val="202A18A8"/>
    <w:rsid w:val="20B94F93"/>
    <w:rsid w:val="22834963"/>
    <w:rsid w:val="229677A2"/>
    <w:rsid w:val="257D0CA8"/>
    <w:rsid w:val="2B4C7761"/>
    <w:rsid w:val="2D2F0696"/>
    <w:rsid w:val="339C1C1C"/>
    <w:rsid w:val="3A7754FB"/>
    <w:rsid w:val="3D821A12"/>
    <w:rsid w:val="415C3163"/>
    <w:rsid w:val="415E2009"/>
    <w:rsid w:val="4E1652B1"/>
    <w:rsid w:val="646455CF"/>
    <w:rsid w:val="6D554BC5"/>
    <w:rsid w:val="6D797D11"/>
    <w:rsid w:val="740E2CED"/>
    <w:rsid w:val="7BD93DC4"/>
    <w:rsid w:val="7FC06D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Calibri" w:hAnsi="Calibri" w:eastAsia="宋体" w:cs="Times New Roman"/>
      <w:snapToGrid/>
      <w:color w:val="auto"/>
      <w:spacing w:val="0"/>
      <w:kern w:val="2"/>
      <w:position w:val="0"/>
      <w:sz w:val="21"/>
      <w:szCs w:val="21"/>
      <w:u w:val="none" w:color="auto"/>
      <w:shd w:val="clear" w:color="auto" w:fill="auto"/>
      <w:vertAlign w:val="baseline"/>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5" w:lineRule="auto"/>
      <w:outlineLvl w:val="1"/>
    </w:pPr>
    <w:rPr>
      <w:rFonts w:ascii="Times New Roman" w:hAnsi="Times New Roman" w:eastAsia="黑体"/>
      <w:b/>
      <w:bCs/>
      <w:sz w:val="32"/>
      <w:szCs w:val="32"/>
    </w:rPr>
  </w:style>
  <w:style w:type="paragraph" w:styleId="5">
    <w:name w:val="heading 3"/>
    <w:basedOn w:val="1"/>
    <w:next w:val="1"/>
    <w:link w:val="19"/>
    <w:qFormat/>
    <w:uiPriority w:val="0"/>
    <w:pPr>
      <w:keepNext/>
      <w:keepLines/>
      <w:spacing w:before="260" w:after="260" w:line="415" w:lineRule="auto"/>
      <w:outlineLvl w:val="2"/>
    </w:pPr>
    <w:rPr>
      <w:b/>
      <w:bCs/>
      <w:sz w:val="32"/>
      <w:szCs w:val="32"/>
    </w:rPr>
  </w:style>
  <w:style w:type="character" w:default="1" w:styleId="16">
    <w:name w:val="Default Paragraph Font"/>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customStyle="1" w:styleId="2">
    <w:name w:val="TOC 1"/>
    <w:basedOn w:val="1"/>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Calibri" w:hAnsi="Calibri" w:eastAsia="宋体" w:cs="Times New Roman"/>
      <w:snapToGrid/>
      <w:color w:val="auto"/>
      <w:spacing w:val="0"/>
      <w:kern w:val="2"/>
      <w:position w:val="0"/>
      <w:sz w:val="21"/>
      <w:szCs w:val="21"/>
      <w:u w:val="none" w:color="auto"/>
      <w:shd w:val="clear" w:color="auto" w:fill="auto"/>
      <w:vertAlign w:val="baseline"/>
      <w:lang w:val="en-US" w:eastAsia="zh-CN"/>
    </w:rPr>
  </w:style>
  <w:style w:type="paragraph" w:styleId="6">
    <w:name w:val="Body Text"/>
    <w:basedOn w:val="1"/>
    <w:next w:val="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0" w:afterAutospacing="0" w:line="240" w:lineRule="auto"/>
      <w:ind w:left="0" w:right="0" w:firstLine="0"/>
      <w:contextualSpacing w:val="0"/>
      <w:jc w:val="both"/>
      <w:textAlignment w:val="auto"/>
      <w:outlineLvl w:val="9"/>
    </w:pPr>
    <w:rPr>
      <w:rFonts w:ascii="Calibri" w:hAnsi="Calibri" w:eastAsia="宋体" w:cs="Times New Roman"/>
      <w:snapToGrid/>
      <w:color w:val="auto"/>
      <w:spacing w:val="0"/>
      <w:kern w:val="2"/>
      <w:position w:val="0"/>
      <w:sz w:val="21"/>
      <w:szCs w:val="21"/>
      <w:u w:val="none" w:color="auto"/>
      <w:shd w:val="clear" w:color="auto" w:fill="auto"/>
      <w:vertAlign w:val="baseline"/>
      <w:lang w:val="en-US" w:eastAsia="zh-CN"/>
    </w:rPr>
  </w:style>
  <w:style w:type="paragraph" w:customStyle="1" w:styleId="7">
    <w:name w:val="Header"/>
    <w:basedOn w:val="1"/>
    <w:qFormat/>
    <w:uiPriority w:val="0"/>
    <w:pPr>
      <w:pBdr>
        <w:bottom w:val="single" w:color="auto" w:sz="6" w:space="1"/>
      </w:pBdr>
      <w:tabs>
        <w:tab w:val="center" w:pos="4153"/>
        <w:tab w:val="right" w:pos="8307"/>
      </w:tabs>
      <w:adjustRightInd/>
      <w:snapToGrid w:val="0"/>
      <w:contextualSpacing w:val="0"/>
      <w:jc w:val="center"/>
    </w:pPr>
    <w:rPr>
      <w:sz w:val="18"/>
      <w:szCs w:val="18"/>
    </w:rPr>
  </w:style>
  <w:style w:type="paragraph" w:styleId="8">
    <w:name w:val="toc 5"/>
    <w:basedOn w:val="1"/>
    <w:next w:val="1"/>
    <w:qFormat/>
    <w:uiPriority w:val="0"/>
    <w:pPr>
      <w:ind w:left="1680"/>
    </w:pPr>
  </w:style>
  <w:style w:type="paragraph" w:styleId="9">
    <w:name w:val="toc 3"/>
    <w:basedOn w:val="1"/>
    <w:next w:val="1"/>
    <w:qFormat/>
    <w:uiPriority w:val="0"/>
    <w:pPr>
      <w:ind w:left="840"/>
    </w:pPr>
  </w:style>
  <w:style w:type="paragraph" w:styleId="10">
    <w:name w:val="footer"/>
    <w:basedOn w:val="1"/>
    <w:qFormat/>
    <w:uiPriority w:val="0"/>
    <w:pPr>
      <w:tabs>
        <w:tab w:val="center" w:pos="4153"/>
        <w:tab w:val="right" w:pos="8307"/>
      </w:tabs>
      <w:adjustRightInd/>
      <w:snapToGrid w:val="0"/>
      <w:contextualSpacing w:val="0"/>
      <w:jc w:val="left"/>
    </w:pPr>
    <w:rPr>
      <w:sz w:val="18"/>
      <w:szCs w:val="18"/>
    </w:rPr>
  </w:style>
  <w:style w:type="paragraph" w:styleId="11">
    <w:name w:val="header"/>
    <w:basedOn w:val="1"/>
    <w:qFormat/>
    <w:uiPriority w:val="0"/>
    <w:pPr>
      <w:pBdr>
        <w:bottom w:val="single" w:color="auto" w:sz="6" w:space="0"/>
      </w:pBdr>
      <w:tabs>
        <w:tab w:val="center" w:pos="4153"/>
        <w:tab w:val="right" w:pos="8307"/>
      </w:tabs>
      <w:adjustRightInd/>
      <w:snapToGrid w:val="0"/>
      <w:contextualSpacing w:val="0"/>
      <w:jc w:val="center"/>
    </w:pPr>
    <w:rPr>
      <w:sz w:val="18"/>
      <w:szCs w:val="18"/>
    </w:rPr>
  </w:style>
  <w:style w:type="paragraph" w:styleId="12">
    <w:name w:val="toc 1"/>
    <w:basedOn w:val="1"/>
    <w:next w:val="1"/>
    <w:qFormat/>
    <w:uiPriority w:val="0"/>
  </w:style>
  <w:style w:type="paragraph" w:styleId="13">
    <w:name w:val="toc 4"/>
    <w:basedOn w:val="1"/>
    <w:next w:val="1"/>
    <w:qFormat/>
    <w:uiPriority w:val="0"/>
    <w:pPr>
      <w:ind w:left="1260"/>
    </w:pPr>
  </w:style>
  <w:style w:type="paragraph" w:styleId="14">
    <w:name w:val="toc 2"/>
    <w:basedOn w:val="1"/>
    <w:next w:val="1"/>
    <w:qFormat/>
    <w:uiPriority w:val="0"/>
    <w:pPr>
      <w:ind w:left="420"/>
    </w:pPr>
  </w:style>
  <w:style w:type="character" w:customStyle="1" w:styleId="17">
    <w:name w:val="heading 1 Char"/>
    <w:basedOn w:val="16"/>
    <w:link w:val="3"/>
    <w:qFormat/>
    <w:uiPriority w:val="0"/>
    <w:rPr>
      <w:rFonts w:ascii="Calibri" w:hAnsi="Calibri" w:eastAsia="宋体" w:cs="Times New Roman"/>
      <w:b/>
      <w:bCs/>
      <w:snapToGrid/>
      <w:color w:val="auto"/>
      <w:spacing w:val="0"/>
      <w:kern w:val="44"/>
      <w:position w:val="0"/>
      <w:sz w:val="44"/>
      <w:szCs w:val="44"/>
      <w:u w:val="none" w:color="auto"/>
      <w:shd w:val="clear" w:color="auto" w:fill="auto"/>
      <w:vertAlign w:val="baseline"/>
      <w:lang w:val="en-US" w:eastAsia="zh-CN" w:bidi="ar-SA"/>
    </w:rPr>
  </w:style>
  <w:style w:type="character" w:customStyle="1" w:styleId="18">
    <w:name w:val="heading 2 Char"/>
    <w:basedOn w:val="16"/>
    <w:link w:val="4"/>
    <w:qFormat/>
    <w:uiPriority w:val="0"/>
    <w:rPr>
      <w:rFonts w:ascii="Times New Roman" w:hAnsi="Times New Roman" w:eastAsia="黑体" w:cs="Times New Roman"/>
      <w:b/>
      <w:bCs/>
      <w:snapToGrid/>
      <w:color w:val="auto"/>
      <w:spacing w:val="0"/>
      <w:kern w:val="2"/>
      <w:position w:val="0"/>
      <w:sz w:val="32"/>
      <w:szCs w:val="32"/>
      <w:u w:val="none" w:color="auto"/>
      <w:shd w:val="clear" w:color="auto" w:fill="auto"/>
      <w:vertAlign w:val="baseline"/>
      <w:lang w:val="en-US" w:eastAsia="zh-CN" w:bidi="ar-SA"/>
    </w:rPr>
  </w:style>
  <w:style w:type="character" w:customStyle="1" w:styleId="19">
    <w:name w:val="heading 3 Char"/>
    <w:basedOn w:val="16"/>
    <w:link w:val="5"/>
    <w:qFormat/>
    <w:uiPriority w:val="0"/>
    <w:rPr>
      <w:rFonts w:ascii="Calibri" w:hAnsi="Calibri" w:eastAsia="宋体" w:cs="Times New Roman"/>
      <w:b/>
      <w:bCs/>
      <w:snapToGrid/>
      <w:color w:val="auto"/>
      <w:spacing w:val="0"/>
      <w:kern w:val="2"/>
      <w:position w:val="0"/>
      <w:sz w:val="32"/>
      <w:szCs w:val="32"/>
      <w:u w:val="none" w:color="auto"/>
      <w:shd w:val="clear" w:color="auto" w:fill="auto"/>
      <w:vertAlign w:val="baseline"/>
      <w:lang w:val="en-US" w:eastAsia="zh-CN" w:bidi="ar-SA"/>
    </w:rPr>
  </w:style>
  <w:style w:type="paragraph" w:customStyle="1" w:styleId="20">
    <w:name w:val="Heading 1"/>
    <w:basedOn w:val="1"/>
    <w:next w:val="1"/>
    <w:qFormat/>
    <w:uiPriority w:val="0"/>
    <w:pPr>
      <w:keepNext/>
      <w:keepLines/>
      <w:spacing w:before="340" w:after="330" w:line="578" w:lineRule="auto"/>
      <w:outlineLvl w:val="0"/>
    </w:pPr>
    <w:rPr>
      <w:b/>
      <w:bCs/>
      <w:kern w:val="44"/>
      <w:sz w:val="44"/>
      <w:szCs w:val="44"/>
    </w:rPr>
  </w:style>
  <w:style w:type="paragraph" w:customStyle="1" w:styleId="21">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customStyle="1" w:styleId="22">
    <w:name w:val="Heading 3"/>
    <w:basedOn w:val="1"/>
    <w:next w:val="1"/>
    <w:qFormat/>
    <w:uiPriority w:val="0"/>
    <w:pPr>
      <w:keepNext/>
      <w:keepLines/>
      <w:spacing w:before="260" w:after="260" w:line="415" w:lineRule="auto"/>
      <w:outlineLvl w:val="2"/>
    </w:pPr>
    <w:rPr>
      <w:b/>
      <w:bCs/>
      <w:sz w:val="32"/>
      <w:szCs w:val="32"/>
    </w:rPr>
  </w:style>
  <w:style w:type="character" w:customStyle="1" w:styleId="23">
    <w:name w:val="DefaultParagraphFont"/>
    <w:qFormat/>
    <w:uiPriority w:val="0"/>
  </w:style>
  <w:style w:type="paragraph" w:customStyle="1" w:styleId="24">
    <w:name w:val="TOC 2"/>
    <w:basedOn w:val="1"/>
    <w:next w:val="1"/>
    <w:qFormat/>
    <w:uiPriority w:val="0"/>
    <w:pPr>
      <w:ind w:left="420"/>
    </w:pPr>
  </w:style>
  <w:style w:type="paragraph" w:customStyle="1" w:styleId="25">
    <w:name w:val="TOC 3"/>
    <w:basedOn w:val="1"/>
    <w:next w:val="1"/>
    <w:qFormat/>
    <w:uiPriority w:val="0"/>
    <w:pPr>
      <w:ind w:left="840"/>
    </w:pPr>
  </w:style>
  <w:style w:type="paragraph" w:customStyle="1" w:styleId="26">
    <w:name w:val="TOC 4"/>
    <w:basedOn w:val="1"/>
    <w:next w:val="1"/>
    <w:qFormat/>
    <w:uiPriority w:val="0"/>
    <w:pPr>
      <w:ind w:left="1260"/>
    </w:pPr>
  </w:style>
  <w:style w:type="paragraph" w:customStyle="1" w:styleId="27">
    <w:name w:val="TOC 5"/>
    <w:basedOn w:val="1"/>
    <w:next w:val="1"/>
    <w:qFormat/>
    <w:uiPriority w:val="0"/>
    <w:pPr>
      <w:ind w:left="1680"/>
    </w:pPr>
  </w:style>
  <w:style w:type="paragraph" w:customStyle="1" w:styleId="28">
    <w:name w:val="Footer"/>
    <w:basedOn w:val="1"/>
    <w:qFormat/>
    <w:uiPriority w:val="0"/>
    <w:pPr>
      <w:tabs>
        <w:tab w:val="center" w:pos="4153"/>
        <w:tab w:val="right" w:pos="8307"/>
      </w:tabs>
      <w:adjustRightInd/>
      <w:snapToGrid w:val="0"/>
      <w:contextualSpacing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
        <a:ea typeface=""/>
        <a:cs typeface=""/>
      </a:majorFont>
      <a:minorFont>
        <a:latin typefa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ap="flat" cmpd="sng">
          <a:solidFill>
            <a:schemeClr val="phClr"/>
          </a:solidFill>
          <a:prstDash val="solid"/>
          <a:miter/>
        </a:ln>
        <a:ln w="12700" cap="flat" cmpd="sng">
          <a:solidFill>
            <a:schemeClr val="phClr"/>
          </a:solidFill>
          <a:prstDash val="solid"/>
          <a:miter/>
        </a:ln>
        <a:ln w="19050" cap="flat" cmpd="sng">
          <a:solidFill>
            <a:schemeClr val="phClr"/>
          </a:solidFill>
          <a:prstDash val="solid"/>
          <a:miter/>
        </a:ln>
      </a:lnStyleLst>
      <a:effectStyleLst>
        <a:effectStyle>
          <a:effectLst/>
        </a:effectStyle>
        <a:effectStyle>
          <a:effectLst/>
        </a:effectStyle>
        <a:effectStyle>
          <a:effectLst>
            <a:outerShdw blurRad="57150" dist="19050" dir="5400000" rotWithShape="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9"/>
  </customShpExts>
</s:customData>
</file>

<file path=customXml/item2.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871127-168A-4D29-BD01-83CD0A7CAACD}">
  <ds:schemaRefs/>
</ds:datastoreItem>
</file>

<file path=docProps/app.xml><?xml version="1.0" encoding="utf-8"?>
<Properties xmlns="http://schemas.openxmlformats.org/officeDocument/2006/extended-properties" xmlns:vt="http://schemas.openxmlformats.org/officeDocument/2006/docPropsVTypes">
  <Template>Normal.eit</Template>
  <Pages>9</Pages>
  <Words>2925</Words>
  <Characters>3003</Characters>
  <Lines>0</Lines>
  <Paragraphs>98</Paragraphs>
  <TotalTime>1</TotalTime>
  <ScaleCrop>false</ScaleCrop>
  <LinksUpToDate>false</LinksUpToDate>
  <CharactersWithSpaces>3229</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2025-01-13T10:53:00Z</dcterms:created>
  <dc:creator>91342</dc:creator>
  <cp:lastModifiedBy>兔子</cp:lastModifiedBy>
  <dcterms:modified xsi:type="dcterms:W3CDTF">2026-06-15T14:28:36Z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eyJoZGlkIjoiMjAxZTIwZjhlZmEwOWJmMDgxMmQzYjBmMDcwODJkZDciLCJ1c2VySWQiOiI2NDQ2MTI3NzYifQ==</vt:lpwstr>
  </property>
  <property fmtid="{D5CDD505-2E9C-101B-9397-08002B2CF9AE}" pid="3" name="KSOProductBuildVer">
    <vt:lpwstr>2052-12.1.0.26895</vt:lpwstr>
  </property>
  <property fmtid="{D5CDD505-2E9C-101B-9397-08002B2CF9AE}" pid="4" name="ICV">
    <vt:lpwstr>7E718C9A34F944EC80A4A519BD333F91_13</vt:lpwstr>
  </property>
</Properties>
</file>