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版本号：ZYZX2026-02520260731001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2026年雁塔区政务服务中心政务服务外包项目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ZYZX2026-025</w:t>
      </w:r>
      <w:r>
        <w:br/>
      </w:r>
      <w:r>
        <w:br/>
      </w:r>
      <w:r>
        <w:br/>
      </w:r>
    </w:p>
    <w:p>
      <w:pPr>
        <w:pStyle w:val="null3"/>
        <w:jc w:val="center"/>
        <w:outlineLvl w:val="2"/>
      </w:pPr>
      <w:r>
        <w:rPr>
          <w:rFonts w:ascii="仿宋_GB2312" w:hAnsi="仿宋_GB2312" w:cs="仿宋_GB2312" w:eastAsia="仿宋_GB2312"/>
          <w:sz w:val="28"/>
          <w:b/>
        </w:rPr>
        <w:t>西安市雁塔区行政审批服务局</w:t>
      </w:r>
    </w:p>
    <w:p>
      <w:pPr>
        <w:pStyle w:val="null3"/>
        <w:jc w:val="center"/>
        <w:outlineLvl w:val="2"/>
      </w:pPr>
      <w:r>
        <w:rPr>
          <w:rFonts w:ascii="仿宋_GB2312" w:hAnsi="仿宋_GB2312" w:cs="仿宋_GB2312" w:eastAsia="仿宋_GB2312"/>
          <w:sz w:val="28"/>
          <w:b/>
        </w:rPr>
        <w:t>正飏（陕西）项目管理咨询有限公司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正飏（陕西）项目管理咨询有限公司</w:t>
      </w:r>
      <w:r>
        <w:rPr>
          <w:rFonts w:ascii="仿宋_GB2312" w:hAnsi="仿宋_GB2312" w:cs="仿宋_GB2312" w:eastAsia="仿宋_GB2312"/>
        </w:rPr>
        <w:t>（以下简称“代理机构”）受</w:t>
      </w:r>
      <w:r>
        <w:rPr>
          <w:rFonts w:ascii="仿宋_GB2312" w:hAnsi="仿宋_GB2312" w:cs="仿宋_GB2312" w:eastAsia="仿宋_GB2312"/>
        </w:rPr>
        <w:t>西安市雁塔区行政审批服务局</w:t>
      </w:r>
      <w:r>
        <w:rPr>
          <w:rFonts w:ascii="仿宋_GB2312" w:hAnsi="仿宋_GB2312" w:cs="仿宋_GB2312" w:eastAsia="仿宋_GB2312"/>
        </w:rPr>
        <w:t>委托，拟对</w:t>
      </w:r>
      <w:r>
        <w:rPr>
          <w:rFonts w:ascii="仿宋_GB2312" w:hAnsi="仿宋_GB2312" w:cs="仿宋_GB2312" w:eastAsia="仿宋_GB2312"/>
        </w:rPr>
        <w:t>2026年雁塔区政务服务中心政务服务外包项目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ZYZX2026-025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2026年雁塔区政务服务中心政务服务外包项目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2026年雁塔区政务服务中心政务服务外包项目1项，具体详见第三章 招标项目技术、服务、商务及其他要求。</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采购包1（2026年雁塔区政务服务中心政务服务外包项目）：属于专门面向中小企业采购。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1、具有独立承担民事责任能力的法人、其他组织或自然人：法人或者其他组织提供营业执照等证明文件，自然人提供身份证件，供应商需在项目电子化交易系统中按要求上传相应证明文件并进行电子签章</w:t>
      </w:r>
    </w:p>
    <w:p>
      <w:pPr>
        <w:pStyle w:val="null3"/>
      </w:pPr>
      <w:r>
        <w:rPr>
          <w:rFonts w:ascii="仿宋_GB2312" w:hAnsi="仿宋_GB2312" w:cs="仿宋_GB2312" w:eastAsia="仿宋_GB2312"/>
        </w:rPr>
        <w:t>2、身份证明文件：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p>
      <w:pPr>
        <w:pStyle w:val="null3"/>
      </w:pPr>
      <w:r>
        <w:rPr>
          <w:rFonts w:ascii="仿宋_GB2312" w:hAnsi="仿宋_GB2312" w:cs="仿宋_GB2312" w:eastAsia="仿宋_GB2312"/>
        </w:rPr>
        <w:t>3、税收缴纳凭证及社会保险缴纳的凭证：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p>
      <w:pPr>
        <w:pStyle w:val="null3"/>
      </w:pPr>
      <w:r>
        <w:rPr>
          <w:rFonts w:ascii="仿宋_GB2312" w:hAnsi="仿宋_GB2312" w:cs="仿宋_GB2312" w:eastAsia="仿宋_GB2312"/>
        </w:rPr>
        <w:t>4、财务状况报告：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p>
      <w:pPr>
        <w:pStyle w:val="null3"/>
      </w:pPr>
      <w:r>
        <w:rPr>
          <w:rFonts w:ascii="仿宋_GB2312" w:hAnsi="仿宋_GB2312" w:cs="仿宋_GB2312" w:eastAsia="仿宋_GB2312"/>
        </w:rPr>
        <w:t>5、参加政府采购活动前3年内在经营活动中没有重大违法记录的书面声明； 其中：重大违法记录是指供应商因违法经营受到刑事处罚或者责令停产停业、吊销许可证或者执照、较大数额罚款等行政处罚：参加政府采购活动前3年内在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6、履行合同所必需的设备和专业技术能力及诚信履约的书面声明函：具有履行合同所必需的设备和专业技术能力及诚信履约的书面声明函，供应商需在项目电子化交易系统中按要求上传相应证明文件并进行电子签章。</w:t>
      </w:r>
    </w:p>
    <w:p>
      <w:pPr>
        <w:pStyle w:val="null3"/>
      </w:pPr>
      <w:r>
        <w:rPr>
          <w:rFonts w:ascii="仿宋_GB2312" w:hAnsi="仿宋_GB2312" w:cs="仿宋_GB2312" w:eastAsia="仿宋_GB2312"/>
        </w:rPr>
        <w:t>7、信用证明：供应商未被“信用中国”网站（www.creditchina.gov.cn）列入失信被执行人和重大税收违法失信主体、未被中国政府采购网（www.ccgp.gov.cn）列入政府采购严重违法失信行为记录名单，以开标后的网站查询记录为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西安市雁塔区行政审批服务局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西安市雁塔区电子二路32号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029-81160013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正飏（陕西）项目管理咨询有限公司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陕西省西安市雁塔区电子正街云锦紫豪商务中心13层06室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连梦倩、王浩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029-81101839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西安市雁塔区政府采购管理股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王佳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85241676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采购包1：8,460,000.00元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代理服务费收费标准：1、参照国家计委颁布的《招标代理服务收费管理暂行办法》（计价格[2002]1980号）和（发改办价格[2003]857号）、发改价格[2011]534号中服务类的收费标准计取。 2、中标单位在领取中标通知书之前，须向代理机构支付招标代理服务费。招标代理服务费以转账或现金形式缴纳至以下账户： 开户名称：正飏（陕西）项目咨询管理有限公司 开户银行：上海浦东发展银行股份有限公司西安电子正街支行 账 号：72230078801300000775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西安市雁塔区行政审批服务局</w:t>
      </w:r>
      <w:r>
        <w:rPr>
          <w:rFonts w:ascii="仿宋_GB2312" w:hAnsi="仿宋_GB2312" w:cs="仿宋_GB2312" w:eastAsia="仿宋_GB2312"/>
        </w:rPr>
        <w:t>和</w:t>
      </w:r>
      <w:r>
        <w:rPr>
          <w:rFonts w:ascii="仿宋_GB2312" w:hAnsi="仿宋_GB2312" w:cs="仿宋_GB2312" w:eastAsia="仿宋_GB2312"/>
        </w:rPr>
        <w:t>正飏（陕西）项目管理咨询有限公司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西安市雁塔区行政审批服务局</w:t>
      </w:r>
      <w:r>
        <w:rPr>
          <w:rFonts w:ascii="仿宋_GB2312" w:hAnsi="仿宋_GB2312" w:cs="仿宋_GB2312" w:eastAsia="仿宋_GB2312"/>
        </w:rPr>
        <w:t>负责解释。除上述招标文件内容，其他内容由</w:t>
      </w:r>
      <w:r>
        <w:rPr>
          <w:rFonts w:ascii="仿宋_GB2312" w:hAnsi="仿宋_GB2312" w:cs="仿宋_GB2312" w:eastAsia="仿宋_GB2312"/>
        </w:rPr>
        <w:t>正飏（陕西）项目管理咨询有限公司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西安市雁塔区行政审批服务局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正飏（陕西）项目管理咨询有限公司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以最终签订合同为准</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正飏（陕西）项目管理咨询有限公司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联系人：连梦倩、王浩</w:t>
      </w:r>
    </w:p>
    <w:p>
      <w:pPr>
        <w:pStyle w:val="null3"/>
      </w:pPr>
      <w:r>
        <w:rPr>
          <w:rFonts w:ascii="仿宋_GB2312" w:hAnsi="仿宋_GB2312" w:cs="仿宋_GB2312" w:eastAsia="仿宋_GB2312"/>
        </w:rPr>
        <w:t>联系电话：029-81101839</w:t>
      </w:r>
    </w:p>
    <w:p>
      <w:pPr>
        <w:pStyle w:val="null3"/>
      </w:pPr>
      <w:r>
        <w:rPr>
          <w:rFonts w:ascii="仿宋_GB2312" w:hAnsi="仿宋_GB2312" w:cs="仿宋_GB2312" w:eastAsia="仿宋_GB2312"/>
        </w:rPr>
        <w:t>地址：西安市雁塔区电子正街云锦紫豪商务中心13层06室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2026年雁塔区政务服务中心政务服务外包项目1项，具体详见招标文件。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8,460,000.00</w:t>
      </w:r>
    </w:p>
    <w:p>
      <w:pPr>
        <w:pStyle w:val="null3"/>
      </w:pPr>
      <w:r>
        <w:rPr>
          <w:rFonts w:ascii="仿宋_GB2312" w:hAnsi="仿宋_GB2312" w:cs="仿宋_GB2312" w:eastAsia="仿宋_GB2312"/>
        </w:rPr>
        <w:t>采购包最高限价（元）: 8,460,000.00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2026年雁塔区政务服务中心政务服务外包项目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8,460,000.00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标的名称：2026年雁塔区政务服务中心政务服务外包项目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sz w:val="21"/>
                <w:b/>
                <w:color w:val="000000"/>
              </w:rPr>
              <w:t>一、</w:t>
            </w:r>
            <w:r>
              <w:rPr>
                <w:rFonts w:ascii="仿宋_GB2312" w:hAnsi="仿宋_GB2312" w:cs="仿宋_GB2312" w:eastAsia="仿宋_GB2312"/>
                <w:sz w:val="21"/>
                <w:b/>
                <w:color w:val="000000"/>
              </w:rPr>
              <w:t>项目概况</w:t>
            </w:r>
          </w:p>
          <w:p>
            <w:pPr>
              <w:pStyle w:val="null3"/>
              <w:ind w:firstLine="420"/>
              <w:jc w:val="left"/>
            </w:pPr>
            <w:r>
              <w:rPr>
                <w:rFonts w:ascii="仿宋_GB2312" w:hAnsi="仿宋_GB2312" w:cs="仿宋_GB2312" w:eastAsia="仿宋_GB2312"/>
                <w:sz w:val="21"/>
                <w:color w:val="000000"/>
              </w:rPr>
              <w:t>本项目的服务内容为承担窗口业务办理、咨询引导、秩序维护、投诉受理、宣传报道、讲解接待和会务保障等方面工作，配合参与大厅日常运行管理、标准化建设、综合窗口建设、事项标准化梳理、运行数据分析和应急演练等方面工作。按照</w:t>
            </w:r>
            <w:r>
              <w:rPr>
                <w:rFonts w:ascii="仿宋_GB2312" w:hAnsi="仿宋_GB2312" w:cs="仿宋_GB2312" w:eastAsia="仿宋_GB2312"/>
                <w:sz w:val="21"/>
                <w:color w:val="000000"/>
              </w:rPr>
              <w:t>“前台综合受理、后台分类审批、综合窗口出件”模式，为企业群众提供无差别的业务咨询、引导、办理服务，持续提升区政务大厅政务服务标准化、规范化、便利化水平，具体详见服务内容</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二、</w:t>
            </w:r>
            <w:r>
              <w:rPr>
                <w:rFonts w:ascii="仿宋_GB2312" w:hAnsi="仿宋_GB2312" w:cs="仿宋_GB2312" w:eastAsia="仿宋_GB2312"/>
                <w:sz w:val="21"/>
                <w:b/>
                <w:color w:val="000000"/>
              </w:rPr>
              <w:t>服务内容（包括工作区域、工作内容等）</w:t>
            </w:r>
          </w:p>
          <w:p>
            <w:pPr>
              <w:pStyle w:val="null3"/>
              <w:ind w:firstLine="42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负责区政务大厅综合窗口、咨询引导、考核管理、讲解接待、宣传报道和事项标准化梳理等岗位的人员招聘、管理、考核工作；</w:t>
            </w:r>
          </w:p>
          <w:p>
            <w:pPr>
              <w:pStyle w:val="null3"/>
              <w:ind w:firstLine="420"/>
              <w:jc w:val="left"/>
            </w:pPr>
            <w:r>
              <w:rPr>
                <w:rFonts w:ascii="仿宋_GB2312" w:hAnsi="仿宋_GB2312" w:cs="仿宋_GB2312" w:eastAsia="仿宋_GB2312"/>
                <w:sz w:val="21"/>
                <w:color w:val="000000"/>
              </w:rPr>
              <w:t>（二）</w:t>
            </w:r>
            <w:r>
              <w:rPr>
                <w:rFonts w:ascii="仿宋_GB2312" w:hAnsi="仿宋_GB2312" w:cs="仿宋_GB2312" w:eastAsia="仿宋_GB2312"/>
                <w:sz w:val="21"/>
                <w:color w:val="000000"/>
              </w:rPr>
              <w:t>负责为区政务大厅提供窗口业务办理、材料流转、咨询引导、秩序维护、讲解接待、宣传报道、投诉受理和会务保障等方面服务；</w:t>
            </w:r>
          </w:p>
          <w:p>
            <w:pPr>
              <w:pStyle w:val="null3"/>
              <w:ind w:firstLine="420"/>
              <w:jc w:val="left"/>
            </w:pPr>
            <w:r>
              <w:rPr>
                <w:rFonts w:ascii="仿宋_GB2312" w:hAnsi="仿宋_GB2312" w:cs="仿宋_GB2312" w:eastAsia="仿宋_GB2312"/>
                <w:sz w:val="21"/>
                <w:color w:val="000000"/>
              </w:rPr>
              <w:t>（三）</w:t>
            </w:r>
            <w:r>
              <w:rPr>
                <w:rFonts w:ascii="仿宋_GB2312" w:hAnsi="仿宋_GB2312" w:cs="仿宋_GB2312" w:eastAsia="仿宋_GB2312"/>
                <w:sz w:val="21"/>
                <w:color w:val="000000"/>
              </w:rPr>
              <w:t>负责做好管理范围内工作人员的岗位职责、业务受理、行为规范、服务礼仪、心理辅导、讲解接待和宣传报道等方面培训教育工作；</w:t>
            </w:r>
          </w:p>
          <w:p>
            <w:pPr>
              <w:pStyle w:val="null3"/>
              <w:ind w:firstLine="420"/>
              <w:jc w:val="left"/>
            </w:pPr>
            <w:r>
              <w:rPr>
                <w:rFonts w:ascii="仿宋_GB2312" w:hAnsi="仿宋_GB2312" w:cs="仿宋_GB2312" w:eastAsia="仿宋_GB2312"/>
                <w:sz w:val="21"/>
                <w:color w:val="000000"/>
              </w:rPr>
              <w:t>（四）</w:t>
            </w:r>
            <w:r>
              <w:rPr>
                <w:rFonts w:ascii="仿宋_GB2312" w:hAnsi="仿宋_GB2312" w:cs="仿宋_GB2312" w:eastAsia="仿宋_GB2312"/>
                <w:sz w:val="21"/>
                <w:color w:val="000000"/>
              </w:rPr>
              <w:t>负责项目团队在区政务大厅的绩效考核、人员管理和内控等制度建设工作；</w:t>
            </w:r>
          </w:p>
          <w:p>
            <w:pPr>
              <w:pStyle w:val="null3"/>
              <w:ind w:firstLine="420"/>
              <w:jc w:val="left"/>
            </w:pPr>
            <w:r>
              <w:rPr>
                <w:rFonts w:ascii="仿宋_GB2312" w:hAnsi="仿宋_GB2312" w:cs="仿宋_GB2312" w:eastAsia="仿宋_GB2312"/>
                <w:sz w:val="21"/>
                <w:color w:val="000000"/>
              </w:rPr>
              <w:t>（五）</w:t>
            </w:r>
            <w:r>
              <w:rPr>
                <w:rFonts w:ascii="仿宋_GB2312" w:hAnsi="仿宋_GB2312" w:cs="仿宋_GB2312" w:eastAsia="仿宋_GB2312"/>
                <w:sz w:val="21"/>
                <w:color w:val="000000"/>
              </w:rPr>
              <w:t>配合区政务中心做好区政务大厅</w:t>
            </w:r>
            <w:r>
              <w:rPr>
                <w:rFonts w:ascii="仿宋_GB2312" w:hAnsi="仿宋_GB2312" w:cs="仿宋_GB2312" w:eastAsia="仿宋_GB2312"/>
                <w:sz w:val="21"/>
                <w:color w:val="000000"/>
              </w:rPr>
              <w:t>“一窗受理、集成服务”“一件事一次办”“跨地区通办”“周末不打烊”等改革工作，包括并不限于拟制工作方案、具体落实等；</w:t>
            </w:r>
          </w:p>
          <w:p>
            <w:pPr>
              <w:pStyle w:val="null3"/>
              <w:ind w:firstLine="420"/>
              <w:jc w:val="left"/>
            </w:pPr>
            <w:r>
              <w:rPr>
                <w:rFonts w:ascii="仿宋_GB2312" w:hAnsi="仿宋_GB2312" w:cs="仿宋_GB2312" w:eastAsia="仿宋_GB2312"/>
                <w:sz w:val="21"/>
                <w:color w:val="000000"/>
              </w:rPr>
              <w:t>（六）</w:t>
            </w:r>
            <w:r>
              <w:rPr>
                <w:rFonts w:ascii="仿宋_GB2312" w:hAnsi="仿宋_GB2312" w:cs="仿宋_GB2312" w:eastAsia="仿宋_GB2312"/>
                <w:sz w:val="21"/>
                <w:color w:val="000000"/>
              </w:rPr>
              <w:t>配合做好区政务大厅运行秩序、服务管理和标准化建设等方面制度建设工作；</w:t>
            </w:r>
          </w:p>
          <w:p>
            <w:pPr>
              <w:pStyle w:val="null3"/>
              <w:ind w:firstLine="420"/>
              <w:jc w:val="left"/>
            </w:pPr>
            <w:r>
              <w:rPr>
                <w:rFonts w:ascii="仿宋_GB2312" w:hAnsi="仿宋_GB2312" w:cs="仿宋_GB2312" w:eastAsia="仿宋_GB2312"/>
                <w:sz w:val="21"/>
                <w:color w:val="000000"/>
              </w:rPr>
              <w:t>（七）</w:t>
            </w:r>
            <w:r>
              <w:rPr>
                <w:rFonts w:ascii="仿宋_GB2312" w:hAnsi="仿宋_GB2312" w:cs="仿宋_GB2312" w:eastAsia="仿宋_GB2312"/>
                <w:sz w:val="21"/>
                <w:color w:val="000000"/>
              </w:rPr>
              <w:t>配合做好区行政审批局开展的工青妇等相关活动；</w:t>
            </w:r>
          </w:p>
          <w:p>
            <w:pPr>
              <w:pStyle w:val="null3"/>
              <w:ind w:firstLine="420"/>
              <w:jc w:val="left"/>
            </w:pPr>
            <w:r>
              <w:rPr>
                <w:rFonts w:ascii="仿宋_GB2312" w:hAnsi="仿宋_GB2312" w:cs="仿宋_GB2312" w:eastAsia="仿宋_GB2312"/>
                <w:sz w:val="21"/>
                <w:color w:val="000000"/>
              </w:rPr>
              <w:t>（八）</w:t>
            </w:r>
            <w:r>
              <w:rPr>
                <w:rFonts w:ascii="仿宋_GB2312" w:hAnsi="仿宋_GB2312" w:cs="仿宋_GB2312" w:eastAsia="仿宋_GB2312"/>
                <w:sz w:val="21"/>
                <w:color w:val="000000"/>
              </w:rPr>
              <w:t>配合区政务大厅为办事群众及工作人员突发疾病提供简单医疗救助和上报，以及火灾、地震等突发事件应急预案制定和演练。</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九</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工作时间工作日工作时间为周一到周五：上午</w:t>
            </w:r>
            <w:r>
              <w:rPr>
                <w:rFonts w:ascii="仿宋_GB2312" w:hAnsi="仿宋_GB2312" w:cs="仿宋_GB2312" w:eastAsia="仿宋_GB2312"/>
                <w:sz w:val="21"/>
                <w:color w:val="000000"/>
              </w:rPr>
              <w:t>8:30—12:00；下午1:00—5:30。“周末不打烊”工作时间为周六、周日（法定节假日除外）：上午9:00至12:00，下午1:00至4:00。法定节假日按国家规定执行，享受年假。</w:t>
            </w:r>
          </w:p>
          <w:p>
            <w:pPr>
              <w:pStyle w:val="null3"/>
              <w:ind w:firstLine="420"/>
              <w:jc w:val="left"/>
            </w:pPr>
            <w:r>
              <w:rPr>
                <w:rFonts w:ascii="仿宋_GB2312" w:hAnsi="仿宋_GB2312" w:cs="仿宋_GB2312" w:eastAsia="仿宋_GB2312"/>
                <w:sz w:val="21"/>
                <w:color w:val="000000"/>
              </w:rPr>
              <w:t>三、</w:t>
            </w:r>
            <w:r>
              <w:rPr>
                <w:rFonts w:ascii="仿宋_GB2312" w:hAnsi="仿宋_GB2312" w:cs="仿宋_GB2312" w:eastAsia="仿宋_GB2312"/>
                <w:sz w:val="21"/>
                <w:b/>
                <w:color w:val="000000"/>
              </w:rPr>
              <w:t>服务要求（如对人员配置、专业设备、服务标准等）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一</w:t>
            </w:r>
            <w:r>
              <w:rPr>
                <w:rFonts w:ascii="仿宋_GB2312" w:hAnsi="仿宋_GB2312" w:cs="仿宋_GB2312" w:eastAsia="仿宋_GB2312"/>
                <w:sz w:val="21"/>
                <w:color w:val="000000"/>
              </w:rPr>
              <w:t>）</w:t>
            </w:r>
            <w:r>
              <w:rPr>
                <w:rFonts w:ascii="仿宋_GB2312" w:hAnsi="仿宋_GB2312" w:cs="仿宋_GB2312" w:eastAsia="仿宋_GB2312"/>
                <w:sz w:val="21"/>
                <w:color w:val="000000"/>
              </w:rPr>
              <w:t>项目整体要求：</w:t>
            </w:r>
          </w:p>
          <w:p>
            <w:pPr>
              <w:pStyle w:val="null3"/>
              <w:ind w:firstLine="420"/>
              <w:jc w:val="left"/>
            </w:pPr>
            <w:r>
              <w:rPr>
                <w:rFonts w:ascii="仿宋_GB2312" w:hAnsi="仿宋_GB2312" w:cs="仿宋_GB2312" w:eastAsia="仿宋_GB2312"/>
                <w:sz w:val="21"/>
                <w:color w:val="000000"/>
              </w:rPr>
              <w:t>1.本项目服务地点为</w:t>
            </w:r>
            <w:r>
              <w:rPr>
                <w:rFonts w:ascii="仿宋_GB2312" w:hAnsi="仿宋_GB2312" w:cs="仿宋_GB2312" w:eastAsia="仿宋_GB2312"/>
                <w:sz w:val="21"/>
                <w:color w:val="000000"/>
              </w:rPr>
              <w:t>雁塔区</w:t>
            </w:r>
            <w:r>
              <w:rPr>
                <w:rFonts w:ascii="仿宋_GB2312" w:hAnsi="仿宋_GB2312" w:cs="仿宋_GB2312" w:eastAsia="仿宋_GB2312"/>
                <w:sz w:val="21"/>
                <w:color w:val="000000"/>
              </w:rPr>
              <w:t>政务</w:t>
            </w:r>
            <w:r>
              <w:rPr>
                <w:rFonts w:ascii="仿宋_GB2312" w:hAnsi="仿宋_GB2312" w:cs="仿宋_GB2312" w:eastAsia="仿宋_GB2312"/>
                <w:sz w:val="21"/>
                <w:color w:val="000000"/>
              </w:rPr>
              <w:t>服务中心（采购人指定地点）</w:t>
            </w:r>
            <w:r>
              <w:rPr>
                <w:rFonts w:ascii="仿宋_GB2312" w:hAnsi="仿宋_GB2312" w:cs="仿宋_GB2312" w:eastAsia="仿宋_GB2312"/>
                <w:sz w:val="21"/>
                <w:color w:val="000000"/>
              </w:rPr>
              <w:t>，服务商应统筹做好大厅管理工作。</w:t>
            </w:r>
          </w:p>
          <w:p>
            <w:pPr>
              <w:pStyle w:val="null3"/>
              <w:ind w:firstLine="420"/>
              <w:jc w:val="left"/>
            </w:pPr>
            <w:r>
              <w:rPr>
                <w:rFonts w:ascii="仿宋_GB2312" w:hAnsi="仿宋_GB2312" w:cs="仿宋_GB2312" w:eastAsia="仿宋_GB2312"/>
                <w:sz w:val="21"/>
                <w:color w:val="000000"/>
              </w:rPr>
              <w:t>2.服务商结合</w:t>
            </w:r>
            <w:r>
              <w:rPr>
                <w:rFonts w:ascii="仿宋_GB2312" w:hAnsi="仿宋_GB2312" w:cs="仿宋_GB2312" w:eastAsia="仿宋_GB2312"/>
                <w:sz w:val="21"/>
                <w:color w:val="000000"/>
              </w:rPr>
              <w:t>雁塔区</w:t>
            </w:r>
            <w:r>
              <w:rPr>
                <w:rFonts w:ascii="仿宋_GB2312" w:hAnsi="仿宋_GB2312" w:cs="仿宋_GB2312" w:eastAsia="仿宋_GB2312"/>
                <w:sz w:val="21"/>
                <w:color w:val="000000"/>
              </w:rPr>
              <w:t>政务服务大厅的运行实际情况，大厅工作人员组成和相关要求，根据政务大厅</w:t>
            </w:r>
            <w:r>
              <w:rPr>
                <w:rFonts w:ascii="仿宋_GB2312" w:hAnsi="仿宋_GB2312" w:cs="仿宋_GB2312" w:eastAsia="仿宋_GB2312"/>
                <w:sz w:val="21"/>
                <w:color w:val="000000"/>
              </w:rPr>
              <w:t>“一窗受理，综合服务”改革、实体大厅“一站式”服务能力以及线上线下融合工作理念，针对讲解接待、事项进驻、跨地区通办、一件事一次办、工建改革、帮办代办、“周末不打烊”等政务服务重点工作提出具体的服务方案。</w:t>
            </w:r>
          </w:p>
          <w:p>
            <w:pPr>
              <w:pStyle w:val="null3"/>
              <w:ind w:firstLine="420"/>
              <w:jc w:val="left"/>
            </w:pPr>
            <w:r>
              <w:rPr>
                <w:rFonts w:ascii="仿宋_GB2312" w:hAnsi="仿宋_GB2312" w:cs="仿宋_GB2312" w:eastAsia="仿宋_GB2312"/>
                <w:sz w:val="21"/>
                <w:color w:val="000000"/>
              </w:rPr>
              <w:t>3.服务商结合大厅运营工作实际情况，从考核管理、大厅服务、综窗业务、系统应用、后勤管理、保密制度等方面制定满足大厅运维需求的管理制度，有效提升政务大厅标准化建设水平。</w:t>
            </w:r>
          </w:p>
          <w:p>
            <w:pPr>
              <w:pStyle w:val="null3"/>
              <w:ind w:firstLine="420"/>
              <w:jc w:val="left"/>
            </w:pPr>
            <w:r>
              <w:rPr>
                <w:rFonts w:ascii="仿宋_GB2312" w:hAnsi="仿宋_GB2312" w:cs="仿宋_GB2312" w:eastAsia="仿宋_GB2312"/>
                <w:sz w:val="21"/>
                <w:color w:val="000000"/>
              </w:rPr>
              <w:t>4.服务商结合大厅运营工作实际情况，从</w:t>
            </w:r>
            <w:r>
              <w:rPr>
                <w:rFonts w:ascii="仿宋_GB2312" w:hAnsi="仿宋_GB2312" w:cs="仿宋_GB2312" w:eastAsia="仿宋_GB2312"/>
                <w:sz w:val="21"/>
                <w:color w:val="000000"/>
              </w:rPr>
              <w:t>安全保障、</w:t>
            </w:r>
            <w:r>
              <w:rPr>
                <w:rFonts w:ascii="仿宋_GB2312" w:hAnsi="仿宋_GB2312" w:cs="仿宋_GB2312" w:eastAsia="仿宋_GB2312"/>
                <w:sz w:val="21"/>
                <w:color w:val="000000"/>
              </w:rPr>
              <w:t>突发事件、事故处理等方面制定应急处置方案，同时能积极配合采购人工作，在必要时提供应急服务。</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二</w:t>
            </w:r>
            <w:r>
              <w:rPr>
                <w:rFonts w:ascii="仿宋_GB2312" w:hAnsi="仿宋_GB2312" w:cs="仿宋_GB2312" w:eastAsia="仿宋_GB2312"/>
                <w:sz w:val="21"/>
                <w:color w:val="000000"/>
              </w:rPr>
              <w:t>）</w:t>
            </w:r>
            <w:r>
              <w:rPr>
                <w:rFonts w:ascii="仿宋_GB2312" w:hAnsi="仿宋_GB2312" w:cs="仿宋_GB2312" w:eastAsia="仿宋_GB2312"/>
                <w:sz w:val="21"/>
                <w:color w:val="000000"/>
              </w:rPr>
              <w:t>人员要求</w:t>
            </w:r>
          </w:p>
          <w:p>
            <w:pPr>
              <w:pStyle w:val="null3"/>
              <w:ind w:firstLine="420"/>
              <w:jc w:val="left"/>
            </w:pPr>
            <w:r>
              <w:rPr>
                <w:rFonts w:ascii="仿宋_GB2312" w:hAnsi="仿宋_GB2312" w:cs="仿宋_GB2312" w:eastAsia="仿宋_GB2312"/>
                <w:sz w:val="21"/>
                <w:color w:val="000000"/>
              </w:rPr>
              <w:t>1.人员数量及要求</w:t>
            </w:r>
          </w:p>
          <w:p>
            <w:pPr>
              <w:pStyle w:val="null3"/>
              <w:ind w:firstLine="420"/>
              <w:jc w:val="left"/>
            </w:pPr>
            <w:r>
              <w:rPr>
                <w:rFonts w:ascii="仿宋_GB2312" w:hAnsi="仿宋_GB2312" w:cs="仿宋_GB2312" w:eastAsia="仿宋_GB2312"/>
                <w:sz w:val="21"/>
                <w:color w:val="000000"/>
              </w:rPr>
              <w:t>政务大厅人员构成：</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政务中心</w:t>
            </w:r>
            <w:r>
              <w:rPr>
                <w:rFonts w:ascii="仿宋_GB2312" w:hAnsi="仿宋_GB2312" w:cs="仿宋_GB2312" w:eastAsia="仿宋_GB2312"/>
                <w:sz w:val="21"/>
                <w:color w:val="000000"/>
              </w:rPr>
              <w:t>实习</w:t>
            </w:r>
            <w:r>
              <w:rPr>
                <w:rFonts w:ascii="仿宋_GB2312" w:hAnsi="仿宋_GB2312" w:cs="仿宋_GB2312" w:eastAsia="仿宋_GB2312"/>
                <w:sz w:val="21"/>
                <w:color w:val="000000"/>
              </w:rPr>
              <w:t>人员（</w:t>
            </w:r>
            <w:r>
              <w:rPr>
                <w:rFonts w:ascii="仿宋_GB2312" w:hAnsi="仿宋_GB2312" w:cs="仿宋_GB2312" w:eastAsia="仿宋_GB2312"/>
                <w:sz w:val="21"/>
                <w:color w:val="000000"/>
              </w:rPr>
              <w:t>雁塔区毕业</w:t>
            </w:r>
            <w:r>
              <w:rPr>
                <w:rFonts w:ascii="仿宋_GB2312" w:hAnsi="仿宋_GB2312" w:cs="仿宋_GB2312" w:eastAsia="仿宋_GB2312"/>
                <w:sz w:val="21"/>
                <w:color w:val="000000"/>
              </w:rPr>
              <w:t>2年内未就业大学生</w:t>
            </w:r>
            <w:r>
              <w:rPr>
                <w:rFonts w:ascii="仿宋_GB2312" w:hAnsi="仿宋_GB2312" w:cs="仿宋_GB2312" w:eastAsia="仿宋_GB2312"/>
                <w:sz w:val="21"/>
                <w:color w:val="000000"/>
              </w:rPr>
              <w:t>）</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聘用人员（</w:t>
            </w:r>
            <w:r>
              <w:rPr>
                <w:rFonts w:ascii="仿宋_GB2312" w:hAnsi="仿宋_GB2312" w:cs="仿宋_GB2312" w:eastAsia="仿宋_GB2312"/>
                <w:sz w:val="21"/>
                <w:color w:val="000000"/>
              </w:rPr>
              <w:t>1</w:t>
            </w:r>
            <w:r>
              <w:rPr>
                <w:rFonts w:ascii="仿宋_GB2312" w:hAnsi="仿宋_GB2312" w:cs="仿宋_GB2312" w:eastAsia="仿宋_GB2312"/>
                <w:sz w:val="21"/>
                <w:color w:val="000000"/>
              </w:rPr>
              <w:t>41</w:t>
            </w:r>
            <w:r>
              <w:rPr>
                <w:rFonts w:ascii="仿宋_GB2312" w:hAnsi="仿宋_GB2312" w:cs="仿宋_GB2312" w:eastAsia="仿宋_GB2312"/>
                <w:sz w:val="21"/>
                <w:color w:val="000000"/>
              </w:rPr>
              <w:t>人），以上人员均由</w:t>
            </w: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统一进行管理。其中，</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政务中心</w:t>
            </w:r>
            <w:r>
              <w:rPr>
                <w:rFonts w:ascii="仿宋_GB2312" w:hAnsi="仿宋_GB2312" w:cs="仿宋_GB2312" w:eastAsia="仿宋_GB2312"/>
                <w:sz w:val="21"/>
                <w:color w:val="000000"/>
              </w:rPr>
              <w:t>实习</w:t>
            </w:r>
            <w:r>
              <w:rPr>
                <w:rFonts w:ascii="仿宋_GB2312" w:hAnsi="仿宋_GB2312" w:cs="仿宋_GB2312" w:eastAsia="仿宋_GB2312"/>
                <w:sz w:val="21"/>
                <w:color w:val="000000"/>
              </w:rPr>
              <w:t>人员</w:t>
            </w: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不支付工资。</w:t>
            </w:r>
          </w:p>
          <w:p>
            <w:pPr>
              <w:pStyle w:val="null3"/>
              <w:ind w:firstLine="420"/>
            </w:pPr>
            <w:r>
              <w:rPr>
                <w:rFonts w:ascii="仿宋_GB2312" w:hAnsi="仿宋_GB2312" w:cs="仿宋_GB2312" w:eastAsia="仿宋_GB2312"/>
                <w:sz w:val="21"/>
                <w:color w:val="000000"/>
              </w:rPr>
              <w:t>为了保证业务的无缝衔接，</w:t>
            </w: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应优先聘用现有的大厅服务人员。具体岗位需求如下</w:t>
            </w:r>
            <w:r>
              <w:rPr>
                <w:rFonts w:ascii="仿宋_GB2312" w:hAnsi="仿宋_GB2312" w:cs="仿宋_GB2312" w:eastAsia="仿宋_GB2312"/>
                <w:sz w:val="21"/>
                <w:b/>
                <w:color w:val="000000"/>
              </w:rPr>
              <w:t>一楼岗位人员配比统计表</w:t>
            </w:r>
          </w:p>
          <w:tbl>
            <w:tblPr>
              <w:tblBorders>
                <w:top w:val="none" w:color="000000" w:sz="4"/>
                <w:left w:val="none" w:color="000000" w:sz="4"/>
                <w:bottom w:val="none" w:color="000000" w:sz="4"/>
                <w:right w:val="none" w:color="000000" w:sz="4"/>
                <w:insideH w:val="none"/>
                <w:insideV w:val="none"/>
              </w:tblBorders>
            </w:tblPr>
            <w:tblGrid>
              <w:gridCol w:w="292"/>
              <w:gridCol w:w="706"/>
              <w:gridCol w:w="917"/>
              <w:gridCol w:w="638"/>
            </w:tblGrid>
            <w:tr>
              <w:tc>
                <w:tcPr>
                  <w:tcW w:type="dxa" w:w="2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序号</w:t>
                  </w:r>
                </w:p>
              </w:tc>
              <w:tc>
                <w:tcPr>
                  <w:tcW w:type="dxa" w:w="7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域</w:t>
                  </w:r>
                </w:p>
              </w:tc>
              <w:tc>
                <w:tcPr>
                  <w:tcW w:type="dxa" w:w="91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人员配比数量</w:t>
                  </w:r>
                </w:p>
              </w:tc>
              <w:tc>
                <w:tcPr>
                  <w:tcW w:type="dxa" w:w="6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1.2倍</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管</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楼层长</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社会事务窗口</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8*1.2=9.6</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一件事窗口</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导</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38"/>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23*1.2=27.6</w:t>
                  </w: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南北导办</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自助区</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8</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书</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屋</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9</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投诉中心</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10</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话务室</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11</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24小时自助区</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12</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填单区</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13</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母婴室</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14</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志愿者</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15</w:t>
                  </w:r>
                </w:p>
              </w:tc>
              <w:tc>
                <w:tcPr>
                  <w:tcW w:type="dxa" w:w="70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项目代办</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38"/>
                  <w:vMerge/>
                  <w:tcBorders>
                    <w:top w:val="none" w:color="000000" w:sz="4"/>
                    <w:left w:val="single" w:color="000000" w:sz="4"/>
                    <w:bottom w:val="single" w:color="000000" w:sz="4"/>
                    <w:right w:val="single" w:color="000000" w:sz="4"/>
                  </w:tcBorders>
                </w:tcPr>
                <w:p/>
              </w:tc>
            </w:tr>
            <w:tr>
              <w:tc>
                <w:tcPr>
                  <w:tcW w:type="dxa" w:w="9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p>
              </w:tc>
              <w:tc>
                <w:tcPr>
                  <w:tcW w:type="dxa" w:w="91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34</w:t>
                  </w:r>
                </w:p>
              </w:tc>
              <w:tc>
                <w:tcPr>
                  <w:tcW w:type="dxa" w:w="6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40</w:t>
                  </w:r>
                </w:p>
              </w:tc>
            </w:tr>
          </w:tbl>
          <w:p>
            <w:pPr>
              <w:pStyle w:val="null3"/>
              <w:ind w:firstLine="422"/>
            </w:pPr>
            <w:r>
              <w:rPr>
                <w:rFonts w:ascii="仿宋_GB2312" w:hAnsi="仿宋_GB2312" w:cs="仿宋_GB2312" w:eastAsia="仿宋_GB2312"/>
                <w:sz w:val="21"/>
                <w:b/>
                <w:color w:val="000000"/>
              </w:rPr>
              <w:t>二楼岗位人员配比统计表</w:t>
            </w:r>
          </w:p>
          <w:tbl>
            <w:tblPr>
              <w:tblBorders>
                <w:top w:val="none" w:color="000000" w:sz="4"/>
                <w:left w:val="none" w:color="000000" w:sz="4"/>
                <w:bottom w:val="none" w:color="000000" w:sz="4"/>
                <w:right w:val="none" w:color="000000" w:sz="4"/>
                <w:insideH w:val="none"/>
                <w:insideV w:val="none"/>
              </w:tblBorders>
            </w:tblPr>
            <w:tblGrid>
              <w:gridCol w:w="289"/>
              <w:gridCol w:w="699"/>
              <w:gridCol w:w="904"/>
              <w:gridCol w:w="654"/>
            </w:tblGrid>
            <w:tr>
              <w:tc>
                <w:tcPr>
                  <w:tcW w:type="dxa" w:w="2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序号</w:t>
                  </w:r>
                </w:p>
              </w:tc>
              <w:tc>
                <w:tcPr>
                  <w:tcW w:type="dxa" w:w="69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区</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域</w:t>
                  </w:r>
                </w:p>
              </w:tc>
              <w:tc>
                <w:tcPr>
                  <w:tcW w:type="dxa" w:w="9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人员配比数量</w:t>
                  </w:r>
                </w:p>
              </w:tc>
              <w:tc>
                <w:tcPr>
                  <w:tcW w:type="dxa" w:w="6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备注</w:t>
                  </w:r>
                  <w:r>
                    <w:rPr>
                      <w:rFonts w:ascii="仿宋_GB2312" w:hAnsi="仿宋_GB2312" w:cs="仿宋_GB2312" w:eastAsia="仿宋_GB2312"/>
                      <w:sz w:val="21"/>
                      <w:color w:val="000000"/>
                    </w:rPr>
                    <w:t>1.2倍</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主</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管</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楼层长</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自助区</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9</w:t>
                  </w:r>
                </w:p>
              </w:tc>
              <w:tc>
                <w:tcPr>
                  <w:tcW w:type="dxa" w:w="6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13*1.2=15.6</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导办台</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54"/>
                  <w:vMerge/>
                  <w:tcBorders>
                    <w:top w:val="none" w:color="000000" w:sz="4"/>
                    <w:left w:val="single" w:color="000000" w:sz="4"/>
                    <w:bottom w:val="single" w:color="000000" w:sz="4"/>
                    <w:right w:val="single" w:color="000000" w:sz="4"/>
                  </w:tcBorders>
                </w:tcP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二楼综合窗口</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48</w:t>
                  </w:r>
                </w:p>
              </w:tc>
              <w:tc>
                <w:tcPr>
                  <w:tcW w:type="dxa" w:w="65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52*1.2=62.4</w:t>
                  </w:r>
                </w:p>
              </w:tc>
            </w:tr>
            <w:tr>
              <w:tc>
                <w:tcPr>
                  <w:tcW w:type="dxa" w:w="2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6</w:t>
                  </w:r>
                </w:p>
              </w:tc>
              <w:tc>
                <w:tcPr>
                  <w:tcW w:type="dxa" w:w="69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分拣转办人员</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54"/>
                  <w:vMerge/>
                  <w:tcBorders>
                    <w:top w:val="none" w:color="000000" w:sz="4"/>
                    <w:left w:val="single" w:color="000000" w:sz="4"/>
                    <w:bottom w:val="single" w:color="000000" w:sz="4"/>
                    <w:right w:val="single" w:color="000000" w:sz="4"/>
                  </w:tcBorders>
                </w:tcPr>
                <w:p/>
              </w:tc>
            </w:tr>
            <w:tr>
              <w:tc>
                <w:tcPr>
                  <w:tcW w:type="dxa" w:w="98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p>
              </w:tc>
              <w:tc>
                <w:tcPr>
                  <w:tcW w:type="dxa" w:w="9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72</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81</w:t>
                  </w:r>
                </w:p>
              </w:tc>
            </w:tr>
          </w:tbl>
          <w:p>
            <w:pPr>
              <w:pStyle w:val="null3"/>
              <w:ind w:firstLine="422"/>
            </w:pPr>
            <w:r>
              <w:rPr>
                <w:rFonts w:ascii="仿宋_GB2312" w:hAnsi="仿宋_GB2312" w:cs="仿宋_GB2312" w:eastAsia="仿宋_GB2312"/>
                <w:sz w:val="21"/>
                <w:b/>
                <w:color w:val="000000"/>
              </w:rPr>
              <w:t>四楼人员配比</w:t>
            </w:r>
          </w:p>
          <w:tbl>
            <w:tblPr>
              <w:tblBorders>
                <w:top w:val="none" w:color="000000" w:sz="4"/>
                <w:left w:val="none" w:color="000000" w:sz="4"/>
                <w:bottom w:val="none" w:color="000000" w:sz="4"/>
                <w:right w:val="none" w:color="000000" w:sz="4"/>
                <w:insideH w:val="none"/>
                <w:insideV w:val="none"/>
              </w:tblBorders>
            </w:tblPr>
            <w:tblGrid>
              <w:gridCol w:w="285"/>
              <w:gridCol w:w="708"/>
              <w:gridCol w:w="900"/>
              <w:gridCol w:w="654"/>
            </w:tblGrid>
            <w:tr>
              <w:tc>
                <w:tcPr>
                  <w:tcW w:type="dxa" w:w="2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7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导办台</w:t>
                  </w:r>
                </w:p>
              </w:tc>
              <w:tc>
                <w:tcPr>
                  <w:tcW w:type="dxa" w:w="9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654"/>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7*1.2=8.4</w:t>
                  </w: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2</w:t>
                  </w: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党群服务中心</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4</w:t>
                  </w:r>
                </w:p>
              </w:tc>
              <w:tc>
                <w:tcPr>
                  <w:tcW w:type="dxa" w:w="654"/>
                  <w:vMerge/>
                  <w:tcBorders>
                    <w:top w:val="single" w:color="000000" w:sz="4"/>
                    <w:left w:val="single" w:color="000000" w:sz="4"/>
                    <w:bottom w:val="single" w:color="000000" w:sz="4"/>
                    <w:right w:val="single" w:color="000000" w:sz="4"/>
                  </w:tcBorders>
                </w:tcPr>
                <w:p/>
              </w:tc>
            </w:tr>
            <w:tr>
              <w:tc>
                <w:tcPr>
                  <w:tcW w:type="dxa" w:w="2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3</w:t>
                  </w:r>
                </w:p>
              </w:tc>
              <w:tc>
                <w:tcPr>
                  <w:tcW w:type="dxa" w:w="7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填单区</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1</w:t>
                  </w:r>
                </w:p>
              </w:tc>
              <w:tc>
                <w:tcPr>
                  <w:tcW w:type="dxa" w:w="654"/>
                  <w:vMerge/>
                  <w:tcBorders>
                    <w:top w:val="single" w:color="000000" w:sz="4"/>
                    <w:left w:val="single" w:color="000000" w:sz="4"/>
                    <w:bottom w:val="single" w:color="000000" w:sz="4"/>
                    <w:right w:val="single" w:color="000000" w:sz="4"/>
                  </w:tcBorders>
                </w:tcPr>
                <w:p/>
              </w:tc>
            </w:tr>
            <w:tr>
              <w:tc>
                <w:tcPr>
                  <w:tcW w:type="dxa" w:w="99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合</w:t>
                  </w:r>
                  <w:r>
                    <w:rPr>
                      <w:rFonts w:ascii="仿宋_GB2312" w:hAnsi="仿宋_GB2312" w:cs="仿宋_GB2312" w:eastAsia="仿宋_GB2312"/>
                      <w:sz w:val="21"/>
                      <w:color w:val="000000"/>
                    </w:rPr>
                    <w:t xml:space="preserve">  </w:t>
                  </w:r>
                  <w:r>
                    <w:rPr>
                      <w:rFonts w:ascii="仿宋_GB2312" w:hAnsi="仿宋_GB2312" w:cs="仿宋_GB2312" w:eastAsia="仿宋_GB2312"/>
                      <w:sz w:val="21"/>
                      <w:color w:val="000000"/>
                    </w:rPr>
                    <w:t>计</w:t>
                  </w:r>
                </w:p>
              </w:tc>
              <w:tc>
                <w:tcPr>
                  <w:tcW w:type="dxa" w:w="9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7</w:t>
                  </w:r>
                </w:p>
              </w:tc>
              <w:tc>
                <w:tcPr>
                  <w:tcW w:type="dxa" w:w="6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420"/>
                    <w:jc w:val="center"/>
                  </w:pPr>
                  <w:r>
                    <w:rPr>
                      <w:rFonts w:ascii="仿宋_GB2312" w:hAnsi="仿宋_GB2312" w:cs="仿宋_GB2312" w:eastAsia="仿宋_GB2312"/>
                      <w:sz w:val="21"/>
                      <w:color w:val="000000"/>
                    </w:rPr>
                    <w:t>8.4</w:t>
                  </w:r>
                </w:p>
              </w:tc>
            </w:tr>
          </w:tbl>
          <w:p>
            <w:pPr>
              <w:pStyle w:val="null3"/>
              <w:ind w:firstLine="420"/>
              <w:jc w:val="center"/>
            </w:pPr>
            <w:r>
              <w:rPr>
                <w:rFonts w:ascii="仿宋_GB2312" w:hAnsi="仿宋_GB2312" w:cs="仿宋_GB2312" w:eastAsia="仿宋_GB2312"/>
                <w:sz w:val="21"/>
                <w:color w:val="000000"/>
              </w:rPr>
              <w:t>注：一、二、四楼共需人员：</w:t>
            </w:r>
            <w:r>
              <w:rPr>
                <w:rFonts w:ascii="仿宋_GB2312" w:hAnsi="仿宋_GB2312" w:cs="仿宋_GB2312" w:eastAsia="仿宋_GB2312"/>
                <w:sz w:val="21"/>
                <w:color w:val="000000"/>
              </w:rPr>
              <w:t>129人，技术保障中心辅助人员12人，合计141人。</w:t>
            </w:r>
          </w:p>
          <w:p>
            <w:pPr>
              <w:pStyle w:val="null3"/>
              <w:ind w:firstLine="420"/>
              <w:jc w:val="left"/>
            </w:pPr>
            <w:r>
              <w:rPr>
                <w:rFonts w:ascii="仿宋_GB2312" w:hAnsi="仿宋_GB2312" w:cs="仿宋_GB2312" w:eastAsia="仿宋_GB2312"/>
                <w:sz w:val="21"/>
                <w:color w:val="000000"/>
              </w:rPr>
              <w:t>2</w:t>
            </w:r>
            <w:r>
              <w:rPr>
                <w:rFonts w:ascii="仿宋_GB2312" w:hAnsi="仿宋_GB2312" w:cs="仿宋_GB2312" w:eastAsia="仿宋_GB2312"/>
                <w:sz w:val="21"/>
                <w:color w:val="000000"/>
              </w:rPr>
              <w:t>.</w:t>
            </w:r>
            <w:r>
              <w:rPr>
                <w:rFonts w:ascii="仿宋_GB2312" w:hAnsi="仿宋_GB2312" w:cs="仿宋_GB2312" w:eastAsia="仿宋_GB2312"/>
                <w:sz w:val="21"/>
                <w:color w:val="000000"/>
              </w:rPr>
              <w:t>工作内容</w:t>
            </w:r>
          </w:p>
          <w:p>
            <w:pPr>
              <w:pStyle w:val="null3"/>
              <w:ind w:firstLine="420"/>
              <w:jc w:val="left"/>
            </w:pPr>
            <w:r>
              <w:rPr>
                <w:rFonts w:ascii="仿宋_GB2312" w:hAnsi="仿宋_GB2312" w:cs="仿宋_GB2312" w:eastAsia="仿宋_GB2312"/>
                <w:sz w:val="21"/>
                <w:color w:val="000000"/>
              </w:rPr>
              <w:t>人员承担窗口业务办理、咨询引导、秩序维护、投诉受理、宣传报道、讲解接待和会务保障等方面工作，配合参与大厅日常运行管理、标准化建设、综合窗口建设、事项标准化梳理、运行数据分析和应急演练等方面工作。</w:t>
            </w:r>
          </w:p>
          <w:p>
            <w:pPr>
              <w:pStyle w:val="null3"/>
              <w:ind w:firstLine="420"/>
              <w:jc w:val="left"/>
            </w:pPr>
            <w:r>
              <w:rPr>
                <w:rFonts w:ascii="仿宋_GB2312" w:hAnsi="仿宋_GB2312" w:cs="仿宋_GB2312" w:eastAsia="仿宋_GB2312"/>
                <w:sz w:val="21"/>
                <w:color w:val="000000"/>
              </w:rPr>
              <w:t>3.招聘标准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1）政治素养良好，无犯罪违法违纪记录，严格遵守各项规章制度、保密制度、服务规范等；</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2）普通高校全日制本科及以上学历，专业不限；</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3）身体健康，品行端正，积极上进，形象气质佳；</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4）熟练操作计算机和Office办公软件；</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5）有责任心，有团队合作意识，服从管理；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6）掌握窗口服务基础知识，普通话标准，口齿清晰，口头表达能力强，有亲和力；</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7）年龄3</w:t>
            </w:r>
            <w:r>
              <w:rPr>
                <w:rFonts w:ascii="仿宋_GB2312" w:hAnsi="仿宋_GB2312" w:cs="仿宋_GB2312" w:eastAsia="仿宋_GB2312"/>
                <w:sz w:val="21"/>
                <w:color w:val="000000"/>
              </w:rPr>
              <w:t>5</w:t>
            </w:r>
            <w:r>
              <w:rPr>
                <w:rFonts w:ascii="仿宋_GB2312" w:hAnsi="仿宋_GB2312" w:cs="仿宋_GB2312" w:eastAsia="仿宋_GB2312"/>
                <w:sz w:val="21"/>
                <w:color w:val="000000"/>
              </w:rPr>
              <w:t>岁以下（含</w:t>
            </w:r>
            <w:r>
              <w:rPr>
                <w:rFonts w:ascii="仿宋_GB2312" w:hAnsi="仿宋_GB2312" w:cs="仿宋_GB2312" w:eastAsia="仿宋_GB2312"/>
                <w:sz w:val="21"/>
                <w:color w:val="000000"/>
              </w:rPr>
              <w:t>3</w:t>
            </w:r>
            <w:r>
              <w:rPr>
                <w:rFonts w:ascii="仿宋_GB2312" w:hAnsi="仿宋_GB2312" w:cs="仿宋_GB2312" w:eastAsia="仿宋_GB2312"/>
                <w:sz w:val="21"/>
                <w:color w:val="000000"/>
              </w:rPr>
              <w:t>5</w:t>
            </w:r>
            <w:r>
              <w:rPr>
                <w:rFonts w:ascii="仿宋_GB2312" w:hAnsi="仿宋_GB2312" w:cs="仿宋_GB2312" w:eastAsia="仿宋_GB2312"/>
                <w:sz w:val="21"/>
                <w:color w:val="000000"/>
              </w:rPr>
              <w:t>岁），女性身高不低于</w:t>
            </w:r>
            <w:r>
              <w:rPr>
                <w:rFonts w:ascii="仿宋_GB2312" w:hAnsi="仿宋_GB2312" w:cs="仿宋_GB2312" w:eastAsia="仿宋_GB2312"/>
                <w:sz w:val="21"/>
                <w:color w:val="000000"/>
              </w:rPr>
              <w:t>16</w:t>
            </w:r>
            <w:r>
              <w:rPr>
                <w:rFonts w:ascii="仿宋_GB2312" w:hAnsi="仿宋_GB2312" w:cs="仿宋_GB2312" w:eastAsia="仿宋_GB2312"/>
                <w:sz w:val="21"/>
                <w:color w:val="000000"/>
              </w:rPr>
              <w:t>0</w:t>
            </w:r>
            <w:r>
              <w:rPr>
                <w:rFonts w:ascii="仿宋_GB2312" w:hAnsi="仿宋_GB2312" w:cs="仿宋_GB2312" w:eastAsia="仿宋_GB2312"/>
                <w:sz w:val="21"/>
                <w:color w:val="000000"/>
              </w:rPr>
              <w:t>cm，男性身高不低于17</w:t>
            </w:r>
            <w:r>
              <w:rPr>
                <w:rFonts w:ascii="仿宋_GB2312" w:hAnsi="仿宋_GB2312" w:cs="仿宋_GB2312" w:eastAsia="仿宋_GB2312"/>
                <w:sz w:val="21"/>
                <w:color w:val="000000"/>
              </w:rPr>
              <w:t>0</w:t>
            </w:r>
            <w:r>
              <w:rPr>
                <w:rFonts w:ascii="仿宋_GB2312" w:hAnsi="仿宋_GB2312" w:cs="仿宋_GB2312" w:eastAsia="仿宋_GB2312"/>
                <w:sz w:val="21"/>
                <w:color w:val="000000"/>
              </w:rPr>
              <w:t>cm；</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8）具有良好的服务意识和团队精神，具有较强的应变能力、沟通技巧、判断能力、学习及适应能力；</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9）党员、退役军人、有政务服务工作经验者优先考虑，可适当放宽招聘标准。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10）人员招聘方案需报采购人审核同意后方可实施，并由采购人全程监督。</w:t>
            </w:r>
          </w:p>
          <w:p>
            <w:pPr>
              <w:pStyle w:val="null3"/>
              <w:ind w:firstLine="420"/>
              <w:jc w:val="left"/>
            </w:pPr>
            <w:r>
              <w:rPr>
                <w:rFonts w:ascii="仿宋_GB2312" w:hAnsi="仿宋_GB2312" w:cs="仿宋_GB2312" w:eastAsia="仿宋_GB2312"/>
                <w:sz w:val="21"/>
                <w:color w:val="000000"/>
              </w:rPr>
              <w:t>4.不得录入情形</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1）违反国家法律法规且受过刑事处罚的人员；</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2）受到党纪政纪处分且影响期未结束的人员；</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3）组织和参与宗教、邪教、封建迷信活动的人员；</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4）政治素质和道德品质差，不履行法定义务，公益观念淡薄；</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5）患有严重疾病、无法正常工作的人员。</w:t>
            </w:r>
          </w:p>
          <w:p>
            <w:pPr>
              <w:pStyle w:val="null3"/>
              <w:ind w:firstLine="420"/>
              <w:jc w:val="left"/>
            </w:pPr>
            <w:r>
              <w:rPr>
                <w:rFonts w:ascii="仿宋_GB2312" w:hAnsi="仿宋_GB2312" w:cs="仿宋_GB2312" w:eastAsia="仿宋_GB2312"/>
                <w:sz w:val="21"/>
                <w:color w:val="000000"/>
              </w:rPr>
              <w:t>5.人员管理</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1）服务商应对招聘人员进行岗前能力培训，考核合格后方可正式上岗，并定期组织工作人员进行规章制度、形象礼仪、业务技能等方面的培训。</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2）服务商如需更换驻场运行管理团队人员（项目经理、主管），必须提前7天书面征得采购人同意。</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3）</w:t>
            </w:r>
            <w:r>
              <w:rPr>
                <w:rFonts w:ascii="仿宋_GB2312" w:hAnsi="仿宋_GB2312" w:cs="仿宋_GB2312" w:eastAsia="仿宋_GB2312"/>
                <w:sz w:val="21"/>
                <w:color w:val="000000"/>
              </w:rPr>
              <w:t>员工工资</w:t>
            </w:r>
            <w:r>
              <w:rPr>
                <w:rFonts w:ascii="仿宋_GB2312" w:hAnsi="仿宋_GB2312" w:cs="仿宋_GB2312" w:eastAsia="仿宋_GB2312"/>
                <w:sz w:val="21"/>
                <w:color w:val="000000"/>
              </w:rPr>
              <w:t>根据岗位发放，工资定岗不定人。</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4）窗口和导办工作人员建立持证上岗激励机制，持证工作人员工资应适度上浮。</w:t>
            </w:r>
          </w:p>
          <w:p>
            <w:pPr>
              <w:pStyle w:val="null3"/>
              <w:ind w:firstLine="420"/>
              <w:jc w:val="left"/>
            </w:pPr>
            <w:r>
              <w:rPr>
                <w:rFonts w:ascii="仿宋_GB2312" w:hAnsi="仿宋_GB2312" w:cs="仿宋_GB2312" w:eastAsia="仿宋_GB2312"/>
                <w:sz w:val="21"/>
                <w:color w:val="000000"/>
              </w:rPr>
              <w:t>（</w:t>
            </w:r>
            <w:r>
              <w:rPr>
                <w:rFonts w:ascii="仿宋_GB2312" w:hAnsi="仿宋_GB2312" w:cs="仿宋_GB2312" w:eastAsia="仿宋_GB2312"/>
                <w:sz w:val="21"/>
                <w:color w:val="000000"/>
              </w:rPr>
              <w:t>5）按照大厅考核管理办法，明确人员奖励和处罚办法，每月对工作人员进行考核打分，根据评分结果，参照公司绩效考核标准发放工资。同时，对于评获</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政务大厅优秀称号的员工和班组予以一定的经济奖励。</w:t>
            </w:r>
          </w:p>
          <w:p>
            <w:pPr>
              <w:pStyle w:val="null3"/>
              <w:ind w:firstLine="420"/>
              <w:jc w:val="left"/>
            </w:pPr>
            <w:r>
              <w:rPr>
                <w:rFonts w:ascii="仿宋_GB2312" w:hAnsi="仿宋_GB2312" w:cs="仿宋_GB2312" w:eastAsia="仿宋_GB2312"/>
                <w:sz w:val="21"/>
                <w:color w:val="000000"/>
              </w:rPr>
              <w:t xml:space="preserve"> 6.服务商负责为本项目招聘的员工办理人事档案管理，签订劳动合同，工伤事故申报、认定、赔付处理等。劳动合同应在</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政务服务中心进行备份。</w:t>
            </w:r>
          </w:p>
          <w:p>
            <w:pPr>
              <w:pStyle w:val="null3"/>
              <w:ind w:firstLine="420"/>
              <w:jc w:val="left"/>
            </w:pPr>
            <w:r>
              <w:rPr>
                <w:rFonts w:ascii="仿宋_GB2312" w:hAnsi="仿宋_GB2312" w:cs="仿宋_GB2312" w:eastAsia="仿宋_GB2312"/>
                <w:sz w:val="21"/>
                <w:color w:val="000000"/>
              </w:rPr>
              <w:t xml:space="preserve"> 7.服务商负责处理合同期内所有劳务、劳资纠纷和调节管理纠纷，及时更换不能胜任工作的员工，或按照采购人要求辞退、调换不适合在</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政务大厅工作的员工，维护</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政务大厅正常工作秩序。</w:t>
            </w:r>
          </w:p>
          <w:p>
            <w:pPr>
              <w:pStyle w:val="null3"/>
              <w:ind w:firstLine="420"/>
              <w:jc w:val="left"/>
            </w:pPr>
            <w:r>
              <w:rPr>
                <w:rFonts w:ascii="仿宋_GB2312" w:hAnsi="仿宋_GB2312" w:cs="仿宋_GB2312" w:eastAsia="仿宋_GB2312"/>
                <w:sz w:val="21"/>
                <w:color w:val="000000"/>
              </w:rPr>
              <w:t xml:space="preserve"> 8.服务商应保证大厅稳定运行，优先接收原运行服务单位自愿继续留用的人员，且不得在劳动合同中设置解约后竞业禁止或一定时间内不得从事同类行业或任何限制聘用员工再就业的条款。</w:t>
            </w:r>
          </w:p>
          <w:p>
            <w:pPr>
              <w:pStyle w:val="null3"/>
              <w:ind w:firstLine="420"/>
              <w:jc w:val="left"/>
            </w:pPr>
            <w:r>
              <w:rPr>
                <w:rFonts w:ascii="仿宋_GB2312" w:hAnsi="仿宋_GB2312" w:cs="仿宋_GB2312" w:eastAsia="仿宋_GB2312"/>
                <w:sz w:val="21"/>
                <w:color w:val="000000"/>
              </w:rPr>
              <w:t xml:space="preserve"> 9.服务商应制定并提供完善的人员管理制度，组建具有管理</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政务大厅能力的专职驻场运营管理团队对工作人员进行统一管理，运营管理团队要有具体的岗位职责。</w:t>
            </w:r>
          </w:p>
          <w:p>
            <w:pPr>
              <w:pStyle w:val="null3"/>
              <w:ind w:firstLine="420"/>
              <w:jc w:val="left"/>
            </w:pPr>
            <w:r>
              <w:rPr>
                <w:rFonts w:ascii="仿宋_GB2312" w:hAnsi="仿宋_GB2312" w:cs="仿宋_GB2312" w:eastAsia="仿宋_GB2312"/>
                <w:sz w:val="21"/>
                <w:color w:val="000000"/>
              </w:rPr>
              <w:t xml:space="preserve"> 10.服务商应督促和监督工作人员自觉遵守采购人相关工作管理制度，包括单位规章制度和劳动纪律等，并定期向</w:t>
            </w:r>
            <w:r>
              <w:rPr>
                <w:rFonts w:ascii="仿宋_GB2312" w:hAnsi="仿宋_GB2312" w:cs="仿宋_GB2312" w:eastAsia="仿宋_GB2312"/>
                <w:sz w:val="21"/>
                <w:color w:val="000000"/>
              </w:rPr>
              <w:t>区</w:t>
            </w:r>
            <w:r>
              <w:rPr>
                <w:rFonts w:ascii="仿宋_GB2312" w:hAnsi="仿宋_GB2312" w:cs="仿宋_GB2312" w:eastAsia="仿宋_GB2312"/>
                <w:sz w:val="21"/>
                <w:color w:val="000000"/>
              </w:rPr>
              <w:t>政务服务中心报送运行报告。</w:t>
            </w:r>
          </w:p>
          <w:p>
            <w:pPr>
              <w:pStyle w:val="null3"/>
              <w:ind w:firstLine="420"/>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1</w:t>
            </w:r>
            <w:r>
              <w:rPr>
                <w:rFonts w:ascii="仿宋_GB2312" w:hAnsi="仿宋_GB2312" w:cs="仿宋_GB2312" w:eastAsia="仿宋_GB2312"/>
                <w:sz w:val="21"/>
                <w:color w:val="000000"/>
              </w:rPr>
              <w:t>.服务商应建立人员轮换和储备制度，在服务期间，服务商所派工作人员因个人原因离职或与服务商依法解除劳动关系，或经采购人与服务商双方确认替换服务商所派工作人员，服务商应做好工作交接，确保人员空岗期不超过3天，超出3天的，采购人有权扣除相应费用。</w:t>
            </w:r>
          </w:p>
          <w:p>
            <w:pPr>
              <w:pStyle w:val="null3"/>
              <w:ind w:firstLine="420"/>
              <w:jc w:val="left"/>
            </w:pPr>
            <w:r>
              <w:rPr>
                <w:rFonts w:ascii="仿宋_GB2312" w:hAnsi="仿宋_GB2312" w:cs="仿宋_GB2312" w:eastAsia="仿宋_GB2312"/>
                <w:sz w:val="21"/>
                <w:color w:val="000000"/>
              </w:rPr>
              <w:t xml:space="preserve"> 12.服务商在项目执行过程中，包括日常工作过程中所涉及的采购人全部数据、资料、往来文件等承担保密义务。</w:t>
            </w:r>
          </w:p>
          <w:p>
            <w:pPr>
              <w:pStyle w:val="null3"/>
              <w:ind w:firstLine="420"/>
              <w:jc w:val="left"/>
            </w:pPr>
            <w:r>
              <w:rPr>
                <w:rFonts w:ascii="仿宋_GB2312" w:hAnsi="仿宋_GB2312" w:cs="仿宋_GB2312" w:eastAsia="仿宋_GB2312"/>
                <w:sz w:val="21"/>
                <w:color w:val="000000"/>
              </w:rPr>
              <w:t xml:space="preserve"> 13.服务商应定期组织开展党建、团建相关活动。</w:t>
            </w:r>
          </w:p>
          <w:p>
            <w:pPr>
              <w:pStyle w:val="null3"/>
              <w:ind w:firstLine="420"/>
              <w:jc w:val="left"/>
            </w:pPr>
            <w:r>
              <w:rPr>
                <w:rFonts w:ascii="仿宋_GB2312" w:hAnsi="仿宋_GB2312" w:cs="仿宋_GB2312" w:eastAsia="仿宋_GB2312"/>
                <w:sz w:val="21"/>
                <w:color w:val="000000"/>
              </w:rPr>
              <w:t xml:space="preserve"> 14.服务商要按照行政办事员(政务服务综合窗口办事员)国家职业技能标准开展等级认定、定岗晋级等工作。</w:t>
            </w:r>
          </w:p>
          <w:p>
            <w:pPr>
              <w:pStyle w:val="null3"/>
              <w:ind w:firstLine="420"/>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5</w:t>
            </w:r>
            <w:r>
              <w:rPr>
                <w:rFonts w:ascii="仿宋_GB2312" w:hAnsi="仿宋_GB2312" w:cs="仿宋_GB2312" w:eastAsia="仿宋_GB2312"/>
                <w:sz w:val="21"/>
                <w:color w:val="000000"/>
              </w:rPr>
              <w:t>.合同签订后，服务商应优先聘用现有的大厅服务人员，尽快完成人员招聘和培训工作，保证业务的无缝衔接。</w:t>
            </w:r>
          </w:p>
          <w:p>
            <w:pPr>
              <w:pStyle w:val="null3"/>
              <w:ind w:firstLine="420"/>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6</w:t>
            </w:r>
            <w:r>
              <w:rPr>
                <w:rFonts w:ascii="仿宋_GB2312" w:hAnsi="仿宋_GB2312" w:cs="仿宋_GB2312" w:eastAsia="仿宋_GB2312"/>
                <w:sz w:val="21"/>
                <w:color w:val="000000"/>
              </w:rPr>
              <w:t>.服务商应按时、足额发放工资和福利，并依法交纳五险。不得随意扣发工作人员的工资和其他福利，不得随意缩减或变更工作人员五险的缴存标准和比例。因挪用相关费用所引起的一切法律责任和社会影响均由服务商承担，采购人有权提前终止服务合同并要求服务商赔偿因此给采购人带来的一切损失。</w:t>
            </w:r>
          </w:p>
          <w:p>
            <w:pPr>
              <w:pStyle w:val="null3"/>
              <w:ind w:firstLine="420"/>
              <w:jc w:val="left"/>
            </w:pPr>
            <w:r>
              <w:rPr>
                <w:rFonts w:ascii="仿宋_GB2312" w:hAnsi="仿宋_GB2312" w:cs="仿宋_GB2312" w:eastAsia="仿宋_GB2312"/>
                <w:sz w:val="21"/>
                <w:color w:val="000000"/>
              </w:rPr>
              <w:t xml:space="preserve"> 1</w:t>
            </w:r>
            <w:r>
              <w:rPr>
                <w:rFonts w:ascii="仿宋_GB2312" w:hAnsi="仿宋_GB2312" w:cs="仿宋_GB2312" w:eastAsia="仿宋_GB2312"/>
                <w:sz w:val="21"/>
                <w:color w:val="000000"/>
              </w:rPr>
              <w:t>7</w:t>
            </w:r>
            <w:r>
              <w:rPr>
                <w:rFonts w:ascii="仿宋_GB2312" w:hAnsi="仿宋_GB2312" w:cs="仿宋_GB2312" w:eastAsia="仿宋_GB2312"/>
                <w:sz w:val="21"/>
                <w:color w:val="000000"/>
              </w:rPr>
              <w:t>.</w:t>
            </w:r>
            <w:r>
              <w:rPr>
                <w:rFonts w:ascii="仿宋_GB2312" w:hAnsi="仿宋_GB2312" w:cs="仿宋_GB2312" w:eastAsia="仿宋_GB2312"/>
                <w:sz w:val="21"/>
                <w:color w:val="000000"/>
              </w:rPr>
              <w:t>服务商</w:t>
            </w:r>
            <w:r>
              <w:rPr>
                <w:rFonts w:ascii="仿宋_GB2312" w:hAnsi="仿宋_GB2312" w:cs="仿宋_GB2312" w:eastAsia="仿宋_GB2312"/>
                <w:sz w:val="21"/>
                <w:color w:val="000000"/>
              </w:rPr>
              <w:t>提供</w:t>
            </w:r>
            <w:r>
              <w:rPr>
                <w:rFonts w:ascii="仿宋_GB2312" w:hAnsi="仿宋_GB2312" w:cs="仿宋_GB2312" w:eastAsia="仿宋_GB2312"/>
                <w:sz w:val="21"/>
                <w:color w:val="000000"/>
              </w:rPr>
              <w:t>1</w:t>
            </w:r>
            <w:r>
              <w:rPr>
                <w:rFonts w:ascii="仿宋_GB2312" w:hAnsi="仿宋_GB2312" w:cs="仿宋_GB2312" w:eastAsia="仿宋_GB2312"/>
                <w:sz w:val="21"/>
                <w:color w:val="000000"/>
              </w:rPr>
              <w:t>41</w:t>
            </w:r>
            <w:r>
              <w:rPr>
                <w:rFonts w:ascii="仿宋_GB2312" w:hAnsi="仿宋_GB2312" w:cs="仿宋_GB2312" w:eastAsia="仿宋_GB2312"/>
                <w:sz w:val="21"/>
                <w:color w:val="000000"/>
              </w:rPr>
              <w:t>套工服（衬衣、外套、裤子、配饰等），服务期内服务商工作人员变更产生的工服费用由服务商自行承担</w:t>
            </w:r>
            <w:r>
              <w:rPr>
                <w:rFonts w:ascii="仿宋_GB2312" w:hAnsi="仿宋_GB2312" w:cs="仿宋_GB2312" w:eastAsia="仿宋_GB2312"/>
                <w:sz w:val="21"/>
                <w:color w:val="000000"/>
              </w:rPr>
              <w:t>。</w:t>
            </w:r>
          </w:p>
          <w:p>
            <w:pPr>
              <w:pStyle w:val="null3"/>
              <w:ind w:firstLine="422"/>
              <w:jc w:val="left"/>
            </w:pPr>
            <w:r>
              <w:rPr>
                <w:rFonts w:ascii="仿宋_GB2312" w:hAnsi="仿宋_GB2312" w:cs="仿宋_GB2312" w:eastAsia="仿宋_GB2312"/>
                <w:sz w:val="21"/>
                <w:b/>
                <w:color w:val="000000"/>
              </w:rPr>
              <w:t>四、商务要求（如服务期限、款项结算等）</w:t>
            </w:r>
          </w:p>
          <w:p>
            <w:pPr>
              <w:pStyle w:val="null3"/>
              <w:ind w:firstLine="420"/>
              <w:jc w:val="left"/>
            </w:pPr>
            <w:r>
              <w:rPr>
                <w:rFonts w:ascii="仿宋_GB2312" w:hAnsi="仿宋_GB2312" w:cs="仿宋_GB2312" w:eastAsia="仿宋_GB2312"/>
                <w:sz w:val="21"/>
                <w:color w:val="000000"/>
              </w:rPr>
              <w:t>（一）服务期限</w:t>
            </w:r>
          </w:p>
          <w:p>
            <w:pPr>
              <w:pStyle w:val="null3"/>
              <w:ind w:firstLine="420"/>
              <w:jc w:val="left"/>
            </w:pPr>
            <w:r>
              <w:rPr>
                <w:rFonts w:ascii="仿宋_GB2312" w:hAnsi="仿宋_GB2312" w:cs="仿宋_GB2312" w:eastAsia="仿宋_GB2312"/>
                <w:sz w:val="21"/>
                <w:color w:val="000000"/>
              </w:rPr>
              <w:t>一</w:t>
            </w:r>
            <w:r>
              <w:rPr>
                <w:rFonts w:ascii="仿宋_GB2312" w:hAnsi="仿宋_GB2312" w:cs="仿宋_GB2312" w:eastAsia="仿宋_GB2312"/>
                <w:sz w:val="21"/>
                <w:color w:val="000000"/>
              </w:rPr>
              <w:t>年，以双方签订合同时约定的起止日期为准。</w:t>
            </w:r>
          </w:p>
          <w:p>
            <w:pPr>
              <w:pStyle w:val="null3"/>
              <w:ind w:firstLine="420"/>
              <w:jc w:val="left"/>
            </w:pPr>
            <w:r>
              <w:rPr>
                <w:rFonts w:ascii="仿宋_GB2312" w:hAnsi="仿宋_GB2312" w:cs="仿宋_GB2312" w:eastAsia="仿宋_GB2312"/>
                <w:sz w:val="21"/>
                <w:color w:val="000000"/>
              </w:rPr>
              <w:t>（二）服务地点：</w:t>
            </w:r>
          </w:p>
          <w:p>
            <w:pPr>
              <w:pStyle w:val="null3"/>
              <w:ind w:firstLine="420"/>
              <w:jc w:val="left"/>
            </w:pPr>
            <w:r>
              <w:rPr>
                <w:rFonts w:ascii="仿宋_GB2312" w:hAnsi="仿宋_GB2312" w:cs="仿宋_GB2312" w:eastAsia="仿宋_GB2312"/>
                <w:sz w:val="21"/>
                <w:color w:val="000000"/>
              </w:rPr>
              <w:t>服务地点：采购人指定地点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满足项目最低需要</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自合同签订之日起至项目整体结束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进度款，合同签订后按月支付，前十一个月每月按照合同总价的7.9%进行支付，达到付款条件起30个工作日内，支付合同总金额的86.9%</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进度款，最后一个月按照合同总价的8.1%进行支付，达到付款条件起30个工作日内，支付合同总金额的8.1%</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进度款，服务期满，经采购人考核验收与绩效评价合格后30天内供应商开具剩余金额发票交由采购人，采购人一次性支付剩余服务费用，达到付款条件起30个工作日内，支付合同总金额的5.0%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以最终签订合同为准</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购标的对应的中小企业划分标准所属行业为租赁和商务服务业。租赁和商务服务业的划型标准为：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2.需要落实的政府采购政策：（1）《国务院办公厅关于建立政府强制采购节能产品制度的通知》（国办发〔2007〕51号）；（2）《财政部 司法部关于政府采购支持监狱企业发展有关问题的通知》（财库〔2014〕68号）；（3）《三部门联合发布关于促进残疾人就业政府采购政策的通知》（财库〔2017〕141号）；（4）《财政部 发展改革委 生态环境部 市场监管总局关于调整优化节能产品、环境标志产品政府采购执行机制的通知》（财库〔2019〕9号）；（5）《关于运用政府采购政策支持乡村产业振兴的通知》（财库〔2021〕19号）；（6）《政府采购促进中小企业发展管理办法》（财库〔2020〕46号）；（7）陕西省财政厅关于印发《陕西省中小企业政府采购信用融资办法》（陕财办采〔2018〕23号）；（8）《关于进一步加大政府采购支持中小企业力度的通知》（财库〔2022〕19号）；（9）《关于扩大政府采购支持绿色建材促进建筑品质提升政策实施范围的通知》（财库〔2022〕35号）；（10）《国务院办公厅关于在政府采购中实施本国产品标准及相关政策的通知》（国办发〔2025〕34号）；（11）其他需要落实的政府采购政策。3.供应商需要在线提交所有通过电子化交易平台实施的政府采购项目的响应文件，同时，线下提交纸质响应文件壹份，纸质版响应文件需与系统签章版响应文件保持一致，具体要求详见招标公告。4.本项目专门面向中小企业采购（残疾人福利性单位、监狱企业视同小型、微型企业）。5.由于系统原因，本项目付款方式、确定供应商及签订合同分别按以下执行：（1）付款方式：①合同签订后按月支付，前十一个月每月按照合同总价的7.9%进行支付，最后一个月按照合同总价的8.1%进行支付。中标供应商于次月5日前开具正式发票给采购人，采购人依据开具的发票向财政部门申请资金，最迟于每月20日前通过银行转账支付上月服务外包费用。②服务期满，经采购人考核验收与绩效评价合格后30天内供应商开具剩余金额发票交由采购人，采购人一次性支付剩余服务费用。（2）采购代理机构在评审结束之日起1个工作日内将评审报告送交采购人。采购人在收到评审报告之日起4个工作日内，在评审报告推荐的成交候选供应商名单中按顺序确定成交供应商。采购代理机构应当自成交供应商确定之日起1个工作日内，发出成交通知书，并在陕西省政府采购网公告成交结果，采购文件随成交结果同时公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相关资格证明资料....</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法人或者其他组织提供营业执照等证明文件，自然人提供身份证件，供应商需在项目电子化交易系统中按要求上传相应证明文件并进行电子签章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身份证明文件</w:t>
            </w:r>
          </w:p>
        </w:tc>
        <w:tc>
          <w:tcPr>
            <w:tcW w:type="dxa" w:w="3322"/>
          </w:tcPr>
          <w:p>
            <w:pPr>
              <w:pStyle w:val="null3"/>
            </w:pPr>
            <w:r>
              <w:rPr>
                <w:rFonts w:ascii="仿宋_GB2312" w:hAnsi="仿宋_GB2312" w:cs="仿宋_GB2312" w:eastAsia="仿宋_GB2312"/>
              </w:rPr>
              <w:t>法定代表人（单位负责人）授权委托书（附法定代表人（单位负责人）、被授权人身份证复印件及被授权人近三个月（开标时间前连续三个月（不含开标当月））社保缴纳的证明资料）（法定代表人（单位负责人）直接参加的，须提供法定代表人（单位负责人）身份证明书及身份证复印件且与营业执照上信息须一致），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税收缴纳凭证及社会保险缴纳的凭证</w:t>
            </w:r>
          </w:p>
        </w:tc>
        <w:tc>
          <w:tcPr>
            <w:tcW w:type="dxa" w:w="3322"/>
          </w:tcPr>
          <w:p>
            <w:pPr>
              <w:pStyle w:val="null3"/>
            </w:pPr>
            <w:r>
              <w:rPr>
                <w:rFonts w:ascii="仿宋_GB2312" w:hAnsi="仿宋_GB2312" w:cs="仿宋_GB2312" w:eastAsia="仿宋_GB2312"/>
              </w:rPr>
              <w:t>供应商在本项目投标文件递交截止时间前十二个月内任意一个月的税收缴纳凭证及社会保险缴纳的凭证。依法免税或不需要缴纳社会保障资金的供应商，应提供相应文件证明其依法免税或不需要缴纳社会保障资金，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提供2025年度经审计的已赋码财务审计报告（事业法人可提供部门决算报告）；或提供开标日前三个月内基本存款账户银行出具的资信证明及基本存款账户银行相关证明资料；或提供专业担保机构出具的投标担保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参加政府采购活动前3年内在经营活动中没有重大违法记录的书面声明； 其中：重大违法记录是指供应商因违法经营受到刑事处罚或者责令停产停业、吊销许可证或者执照、较大数额罚款等行政处罚</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履行合同所必需的设备和专业技术能力及诚信履约的书面声明函</w:t>
            </w:r>
          </w:p>
        </w:tc>
        <w:tc>
          <w:tcPr>
            <w:tcW w:type="dxa" w:w="3322"/>
          </w:tcPr>
          <w:p>
            <w:pPr>
              <w:pStyle w:val="null3"/>
            </w:pPr>
            <w:r>
              <w:rPr>
                <w:rFonts w:ascii="仿宋_GB2312" w:hAnsi="仿宋_GB2312" w:cs="仿宋_GB2312" w:eastAsia="仿宋_GB2312"/>
              </w:rPr>
              <w:t>具有履行合同所必需的设备和专业技术能力及诚信履约的书面声明函，供应商需在项目电子化交易系统中按要求上传相应证明文件并进行电子签章。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相关资格证明资料....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信用证明</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供应商未被“信用中国”网站（www.creditchina.gov.cn）列入失信被执行人和重大税收违法失信主体、未被中国政府采购网（www.ccgp.gov.cn）列入政府采购严重违法失信行为记录名单，以开标后的网站查询记录为准。</w:t>
            </w:r>
          </w:p>
        </w:tc>
        <w:tc>
          <w:tcPr>
            <w:tcW w:type="dxa" w:w="1661"/>
          </w:tcPr>
          <w:p>
            <w:pPr>
              <w:pStyle w:val="null3"/>
            </w:pPr>
            <w:r>
              <w:rPr>
                <w:rFonts w:ascii="仿宋_GB2312" w:hAnsi="仿宋_GB2312" w:cs="仿宋_GB2312" w:eastAsia="仿宋_GB2312"/>
              </w:rPr>
              <w:t>相关资格证明资料....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相关资格证明资料....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投标函 商务和技术响应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投标函 商务和技术响应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报价唯一无缺漏，且没有高于招标文件规定的采购预算或最高限价</w:t>
            </w:r>
          </w:p>
        </w:tc>
        <w:tc>
          <w:tcPr>
            <w:tcW w:type="dxa" w:w="1661"/>
          </w:tcPr>
          <w:p>
            <w:pPr>
              <w:pStyle w:val="null3"/>
            </w:pPr>
            <w:r>
              <w:rPr>
                <w:rFonts w:ascii="仿宋_GB2312" w:hAnsi="仿宋_GB2312" w:cs="仿宋_GB2312" w:eastAsia="仿宋_GB2312"/>
              </w:rPr>
              <w:t>开标一览表 投标函 标的清单 投标文件封面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符合文件要求</w:t>
            </w:r>
          </w:p>
        </w:tc>
        <w:tc>
          <w:tcPr>
            <w:tcW w:type="dxa" w:w="1661"/>
          </w:tcPr>
          <w:p>
            <w:pPr>
              <w:pStyle w:val="null3"/>
            </w:pPr>
            <w:r>
              <w:rPr>
                <w:rFonts w:ascii="仿宋_GB2312" w:hAnsi="仿宋_GB2312" w:cs="仿宋_GB2312" w:eastAsia="仿宋_GB2312"/>
              </w:rPr>
              <w:t>投标函 投标文件封面</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响应文件签署、盖章均按招标文件要求签字、盖章。</w:t>
            </w:r>
          </w:p>
        </w:tc>
        <w:tc>
          <w:tcPr>
            <w:tcW w:type="dxa" w:w="1661"/>
          </w:tcPr>
          <w:p>
            <w:pPr>
              <w:pStyle w:val="null3"/>
            </w:pPr>
            <w:r>
              <w:rPr>
                <w:rFonts w:ascii="仿宋_GB2312" w:hAnsi="仿宋_GB2312" w:cs="仿宋_GB2312" w:eastAsia="仿宋_GB2312"/>
              </w:rPr>
              <w:t>开标一览表 投标函 授权委托书 相关资格证明资料.... 商务和技术响应 标的清单 投标文件封面 法定代表人（单位负责人自然人）身份证明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投标有效性</w:t>
            </w:r>
          </w:p>
        </w:tc>
        <w:tc>
          <w:tcPr>
            <w:tcW w:type="dxa" w:w="3322"/>
          </w:tcPr>
          <w:p>
            <w:pPr>
              <w:pStyle w:val="null3"/>
            </w:pPr>
            <w:r>
              <w:rPr>
                <w:rFonts w:ascii="仿宋_GB2312" w:hAnsi="仿宋_GB2312" w:cs="仿宋_GB2312" w:eastAsia="仿宋_GB2312"/>
              </w:rPr>
              <w:t>未出现招标文件规定的无效响应情形</w:t>
            </w:r>
          </w:p>
        </w:tc>
        <w:tc>
          <w:tcPr>
            <w:tcW w:type="dxa" w:w="1661"/>
          </w:tcPr>
          <w:p>
            <w:pPr>
              <w:pStyle w:val="null3"/>
            </w:pPr>
            <w:r>
              <w:rPr>
                <w:rFonts w:ascii="仿宋_GB2312" w:hAnsi="仿宋_GB2312" w:cs="仿宋_GB2312" w:eastAsia="仿宋_GB2312"/>
              </w:rPr>
              <w:t>开标一览表 投标函 授权委托书 相关资格证明资料.... 商务和技术响应 标的清单 投标文件封面 法定代表人（单位负责人自然人）身份证明</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针对本项目提出适用于本项目的总体方案，总体方案包括：①人员聘用方案②社保缴纳工作方案③对聘用人员的培训方案④处理劳务、劳资纠纷方案⑤对聘用人员日常管理考核方案。 二、评审标准 1、完整性：方案必须全面，对评审内容中的各项要求有详细描述； 2、可实施性：切合本项目实际情况，提出步骤清晰、合理的方案； 3、针对性：方案能够紧扣项目实际情况，内容科学合理。 三、赋分标准（满分15分） ①人员聘用方案：每完全满足一个评审标准得1分，满分3分； ②社保缴纳工作方案:每完全满足一个评审标准得1分，满分3分； ③对聘用人员的培训方案:每完全满足一个评审标准得1分，满分3分； ④处理劳务、劳资纠纷方案:每完全满足一个评审标准得1分，满分3分； ⑤对聘用人员日常管理考核方案:每完全满足一个评审标准得1分，满分3分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档案管理</w:t>
            </w:r>
          </w:p>
        </w:tc>
        <w:tc>
          <w:tcPr>
            <w:tcW w:type="dxa" w:w="2492"/>
          </w:tcPr>
          <w:p>
            <w:pPr>
              <w:pStyle w:val="null3"/>
            </w:pPr>
            <w:r>
              <w:rPr>
                <w:rFonts w:ascii="仿宋_GB2312" w:hAnsi="仿宋_GB2312" w:cs="仿宋_GB2312" w:eastAsia="仿宋_GB2312"/>
              </w:rPr>
              <w:t>一、评审内容 根据本项目特点制定档案管理方案，方案包括：①建立人员档案方案②日常管理人员档案方案③服务到期后档案移交制度 二、评审标准 1、完整性：方案必须全面，对评审内容中的各项要求有详细描述； 2、可实施性：切合本项目实际情况，提出步骤清晰、合理的方案； 3、针对性：方案能够紧扣项目实际情况，内容科学合理。 三、赋分标准（满分9分） ①建立人员档案方案：每完全满足一个评审标准得1分，满分3分； ②日常管理人员档案方案:每完全满足一个评审标准得1分，满分3分； ③服务到期后档案移交制度:每完全满足一个评审标准得1分，满分3分；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一、评审内容 根据本项目提出服务质量保证措施，内容包括：①保密制度②服务质量（成果质量、关键工作节点时效等）保证措施 二、评审标准 1、完整性：内容必须全面，对评审内容中的各项要求有详细描述； 2、可实施性：切合本项目实际情况，提出步骤清晰、合理的内容； 3、针对性：方案能够紧扣项目实际情况，内容科学合理。 三、赋分标准（满分9分） ①保密制度：每完全满足一个评审标准得1.5分，满分4.5分； ②服务质量（成果质量、关键工作节点时效等）保证措施:每完全满足一个评审标准得1.5分，满分4.5分；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服务承诺和建议</w:t>
            </w:r>
          </w:p>
        </w:tc>
        <w:tc>
          <w:tcPr>
            <w:tcW w:type="dxa" w:w="2492"/>
          </w:tcPr>
          <w:p>
            <w:pPr>
              <w:pStyle w:val="null3"/>
            </w:pPr>
            <w:r>
              <w:rPr>
                <w:rFonts w:ascii="仿宋_GB2312" w:hAnsi="仿宋_GB2312" w:cs="仿宋_GB2312" w:eastAsia="仿宋_GB2312"/>
              </w:rPr>
              <w:t>一、评审内容 根据本项目提出服务承诺和建议，内容包括：①服务承诺②合理化建议 二、评审标准 1、完整性：内容必须全面，对评审内容中的各项要求有详细描述； 2、可实施性：切合本项目实际情况，提出步骤清晰、合理的内容； 3、针对性：方案能够紧扣项目实际情况，内容科学合理。 三、赋分标准（满分6分） ①服务承诺：每完全满足一个评审标准得1分，满分3分； ②合理化建议:每完全满足一个评审标准得1分，满分3分；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项目经理</w:t>
            </w:r>
          </w:p>
        </w:tc>
        <w:tc>
          <w:tcPr>
            <w:tcW w:type="dxa" w:w="2492"/>
          </w:tcPr>
          <w:p>
            <w:pPr>
              <w:pStyle w:val="null3"/>
            </w:pPr>
            <w:r>
              <w:rPr>
                <w:rFonts w:ascii="仿宋_GB2312" w:hAnsi="仿宋_GB2312" w:cs="仿宋_GB2312" w:eastAsia="仿宋_GB2312"/>
              </w:rPr>
              <w:t>供应商针对本项目配备专职的项目经理，项目经理具有1年人事服务外包项目管理经验的得3分，每增加1年加3分，本项最高得15分。 注：提供项目经理工作证明相关资料并加盖业主公章，未按要求提供不得分。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供应商拟投入本项目的人员每有1名具有《行政办事员证》得3分，本项最高得12分。注：需提供人员证书扫描件及本单位社保缴纳证明材料。</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供应商须提供类似项目的合同或中标通知书（2023年1月至今）（时间以合同签订时间或中标通知书发出时间为准），每提供一份得2分，满分12分。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w:t>
            </w:r>
          </w:p>
        </w:tc>
      </w:tr>
      <w:tr>
        <w:tc>
          <w:tcPr>
            <w:tcW w:type="dxa" w:w="831"/>
            <w:vMerge/>
          </w:tcPr>
          <w:p/>
        </w:tc>
        <w:tc>
          <w:tcPr>
            <w:tcW w:type="dxa" w:w="1661"/>
          </w:tcPr>
          <w:p>
            <w:pPr>
              <w:pStyle w:val="null3"/>
            </w:pPr>
            <w:r>
              <w:rPr>
                <w:rFonts w:ascii="仿宋_GB2312" w:hAnsi="仿宋_GB2312" w:cs="仿宋_GB2312" w:eastAsia="仿宋_GB2312"/>
              </w:rPr>
              <w:t>其他</w:t>
            </w:r>
          </w:p>
        </w:tc>
        <w:tc>
          <w:tcPr>
            <w:tcW w:type="dxa" w:w="2492"/>
          </w:tcPr>
          <w:p>
            <w:pPr>
              <w:pStyle w:val="null3"/>
            </w:pPr>
            <w:r>
              <w:rPr>
                <w:rFonts w:ascii="仿宋_GB2312" w:hAnsi="仿宋_GB2312" w:cs="仿宋_GB2312" w:eastAsia="仿宋_GB2312"/>
              </w:rPr>
              <w:t>供应商具有合法有效的《职业健康安全管理体系认证》、《质量管理体系认证》、《环境管理体系认证》、《信息安全管理体系》每完全满足一个评审标准得3分，满分12分；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商务和技术响应</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采用低价优先法计算，即通过符合性审查且价格最低的有效投标报价为评标基准价，其价格分为满分。投标报价得分＝（评标基准价/投标报价）×10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详见附件：法定代表人（单位负责人自然人）身份证明</w:t>
      </w:r>
    </w:p>
    <w:p>
      <w:pPr>
        <w:pStyle w:val="null3"/>
        <w:ind w:firstLine="960"/>
      </w:pPr>
      <w:r>
        <w:rPr>
          <w:rFonts w:ascii="仿宋_GB2312" w:hAnsi="仿宋_GB2312" w:cs="仿宋_GB2312" w:eastAsia="仿宋_GB2312"/>
        </w:rPr>
        <w:t>详见附件：授权委托书</w:t>
      </w:r>
    </w:p>
    <w:p>
      <w:pPr>
        <w:pStyle w:val="null3"/>
        <w:ind w:firstLine="960"/>
      </w:pPr>
      <w:r>
        <w:rPr>
          <w:rFonts w:ascii="仿宋_GB2312" w:hAnsi="仿宋_GB2312" w:cs="仿宋_GB2312" w:eastAsia="仿宋_GB2312"/>
        </w:rPr>
        <w:t>详见附件：相关资格证明资料....</w:t>
      </w:r>
    </w:p>
    <w:p>
      <w:pPr>
        <w:pStyle w:val="null3"/>
        <w:ind w:firstLine="960"/>
      </w:pPr>
      <w:r>
        <w:rPr>
          <w:rFonts w:ascii="仿宋_GB2312" w:hAnsi="仿宋_GB2312" w:cs="仿宋_GB2312" w:eastAsia="仿宋_GB2312"/>
        </w:rPr>
        <w:t>详见附件：商务和技术响应</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详见附件：拟签订的采购合同.docx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