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版本号：DCZX2026-ZCCS-GC110920260902002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危房改造工程项目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DCZX2026-ZCCS-GC1109</w:t>
      </w:r>
      <w:r>
        <w:br/>
      </w:r>
      <w:r>
        <w:br/>
      </w:r>
      <w:r>
        <w:br/>
      </w:r>
    </w:p>
    <w:p>
      <w:pPr>
        <w:pStyle w:val="null3"/>
        <w:jc w:val="center"/>
        <w:outlineLvl w:val="2"/>
      </w:pPr>
      <w:r>
        <w:rPr>
          <w:rFonts w:ascii="仿宋_GB2312" w:hAnsi="仿宋_GB2312" w:cs="仿宋_GB2312" w:eastAsia="仿宋_GB2312"/>
          <w:sz w:val="28"/>
          <w:b/>
        </w:rPr>
        <w:t>西安市长安区郭杜街道初级中学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西安市长安区郭杜街道初级中学</w:t>
      </w:r>
      <w:r>
        <w:rPr>
          <w:rFonts w:ascii="仿宋_GB2312" w:hAnsi="仿宋_GB2312" w:cs="仿宋_GB2312" w:eastAsia="仿宋_GB2312"/>
        </w:rPr>
        <w:t>委托，拟对</w:t>
      </w:r>
      <w:r>
        <w:rPr>
          <w:rFonts w:ascii="仿宋_GB2312" w:hAnsi="仿宋_GB2312" w:cs="仿宋_GB2312" w:eastAsia="仿宋_GB2312"/>
        </w:rPr>
        <w:t>危房改造工程项目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DCZX2026-ZCCS-GC1109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危房改造工程项目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郭杜街道初级中学危房改造工程项目，建设地点为西安市长安区郭杜街道初级中学校园内，主要包括墙体加固、圈梁加固、预制板加固、原有抹灰铲除、重新抹灰、建筑垃圾清运、脚手架搭设等内容，对实验楼原有结构及装饰面层实施维修改造，恢复建筑使用功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采购包1（西安市长安区郭杜街道初级中学危房改造工程项目）：属于专门面向中小企业采购。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1、身份证明：法定代表人授权书（法定代表人直接参加投标，须提供法定代表人身份证明）；</w:t>
      </w:r>
    </w:p>
    <w:p>
      <w:pPr>
        <w:pStyle w:val="null3"/>
      </w:pPr>
      <w:r>
        <w:rPr>
          <w:rFonts w:ascii="仿宋_GB2312" w:hAnsi="仿宋_GB2312" w:cs="仿宋_GB2312" w:eastAsia="仿宋_GB2312"/>
        </w:rPr>
        <w:t>2、企业资质：投标供应商须具备行业主管部门颁发的特种工程专业承包（结构补强）资质并具有有效的安全生产许可证；</w:t>
      </w:r>
    </w:p>
    <w:p>
      <w:pPr>
        <w:pStyle w:val="null3"/>
      </w:pPr>
      <w:r>
        <w:rPr>
          <w:rFonts w:ascii="仿宋_GB2312" w:hAnsi="仿宋_GB2312" w:cs="仿宋_GB2312" w:eastAsia="仿宋_GB2312"/>
        </w:rPr>
        <w:t>3、拟派项目经理资质：投标供应商拟派项目经理须具备行业主管部门颁发的建筑工程专业二级及以上注册建造师资质及有效的B类安全生产考核合格证书（建安B证），在本单位注册且无在建工程（提供承诺）；</w:t>
      </w:r>
    </w:p>
    <w:p>
      <w:pPr>
        <w:pStyle w:val="null3"/>
      </w:pPr>
      <w:r>
        <w:rPr>
          <w:rFonts w:ascii="仿宋_GB2312" w:hAnsi="仿宋_GB2312" w:cs="仿宋_GB2312" w:eastAsia="仿宋_GB2312"/>
        </w:rPr>
        <w:t>4、投标供应商基本信息及项目经理基本信息：投标供应商基本信息及项目经理基本信息应在“陕西建设网（http://js.shaanxi.gov.cn/）或陕西省建筑市场监管与诚信信息发布平台”可查询；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5、信用信息：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6、承诺书：投标供应商不得在各级诚信信息平台被列为投标受限制的行为人（提供承诺）；</w:t>
      </w:r>
    </w:p>
    <w:p>
      <w:pPr>
        <w:pStyle w:val="null3"/>
      </w:pPr>
      <w:r>
        <w:rPr>
          <w:rFonts w:ascii="仿宋_GB2312" w:hAnsi="仿宋_GB2312" w:cs="仿宋_GB2312" w:eastAsia="仿宋_GB2312"/>
        </w:rPr>
        <w:t>7、中小企业声明函：本项目专门面向中小企业采购，仅限符合《政府采购促进中小企业发展管理办法》的通知(财库〔2020〕46号)条件的中小企业参与，并提供中小企业声明函，残疾人福利企业、监狱企业视同中小企业；</w:t>
      </w:r>
    </w:p>
    <w:p>
      <w:pPr>
        <w:pStyle w:val="null3"/>
      </w:pPr>
      <w:r>
        <w:rPr>
          <w:rFonts w:ascii="仿宋_GB2312" w:hAnsi="仿宋_GB2312" w:cs="仿宋_GB2312" w:eastAsia="仿宋_GB2312"/>
        </w:rPr>
        <w:t>8、非联合体声明：本项目不接受联合体磋商，单位负责人为同一人或者存在直接控股、管理关系的不同供应商，不得参加同一合同项下的政府采购活动。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西安市长安区郭杜街道初级中学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郭杜西街14号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魏元红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029-85843615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采购包1：1,304,868.19元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和《关于招标代理服务收费有关问题的通知》(发改办价格[2003]857号）的有关规定执行。2、成交单位在领取成交通知书前，须向采购代理机构一次性支付采购代理服务费。 代理费缴存账户： 开户名称：陕西鼎成项目管理咨询有限公司 开户银行：中国民生银行股份有限公司西安高新科技支行 账号：171277297 （备注：项目名称+项目编号） 3、成交供应商在领取成交通知书时须携带法定代表人授权书及加盖单位公章的被授权人身份证复印件。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西安市长安区郭杜街道初级中学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西安市长安区郭杜街道初级中学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西安市长安区郭杜街道初级中学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1、供应商保证其交付的全部产品或服务，未侵犯任何第三方的专利权、商标权、著作权、商业秘密或其他知识产权。 2、如因供应商提供的产品或服务发生第三方知识产权侵权指控，供应商应承担全部法律责任和费用（包括但不限于赔偿款、诉讼费、律师费、鉴定费等），并确保采购人能够继续使用该产品或服务，或免费为采购人更换不侵权的同等产品或服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1,304,868.19</w:t>
      </w:r>
    </w:p>
    <w:p>
      <w:pPr>
        <w:pStyle w:val="null3"/>
      </w:pPr>
      <w:r>
        <w:rPr>
          <w:rFonts w:ascii="仿宋_GB2312" w:hAnsi="仿宋_GB2312" w:cs="仿宋_GB2312" w:eastAsia="仿宋_GB2312"/>
        </w:rPr>
        <w:t>采购包最高限价（元）: 1,304,868.19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危房改造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1,304,868.19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标的名称：危房改造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一、计划工期：</w:t>
            </w:r>
          </w:p>
          <w:p>
            <w:pPr>
              <w:pStyle w:val="null3"/>
              <w:ind w:firstLine="480"/>
              <w:jc w:val="both"/>
            </w:pPr>
            <w:r>
              <w:rPr>
                <w:rFonts w:ascii="仿宋_GB2312" w:hAnsi="仿宋_GB2312" w:cs="仿宋_GB2312" w:eastAsia="仿宋_GB2312"/>
                <w:sz w:val="21"/>
              </w:rPr>
              <w:t>65</w:t>
            </w:r>
            <w:r>
              <w:rPr>
                <w:rFonts w:ascii="仿宋_GB2312" w:hAnsi="仿宋_GB2312" w:cs="仿宋_GB2312" w:eastAsia="仿宋_GB2312"/>
                <w:sz w:val="21"/>
              </w:rPr>
              <w:t>日历天。</w:t>
            </w:r>
          </w:p>
          <w:p>
            <w:pPr>
              <w:pStyle w:val="null3"/>
              <w:jc w:val="both"/>
            </w:pPr>
            <w:r>
              <w:rPr>
                <w:rFonts w:ascii="仿宋_GB2312" w:hAnsi="仿宋_GB2312" w:cs="仿宋_GB2312" w:eastAsia="仿宋_GB2312"/>
                <w:sz w:val="21"/>
              </w:rPr>
              <w:t>二、质保期：</w:t>
            </w:r>
          </w:p>
          <w:p>
            <w:pPr>
              <w:pStyle w:val="null3"/>
              <w:ind w:firstLine="420"/>
              <w:jc w:val="both"/>
            </w:pPr>
            <w:r>
              <w:rPr>
                <w:rFonts w:ascii="仿宋_GB2312" w:hAnsi="仿宋_GB2312" w:cs="仿宋_GB2312" w:eastAsia="仿宋_GB2312"/>
                <w:sz w:val="21"/>
              </w:rPr>
              <w:t>1、基础设施工程、房屋建筑的地基基础工程和主体结构工程，为设计文件规定的该工程的合理使用年限。</w:t>
            </w:r>
          </w:p>
          <w:p>
            <w:pPr>
              <w:pStyle w:val="null3"/>
              <w:ind w:firstLine="420"/>
              <w:jc w:val="both"/>
            </w:pPr>
            <w:r>
              <w:rPr>
                <w:rFonts w:ascii="仿宋_GB2312" w:hAnsi="仿宋_GB2312" w:cs="仿宋_GB2312" w:eastAsia="仿宋_GB2312"/>
                <w:sz w:val="21"/>
              </w:rPr>
              <w:t>2、屋面防水工程、有防水要求的卫生间、房间和外墙面的防渗漏，为5年。</w:t>
            </w:r>
          </w:p>
          <w:p>
            <w:pPr>
              <w:pStyle w:val="null3"/>
              <w:ind w:firstLine="420"/>
              <w:jc w:val="both"/>
            </w:pPr>
            <w:r>
              <w:rPr>
                <w:rFonts w:ascii="仿宋_GB2312" w:hAnsi="仿宋_GB2312" w:cs="仿宋_GB2312" w:eastAsia="仿宋_GB2312"/>
                <w:sz w:val="21"/>
              </w:rPr>
              <w:t>3、电气管线、给排水管道、设备安装和装修工程，为2年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三、缺陷责任期：</w:t>
            </w:r>
          </w:p>
          <w:p>
            <w:pPr>
              <w:pStyle w:val="null3"/>
              <w:ind w:firstLine="480"/>
              <w:jc w:val="both"/>
            </w:pPr>
            <w:r>
              <w:rPr>
                <w:rFonts w:ascii="仿宋_GB2312" w:hAnsi="仿宋_GB2312" w:cs="仿宋_GB2312" w:eastAsia="仿宋_GB2312"/>
                <w:sz w:val="21"/>
              </w:rPr>
              <w:t>自竣工验收之日起</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四、付款条件及比例：</w:t>
            </w:r>
          </w:p>
          <w:p>
            <w:pPr>
              <w:pStyle w:val="null3"/>
              <w:ind w:firstLine="480"/>
              <w:jc w:val="both"/>
            </w:pPr>
            <w:r>
              <w:rPr>
                <w:rFonts w:ascii="仿宋_GB2312" w:hAnsi="仿宋_GB2312" w:cs="仿宋_GB2312" w:eastAsia="仿宋_GB2312"/>
                <w:sz w:val="21"/>
              </w:rPr>
              <w:t>1、合同签订后，甲方向乙方支付合同价款的40%作为预付款。</w:t>
            </w:r>
          </w:p>
          <w:p>
            <w:pPr>
              <w:pStyle w:val="null3"/>
              <w:ind w:firstLine="480"/>
              <w:jc w:val="both"/>
            </w:pPr>
            <w:r>
              <w:rPr>
                <w:rFonts w:ascii="仿宋_GB2312" w:hAnsi="仿宋_GB2312" w:cs="仿宋_GB2312" w:eastAsia="仿宋_GB2312"/>
                <w:sz w:val="21"/>
              </w:rPr>
              <w:t>2、项目完工、验收合格、经政府相关审计部门审计完成后，支付至审计结算价款的100%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五、质量要求：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达到国家现行行业施工验收规范</w:t>
            </w:r>
            <w:r>
              <w:rPr>
                <w:rFonts w:ascii="仿宋_GB2312" w:hAnsi="仿宋_GB2312" w:cs="仿宋_GB2312" w:eastAsia="仿宋_GB2312"/>
                <w:sz w:val="21"/>
              </w:rPr>
              <w:t>“合格”标准。</w:t>
            </w:r>
          </w:p>
          <w:p>
            <w:pPr>
              <w:pStyle w:val="null3"/>
              <w:jc w:val="left"/>
            </w:pPr>
            <w:r>
              <w:rPr>
                <w:rFonts w:ascii="仿宋_GB2312" w:hAnsi="仿宋_GB2312" w:cs="仿宋_GB2312" w:eastAsia="仿宋_GB2312"/>
                <w:sz w:val="21"/>
              </w:rPr>
              <w:t>六、合同定价方式：</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本合同价款采用</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（固定总价）</w:t>
            </w:r>
            <w:r>
              <w:rPr>
                <w:rFonts w:ascii="仿宋_GB2312" w:hAnsi="仿宋_GB2312" w:cs="仿宋_GB2312" w:eastAsia="仿宋_GB2312"/>
                <w:sz w:val="21"/>
              </w:rPr>
              <w:t>方式确定。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竞争性磋商文件第六章6.3.4：“（五）若采用项目包干价的，供应商直接给出其完成本项目全部工作内容所需的总价，不再提供已标价工程量清单。”为系统自动生成内容，无法更改，本项目需要提供已标价工程量清单。 （3）“若供应商的最后报价只有一个总价，则供应商应当提交相应调整部分的报价构成及明细，并结合首次报价提供的已标价工程量清单，重新计算总报价。”为系统自动生成，无法更改，本项目二次报价只需填报项目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投标供应商须具备行业主管部门颁发的特种工程专业承包（结构补强）资质并具有有效的安全生产许可证；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投标供应商拟派项目经理须具备行业主管部门颁发的建筑工程专业二级及以上注册建造师资质及有效的B类安全生产考核合格证书（建安B证），在本单位注册且无在建工程（提供承诺）；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投标供应商基本信息及项目经理基本信息</w:t>
            </w:r>
          </w:p>
        </w:tc>
        <w:tc>
          <w:tcPr>
            <w:tcW w:type="dxa" w:w="3322"/>
          </w:tcPr>
          <w:p>
            <w:pPr>
              <w:pStyle w:val="null3"/>
            </w:pPr>
            <w:r>
              <w:rPr>
                <w:rFonts w:ascii="仿宋_GB2312" w:hAnsi="仿宋_GB2312" w:cs="仿宋_GB2312" w:eastAsia="仿宋_GB2312"/>
              </w:rPr>
              <w:t>投标供应商基本信息及项目经理基本信息应在“陕西建设网（http://js.shaanxi.gov.cn/）或陕西省建筑市场监管与诚信信息发布平台”可查询；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投标供应商不得在各级诚信信息平台被列为投标受限制的行为人（提供承诺）；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按照《关于推动解决政府采购异常低价问题的通知》(财库〔2026〕2号)规定，出现下列情形之一的，磋商小组应当启动异常低价投标（响应）审查程序：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4.磋商小组基于专业判断，认为供应商报价过低，有可能影响产品质量或者不能诚信履约的其他情形。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已标价工程量清单.docx 商务、技术条款偏离表.docx 中小企业声明函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已标价工程量清单.docx 商务、技术条款偏离表.docx 中小企业声明函 资格证明文件.docx 响应文件封面 残疾人福利性单位声明函 拒绝政府采购领域商业贿赂承诺书.docx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缺陷责任期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付款条件及比例</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商务、技术条款偏离表.docx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应符合磋商文件给出的工程量清单范围和数量</w:t>
            </w:r>
          </w:p>
        </w:tc>
        <w:tc>
          <w:tcPr>
            <w:tcW w:type="dxa" w:w="1661"/>
          </w:tcPr>
          <w:p>
            <w:pPr>
              <w:pStyle w:val="null3"/>
            </w:pPr>
            <w:r>
              <w:rPr>
                <w:rFonts w:ascii="仿宋_GB2312" w:hAnsi="仿宋_GB2312" w:cs="仿宋_GB2312" w:eastAsia="仿宋_GB2312"/>
              </w:rPr>
              <w:t>商务、技术条款偏离表.docx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一、评审标准 1、完整性：须全面，对评审项有详细描述及说明；2、合理性：切合本项目实际情况，实施步骤清晰、合理；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一、评审标准 1、完整性：须全面，对评审项有详细描述及说明； 2、合理性：切合本项目实际情况，实施步骤清晰、合理； 3、针对性：能够紧扣项目实际情况，内容科学合理。 二、赋分标准 技术方案内容完全满足所有评审标准得6.5分；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2023年08月01日（以合同签订日期为准）类似项目业绩（以合同复印件或扫描件加盖公章为准）每个有效业绩得1分，满分共计5分。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（4）磋商小组基于专业判断，认为供应商报价过低，有可能影响产品质量或者不能诚信履约的其他情形。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详见附件：商务、技术条款偏离表.docx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