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版本号：PLRH2026-GP-013F.1B120260714001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机关物业承包项目(二次)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PLRH2026-GP-013F.1B1</w:t>
      </w:r>
      <w:r>
        <w:br/>
      </w:r>
      <w:r>
        <w:br/>
      </w:r>
      <w:r>
        <w:br/>
      </w:r>
    </w:p>
    <w:p>
      <w:pPr>
        <w:pStyle w:val="null3"/>
        <w:jc w:val="center"/>
        <w:outlineLvl w:val="2"/>
      </w:pPr>
      <w:r>
        <w:rPr>
          <w:rFonts w:ascii="仿宋_GB2312" w:hAnsi="仿宋_GB2312" w:cs="仿宋_GB2312" w:eastAsia="仿宋_GB2312"/>
          <w:sz w:val="28"/>
          <w:b/>
        </w:rPr>
        <w:t>西安市莲湖区人力资源和社会保障局</w:t>
      </w:r>
    </w:p>
    <w:p>
      <w:pPr>
        <w:pStyle w:val="null3"/>
        <w:jc w:val="center"/>
        <w:outlineLvl w:val="2"/>
      </w:pPr>
      <w:r>
        <w:rPr>
          <w:rFonts w:ascii="仿宋_GB2312" w:hAnsi="仿宋_GB2312" w:cs="仿宋_GB2312" w:eastAsia="仿宋_GB2312"/>
          <w:sz w:val="28"/>
          <w:b/>
        </w:rPr>
        <w:t>鹏领睿恒（陕西）项目管理有限公司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鹏领睿恒（陕西）项目管理有限公司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西安市莲湖区人力资源和社会保障局</w:t>
      </w:r>
      <w:r>
        <w:rPr>
          <w:rFonts w:ascii="仿宋_GB2312" w:hAnsi="仿宋_GB2312" w:cs="仿宋_GB2312" w:eastAsia="仿宋_GB2312"/>
        </w:rPr>
        <w:t>委托，拟对</w:t>
      </w:r>
      <w:r>
        <w:rPr>
          <w:rFonts w:ascii="仿宋_GB2312" w:hAnsi="仿宋_GB2312" w:cs="仿宋_GB2312" w:eastAsia="仿宋_GB2312"/>
        </w:rPr>
        <w:t>机关物业承包项目(二次)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PLRH2026-GP-013F.1B1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机关物业承包项目(二次)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为我局提供物业服务。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采购包1（机关物业承包项目）：属于专门面向中小企业采购。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3、税收缴纳证明：提供2026年01月至今已缴纳的至少一个月的纳税证明或完税证明（任意税种），依法免税的单位应提供相关证明材料；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4、社会保障资金缴纳证明：提供2026年01月至今已缴存的至少一个月的社会保障资金缴存单据或社保机构开具的社会保险参保缴费情况证明，依法不需要缴纳社会保障资金的单位应提供相关证明材料；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8、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西安市莲湖区人力资源和社会保障局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西安市莲湖区团结东路6号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029-87623715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鹏领睿恒（陕西）项目管理有限公司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西安市经济技术开发区元鼎路明丰伯马都A座1707室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17691153580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不足8000元的，按8000元计取。2.支付方式：成交供应商应在领取通知书的同时，支付本项目代理服务费。收款账户如下：收款单位：鹏领睿恒(陕西)项目管理有限公司；开户银行：招商银行西安枫林绿洲支行； 银行账号：129911262210701。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西安市莲湖区人力资源和社会保障局</w:t>
      </w:r>
      <w:r>
        <w:rPr>
          <w:rFonts w:ascii="仿宋_GB2312" w:hAnsi="仿宋_GB2312" w:cs="仿宋_GB2312" w:eastAsia="仿宋_GB2312"/>
        </w:rPr>
        <w:t>和</w:t>
      </w:r>
      <w:r>
        <w:rPr>
          <w:rFonts w:ascii="仿宋_GB2312" w:hAnsi="仿宋_GB2312" w:cs="仿宋_GB2312" w:eastAsia="仿宋_GB2312"/>
        </w:rPr>
        <w:t>鹏领睿恒（陕西）项目管理有限公司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西安市莲湖区人力资源和社会保障局</w:t>
      </w:r>
      <w:r>
        <w:rPr>
          <w:rFonts w:ascii="仿宋_GB2312" w:hAnsi="仿宋_GB2312" w:cs="仿宋_GB2312" w:eastAsia="仿宋_GB2312"/>
        </w:rPr>
        <w:t>负责解释。除上述磋商文件内容，其他内容由</w:t>
      </w:r>
      <w:r>
        <w:rPr>
          <w:rFonts w:ascii="仿宋_GB2312" w:hAnsi="仿宋_GB2312" w:cs="仿宋_GB2312" w:eastAsia="仿宋_GB2312"/>
        </w:rPr>
        <w:t>鹏领睿恒（陕西）项目管理有限公司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西安市莲湖区人力资源和社会保障局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鹏领睿恒（陕西）项目管理有限公司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 2.若乙方在为甲方提供服务时侵犯了第三人的权利，致使甲方受到索赔或起诉，由此给甲方造成的一切损失由乙方承担，同时甲方有权解除合同，同时乙方及时消除不良影响。 3.若未经甲方许可，乙方擅自使用或向第三方披露或许可第三方使用在为甲方提供服务时所获得的成果，甲方有权要求乙方或第三方停止侵权，并承担以此带来的所有损失，同时消除不良影响。</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联系电话：17691153580</w:t>
      </w:r>
    </w:p>
    <w:p>
      <w:pPr>
        <w:pStyle w:val="null3"/>
      </w:pPr>
      <w:r>
        <w:rPr>
          <w:rFonts w:ascii="仿宋_GB2312" w:hAnsi="仿宋_GB2312" w:cs="仿宋_GB2312" w:eastAsia="仿宋_GB2312"/>
        </w:rPr>
        <w:t>地址：西安市经济技术开发区元鼎路明丰伯马都A座1707室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为我局提供物业服务。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470,000.00</w:t>
      </w:r>
    </w:p>
    <w:p>
      <w:pPr>
        <w:pStyle w:val="null3"/>
      </w:pPr>
      <w:r>
        <w:rPr>
          <w:rFonts w:ascii="仿宋_GB2312" w:hAnsi="仿宋_GB2312" w:cs="仿宋_GB2312" w:eastAsia="仿宋_GB2312"/>
        </w:rPr>
        <w:t>采购包最高限价（元）: 470,000.00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机关物业承包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标的名称：机关物业承包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一、服务内容</w:t>
            </w:r>
          </w:p>
          <w:p>
            <w:pPr>
              <w:pStyle w:val="null3"/>
            </w:pPr>
            <w:r>
              <w:rPr>
                <w:rFonts w:ascii="仿宋_GB2312" w:hAnsi="仿宋_GB2312" w:cs="仿宋_GB2312" w:eastAsia="仿宋_GB2312"/>
              </w:rPr>
              <w:t>服务范围：1号楼2层、2号楼（1-3层）、3号楼（1-4层）公共区域、培训室、院内。包括但不限于门窗、地面、会议室、卫生间、垃圾存放点、消防栓、垃圾箱、门前三包、监控等，定期对给排水系统、消防系统、安防系统、照明系统、供配电系统维护维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二、服务要求</w:t>
            </w:r>
          </w:p>
          <w:p>
            <w:pPr>
              <w:pStyle w:val="null3"/>
              <w:outlineLvl w:val="2"/>
            </w:pPr>
            <w:r>
              <w:rPr>
                <w:rFonts w:ascii="仿宋_GB2312" w:hAnsi="仿宋_GB2312" w:cs="仿宋_GB2312" w:eastAsia="仿宋_GB2312"/>
                <w:sz w:val="28"/>
                <w:b/>
              </w:rPr>
              <w:t>1.基本服务</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服务内容</w:t>
                  </w:r>
                </w:p>
              </w:tc>
              <w:tc>
                <w:tcPr>
                  <w:tcW w:type="dxa" w:w="851"/>
                </w:tcPr>
                <w:p>
                  <w:pPr>
                    <w:pStyle w:val="null3"/>
                  </w:pPr>
                  <w:r>
                    <w:rPr>
                      <w:rFonts w:ascii="仿宋_GB2312" w:hAnsi="仿宋_GB2312" w:cs="仿宋_GB2312" w:eastAsia="仿宋_GB2312"/>
                    </w:rPr>
                    <w:t>服务标准</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目标与责任</w:t>
                  </w:r>
                </w:p>
              </w:tc>
              <w:tc>
                <w:tcPr>
                  <w:tcW w:type="dxa" w:w="851"/>
                </w:tcPr>
                <w:p>
                  <w:pPr>
                    <w:pStyle w:val="null3"/>
                  </w:pPr>
                  <w:r>
                    <w:rPr>
                      <w:rFonts w:ascii="仿宋_GB2312" w:hAnsi="仿宋_GB2312" w:cs="仿宋_GB2312" w:eastAsia="仿宋_GB2312"/>
                    </w:rPr>
                    <w:t>（1）结合采购人要求及物业服务实际情况，制定年度管理目标，明确责任分工，并制定配套实施方案。</w:t>
                  </w:r>
                </w:p>
              </w:tc>
            </w:tr>
            <w:tr>
              <w:tc>
                <w:tcPr>
                  <w:tcW w:type="dxa" w:w="851"/>
                  <w:vMerge w:val="restart"/>
                </w:tcPr>
                <w:p>
                  <w:pPr>
                    <w:pStyle w:val="null3"/>
                  </w:pPr>
                  <w:r>
                    <w:rPr>
                      <w:rFonts w:ascii="仿宋_GB2312" w:hAnsi="仿宋_GB2312" w:cs="仿宋_GB2312" w:eastAsia="仿宋_GB2312"/>
                    </w:rPr>
                    <w:t>2</w:t>
                  </w:r>
                </w:p>
              </w:tc>
              <w:tc>
                <w:tcPr>
                  <w:tcW w:type="dxa" w:w="851"/>
                  <w:vMerge w:val="restart"/>
                </w:tcPr>
                <w:p>
                  <w:pPr>
                    <w:pStyle w:val="null3"/>
                  </w:pPr>
                  <w:r>
                    <w:rPr>
                      <w:rFonts w:ascii="仿宋_GB2312" w:hAnsi="仿宋_GB2312" w:cs="仿宋_GB2312" w:eastAsia="仿宋_GB2312"/>
                    </w:rPr>
                    <w:t>服务人员要求</w:t>
                  </w:r>
                </w:p>
              </w:tc>
              <w:tc>
                <w:tcPr>
                  <w:tcW w:type="dxa" w:w="851"/>
                </w:tcPr>
                <w:p>
                  <w:pPr>
                    <w:pStyle w:val="null3"/>
                  </w:pPr>
                  <w:r>
                    <w:rPr>
                      <w:rFonts w:ascii="仿宋_GB2312" w:hAnsi="仿宋_GB2312" w:cs="仿宋_GB2312" w:eastAsia="仿宋_GB2312"/>
                    </w:rPr>
                    <w:t>（1）每季度至少开展1次岗位技能、职业素质、服务知识、客户文化、绿色节能环保等教育培训，并进行适当形式的考核。</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（2）根据采购人要求对服务人员进行从业资格审查，审查结果向采购人报备。</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服务人员的年龄、学历、工作经验及资格条件应当与所在岗位能力要求相匹配，到岗前应当经过必要的岗前培训以达到岗位能力要求，国家、行业规定应当取得职业资格证书或特种作业证书的，应当按规定持证上岗。</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如采购人认为服务人员不适应岗位要求或存在其他影响工作的，可要求供应商进行调换。如因供应商原因对服务人员进行调换，应当经采购人同意，更换比例不得超过本项目服务人员总数的20%。本项目服务人员不得在其他项目兼职。</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（5）着装分类统一，佩戴标识。仪容整洁、姿态端正、举止文明。用语文明礼貌，态度温和耐心。</w:t>
                  </w:r>
                </w:p>
              </w:tc>
            </w:tr>
            <w:tr>
              <w:tc>
                <w:tcPr>
                  <w:tcW w:type="dxa" w:w="851"/>
                  <w:vMerge w:val="restart"/>
                </w:tcPr>
                <w:p>
                  <w:pPr>
                    <w:pStyle w:val="null3"/>
                  </w:pPr>
                  <w:r>
                    <w:rPr>
                      <w:rFonts w:ascii="仿宋_GB2312" w:hAnsi="仿宋_GB2312" w:cs="仿宋_GB2312" w:eastAsia="仿宋_GB2312"/>
                    </w:rPr>
                    <w:t>3</w:t>
                  </w:r>
                </w:p>
              </w:tc>
              <w:tc>
                <w:tcPr>
                  <w:tcW w:type="dxa" w:w="851"/>
                  <w:vMerge w:val="restart"/>
                </w:tcPr>
                <w:p>
                  <w:pPr>
                    <w:pStyle w:val="null3"/>
                  </w:pPr>
                  <w:r>
                    <w:rPr>
                      <w:rFonts w:ascii="仿宋_GB2312" w:hAnsi="仿宋_GB2312" w:cs="仿宋_GB2312" w:eastAsia="仿宋_GB2312"/>
                    </w:rPr>
                    <w:t>保密和思想政治教育</w:t>
                  </w:r>
                </w:p>
              </w:tc>
              <w:tc>
                <w:tcPr>
                  <w:tcW w:type="dxa" w:w="851"/>
                </w:tcPr>
                <w:p>
                  <w:pPr>
                    <w:pStyle w:val="null3"/>
                  </w:pPr>
                  <w:r>
                    <w:rPr>
                      <w:rFonts w:ascii="仿宋_GB2312" w:hAnsi="仿宋_GB2312" w:cs="仿宋_GB2312" w:eastAsia="仿宋_GB2312"/>
                    </w:rPr>
                    <w:t>（1）建立保密管理制度。制度内容应当包括但不限于：①明确重点要害岗位保密职责。②对涉密工作岗位的保密要求。</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（2）根据采购人要求与涉密工作岗位的服务人员签订保密协议。保密协议应当向采购人报备。</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每季度至少开展1次对服务人员进行保密、思想政治教育的培训，提高服务人员保密意识和思想政治意识。新入职员工应当接受保密、思想政治教育培训，进行必要的人员经历审查，合格后签订保密协议方可上岗。</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（4）发现服务人员违法违规或重大过失，及时报告采购人，并采取必要补救措施。</w:t>
                  </w:r>
                </w:p>
              </w:tc>
            </w:tr>
            <w:tr>
              <w:tc>
                <w:tcPr>
                  <w:tcW w:type="dxa" w:w="851"/>
                  <w:vMerge w:val="restart"/>
                </w:tcPr>
                <w:p>
                  <w:pPr>
                    <w:pStyle w:val="null3"/>
                  </w:pPr>
                  <w:r>
                    <w:rPr>
                      <w:rFonts w:ascii="仿宋_GB2312" w:hAnsi="仿宋_GB2312" w:cs="仿宋_GB2312" w:eastAsia="仿宋_GB2312"/>
                    </w:rPr>
                    <w:t>4</w:t>
                  </w:r>
                </w:p>
              </w:tc>
              <w:tc>
                <w:tcPr>
                  <w:tcW w:type="dxa" w:w="851"/>
                  <w:vMerge w:val="restart"/>
                </w:tcPr>
                <w:p>
                  <w:pPr>
                    <w:pStyle w:val="null3"/>
                  </w:pPr>
                  <w:r>
                    <w:rPr>
                      <w:rFonts w:ascii="仿宋_GB2312" w:hAnsi="仿宋_GB2312" w:cs="仿宋_GB2312" w:eastAsia="仿宋_GB2312"/>
                    </w:rPr>
                    <w:t>档案管理</w:t>
                  </w:r>
                </w:p>
              </w:tc>
              <w:tc>
                <w:tcPr>
                  <w:tcW w:type="dxa" w:w="851"/>
                </w:tcPr>
                <w:p>
                  <w:pPr>
                    <w:pStyle w:val="null3"/>
                  </w:pPr>
                  <w:r>
                    <w:rPr>
                      <w:rFonts w:ascii="仿宋_GB2312" w:hAnsi="仿宋_GB2312" w:cs="仿宋_GB2312" w:eastAsia="仿宋_GB2312"/>
                    </w:rPr>
                    <w:t>（1）建立物业信息，准确、及时地对文件资料和服务记录进行归档保存，并确保其物理安全。</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档案和记录齐全，包括但不限于：①采购人建议与投诉等。教育培训和考核记录。保密、思想政治教育培训记录。②房屋维护服务：房屋台账、使用说明、房屋装修、维保记录等。③公用设施设备维护服务：设备台账、设备卡、使用说明、维保记录、巡查记录、设施设备安全运行、设施设备定期巡检、维护保养、维修档案等。④保安服务：监控记录、突发事件演习与处置记录等。⑤保洁服务：工作日志、清洁检查表、用品清单、客户反馈表等。⑥绿化服务：绿化总平面图、清洁整改记录、消杀记录等。⑦其他：客户信息、财务明细、合同协议、信报信息登记、大件物品进出登记等。</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（3）遵守采购人的信息、档案资料保密要求，未经许可，不得将建筑物平面图等资料转作其他用途或向其他单位、个人提供。</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（4）履约结束后，相关资料交还采购人，采购人按政府采购相关规定存档。</w:t>
                  </w:r>
                </w:p>
              </w:tc>
            </w:tr>
            <w:tr>
              <w:tc>
                <w:tcPr>
                  <w:tcW w:type="dxa" w:w="851"/>
                  <w:vMerge w:val="restart"/>
                </w:tcPr>
                <w:p>
                  <w:pPr>
                    <w:pStyle w:val="null3"/>
                  </w:pPr>
                  <w:r>
                    <w:rPr>
                      <w:rFonts w:ascii="仿宋_GB2312" w:hAnsi="仿宋_GB2312" w:cs="仿宋_GB2312" w:eastAsia="仿宋_GB2312"/>
                    </w:rPr>
                    <w:t>5</w:t>
                  </w:r>
                </w:p>
              </w:tc>
              <w:tc>
                <w:tcPr>
                  <w:tcW w:type="dxa" w:w="851"/>
                  <w:vMerge w:val="restart"/>
                </w:tcPr>
                <w:p>
                  <w:pPr>
                    <w:pStyle w:val="null3"/>
                  </w:pPr>
                  <w:r>
                    <w:rPr>
                      <w:rFonts w:ascii="仿宋_GB2312" w:hAnsi="仿宋_GB2312" w:cs="仿宋_GB2312" w:eastAsia="仿宋_GB2312"/>
                    </w:rPr>
                    <w:t>服务改进</w:t>
                  </w:r>
                </w:p>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（1）明确负责人，定期对物业服务过程进行自查，结合反馈意见与评价结果采取改进措施，持续提升管理与服务水平。</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（2）对不合格服务进行控制，对不合格服务的原因进行识别和分析，及时采取纠正措施，消除不合格的原因，防止不合格再发生。</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（3）需整改问题及时整改完成。</w:t>
                  </w:r>
                </w:p>
              </w:tc>
            </w:tr>
            <w:tr>
              <w:tc>
                <w:tcPr>
                  <w:tcW w:type="dxa" w:w="851"/>
                  <w:vMerge w:val="restart"/>
                </w:tcPr>
                <w:p>
                  <w:pPr>
                    <w:pStyle w:val="null3"/>
                  </w:pPr>
                  <w:r>
                    <w:rPr>
                      <w:rFonts w:ascii="仿宋_GB2312" w:hAnsi="仿宋_GB2312" w:cs="仿宋_GB2312" w:eastAsia="仿宋_GB2312"/>
                    </w:rPr>
                    <w:t>6</w:t>
                  </w:r>
                </w:p>
              </w:tc>
              <w:tc>
                <w:tcPr>
                  <w:tcW w:type="dxa" w:w="851"/>
                  <w:vMerge w:val="restart"/>
                </w:tcPr>
                <w:p>
                  <w:pPr>
                    <w:pStyle w:val="null3"/>
                  </w:pPr>
                  <w:r>
                    <w:rPr>
                      <w:rFonts w:ascii="仿宋_GB2312" w:hAnsi="仿宋_GB2312" w:cs="仿宋_GB2312" w:eastAsia="仿宋_GB2312"/>
                    </w:rPr>
                    <w:t>重大活动后勤保障</w:t>
                  </w:r>
                </w:p>
              </w:tc>
              <w:tc>
                <w:tcPr>
                  <w:tcW w:type="dxa" w:w="851"/>
                </w:tcPr>
                <w:p>
                  <w:pPr>
                    <w:pStyle w:val="null3"/>
                  </w:pPr>
                  <w:r>
                    <w:rPr>
                      <w:rFonts w:ascii="仿宋_GB2312" w:hAnsi="仿宋_GB2312" w:cs="仿宋_GB2312" w:eastAsia="仿宋_GB2312"/>
                    </w:rPr>
                    <w:t>（1）制订流程。配合采购人制订重大活动后勤保障工作流程，需对任务进行详细了解，并根据工作安排制定详细的后勤保障计划。</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实施保障。按计划在关键区域和重点部位进行部署，确保任务顺利进行，对活动区域进行全面安全检查，发现并排除安全隐患，对车辆进行有序引导和管理，确保交通安全畅通，以礼貌、专业的态度对待来宾，展现良好形象。</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（3）收尾工作。对现场进行检查，做好清理工作。</w:t>
                  </w:r>
                </w:p>
              </w:tc>
            </w:tr>
            <w:tr>
              <w:tc>
                <w:tcPr>
                  <w:tcW w:type="dxa" w:w="851"/>
                  <w:vMerge w:val="restart"/>
                </w:tcPr>
                <w:p>
                  <w:pPr>
                    <w:pStyle w:val="null3"/>
                  </w:pPr>
                  <w:r>
                    <w:rPr>
                      <w:rFonts w:ascii="仿宋_GB2312" w:hAnsi="仿宋_GB2312" w:cs="仿宋_GB2312" w:eastAsia="仿宋_GB2312"/>
                    </w:rPr>
                    <w:t>7</w:t>
                  </w:r>
                </w:p>
              </w:tc>
              <w:tc>
                <w:tcPr>
                  <w:tcW w:type="dxa" w:w="851"/>
                  <w:vMerge w:val="restart"/>
                </w:tcPr>
                <w:p>
                  <w:pPr>
                    <w:pStyle w:val="null3"/>
                  </w:pPr>
                  <w:r>
                    <w:rPr>
                      <w:rFonts w:ascii="仿宋_GB2312" w:hAnsi="仿宋_GB2312" w:cs="仿宋_GB2312" w:eastAsia="仿宋_GB2312"/>
                    </w:rPr>
                    <w:t>应急保障预案</w:t>
                  </w:r>
                </w:p>
              </w:tc>
              <w:tc>
                <w:tcPr>
                  <w:tcW w:type="dxa" w:w="851"/>
                </w:tcPr>
                <w:p>
                  <w:pPr>
                    <w:pStyle w:val="null3"/>
                  </w:pPr>
                  <w:r>
                    <w:rPr>
                      <w:rFonts w:ascii="仿宋_GB2312" w:hAnsi="仿宋_GB2312" w:cs="仿宋_GB2312" w:eastAsia="仿宋_GB2312"/>
                    </w:rPr>
                    <w:t>（1）重点区域及安全隐患排查。结合项目的实际情况，对重点部位及危险隐患进行排查，并建立清单/台账；应当对危险隐患进行风险分析，制定相应措施进行控制或整改并定期监控；随着设施设备、服务内容的变化，及时更新清单/台账，使风险隐患始终处于受控状态。</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应急预案的建立。根据办公楼隐患排查的结果和实际情况，制定专项预案，包括但不限于：火情火警紧急处理应急预案、紧急疏散应急预案、停水停电应急预案、有限空间救援应急预案、高空作业救援应急预案、恶劣天气应对应急预案等。</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（3）应急预案的培训和演练。应急预案定期培训和演练，组织相关岗位每半年至少开展一次专项应急预案演练；留存培训及演练记录和影像资料，并对预案进行评价，确保与实际情况相结合。</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（4）应急物资的管理。根据专项预案中的应对需要、必要的应急物资，建立清单或台账，并由专人定期对应急物资进行检查，如有应急物资不足，及时通知采购人购置齐全，确保能够随时正常使用。</w:t>
                  </w:r>
                </w:p>
              </w:tc>
            </w:tr>
            <w:tr>
              <w:tc>
                <w:tcPr>
                  <w:tcW w:type="dxa" w:w="851"/>
                  <w:vMerge w:val="restart"/>
                </w:tcPr>
                <w:p>
                  <w:pPr>
                    <w:pStyle w:val="null3"/>
                  </w:pPr>
                  <w:r>
                    <w:rPr>
                      <w:rFonts w:ascii="仿宋_GB2312" w:hAnsi="仿宋_GB2312" w:cs="仿宋_GB2312" w:eastAsia="仿宋_GB2312"/>
                    </w:rPr>
                    <w:t>8</w:t>
                  </w:r>
                </w:p>
              </w:tc>
              <w:tc>
                <w:tcPr>
                  <w:tcW w:type="dxa" w:w="851"/>
                  <w:vMerge w:val="restart"/>
                </w:tcPr>
                <w:p>
                  <w:pPr>
                    <w:pStyle w:val="null3"/>
                  </w:pPr>
                  <w:r>
                    <w:rPr>
                      <w:rFonts w:ascii="仿宋_GB2312" w:hAnsi="仿宋_GB2312" w:cs="仿宋_GB2312" w:eastAsia="仿宋_GB2312"/>
                    </w:rPr>
                    <w:t>服务方案及工作制度</w:t>
                  </w:r>
                </w:p>
              </w:tc>
              <w:tc>
                <w:tcPr>
                  <w:tcW w:type="dxa" w:w="851"/>
                </w:tcPr>
                <w:p>
                  <w:pPr>
                    <w:pStyle w:val="null3"/>
                  </w:pPr>
                  <w:r>
                    <w:rPr>
                      <w:rFonts w:ascii="仿宋_GB2312" w:hAnsi="仿宋_GB2312" w:cs="仿宋_GB2312" w:eastAsia="仿宋_GB2312"/>
                    </w:rPr>
                    <w:t>（1）制定工作制度，主要包括：人员录用制度、档案管理制度、物业服务管理制度、公用设施设备相关管理制度等。</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（2）制定项目实施方案，主要包括：交接方案、人员培训方案、人员稳定性方案、保密方案等。</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（3）制定物业服务方案，主要包括：房屋维护服务方案、公用设施设备维护服务方案、绿化服务方案、保洁服务方案、保安服务方案、会议服务方案等。</w:t>
                  </w:r>
                </w:p>
              </w:tc>
            </w:tr>
            <w:tr>
              <w:tc>
                <w:tcPr>
                  <w:tcW w:type="dxa" w:w="851"/>
                  <w:vMerge w:val="restart"/>
                </w:tcPr>
                <w:p>
                  <w:pPr>
                    <w:pStyle w:val="null3"/>
                  </w:pPr>
                  <w:r>
                    <w:rPr>
                      <w:rFonts w:ascii="仿宋_GB2312" w:hAnsi="仿宋_GB2312" w:cs="仿宋_GB2312" w:eastAsia="仿宋_GB2312"/>
                    </w:rPr>
                    <w:t>9</w:t>
                  </w:r>
                </w:p>
              </w:tc>
              <w:tc>
                <w:tcPr>
                  <w:tcW w:type="dxa" w:w="851"/>
                  <w:vMerge w:val="restart"/>
                </w:tcPr>
                <w:p>
                  <w:pPr>
                    <w:pStyle w:val="null3"/>
                  </w:pPr>
                  <w:r>
                    <w:rPr>
                      <w:rFonts w:ascii="仿宋_GB2312" w:hAnsi="仿宋_GB2312" w:cs="仿宋_GB2312" w:eastAsia="仿宋_GB2312"/>
                    </w:rPr>
                    <w:t>信报服务</w:t>
                  </w:r>
                </w:p>
              </w:tc>
              <w:tc>
                <w:tcPr>
                  <w:tcW w:type="dxa" w:w="851"/>
                </w:tcPr>
                <w:p>
                  <w:pPr>
                    <w:pStyle w:val="null3"/>
                  </w:pPr>
                  <w:r>
                    <w:rPr>
                      <w:rFonts w:ascii="仿宋_GB2312" w:hAnsi="仿宋_GB2312" w:cs="仿宋_GB2312" w:eastAsia="仿宋_GB2312"/>
                    </w:rPr>
                    <w:t>（1）对邮件、包裹和挂号信等进行正确分理、安全检查和防疫卫生检查。</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（2）及时投送或通知收件人领取。</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（3）大件物品出入向采购人报告，待采购人确认无误后放行。</w:t>
                  </w:r>
                </w:p>
              </w:tc>
            </w:tr>
            <w:tr>
              <w:tc>
                <w:tcPr>
                  <w:tcW w:type="dxa" w:w="851"/>
                  <w:vMerge w:val="restart"/>
                </w:tcPr>
                <w:p>
                  <w:pPr>
                    <w:pStyle w:val="null3"/>
                  </w:pPr>
                  <w:r>
                    <w:rPr>
                      <w:rFonts w:ascii="仿宋_GB2312" w:hAnsi="仿宋_GB2312" w:cs="仿宋_GB2312" w:eastAsia="仿宋_GB2312"/>
                    </w:rPr>
                    <w:t>10</w:t>
                  </w:r>
                </w:p>
              </w:tc>
              <w:tc>
                <w:tcPr>
                  <w:tcW w:type="dxa" w:w="851"/>
                  <w:vMerge w:val="restart"/>
                </w:tcPr>
                <w:p>
                  <w:pPr>
                    <w:pStyle w:val="null3"/>
                  </w:pPr>
                  <w:r>
                    <w:rPr>
                      <w:rFonts w:ascii="仿宋_GB2312" w:hAnsi="仿宋_GB2312" w:cs="仿宋_GB2312" w:eastAsia="仿宋_GB2312"/>
                    </w:rPr>
                    <w:t>服务热线及紧急维修</w:t>
                  </w:r>
                </w:p>
              </w:tc>
              <w:tc>
                <w:tcPr>
                  <w:tcW w:type="dxa" w:w="851"/>
                </w:tcPr>
                <w:p>
                  <w:pPr>
                    <w:pStyle w:val="null3"/>
                  </w:pPr>
                  <w:r>
                    <w:rPr>
                      <w:rFonts w:ascii="仿宋_GB2312" w:hAnsi="仿宋_GB2312" w:cs="仿宋_GB2312" w:eastAsia="仿宋_GB2312"/>
                    </w:rPr>
                    <w:t>（1）设置24小时报修服务热线。</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（2）紧急维修应当15分钟内到达现场，不间断维修直至修复。</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2.房屋维护服务</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服务内容</w:t>
                  </w:r>
                </w:p>
              </w:tc>
              <w:tc>
                <w:tcPr>
                  <w:tcW w:type="dxa" w:w="851"/>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851"/>
                  <w:vMerge w:val="restart"/>
                </w:tcPr>
                <w:p>
                  <w:pPr>
                    <w:pStyle w:val="null3"/>
                  </w:pPr>
                  <w:r>
                    <w:rPr>
                      <w:rFonts w:ascii="仿宋_GB2312" w:hAnsi="仿宋_GB2312" w:cs="仿宋_GB2312" w:eastAsia="仿宋_GB2312"/>
                    </w:rPr>
                    <w:t>1</w:t>
                  </w:r>
                </w:p>
              </w:tc>
              <w:tc>
                <w:tcPr>
                  <w:tcW w:type="dxa" w:w="851"/>
                  <w:vMerge w:val="restart"/>
                </w:tcPr>
                <w:p>
                  <w:pPr>
                    <w:pStyle w:val="null3"/>
                  </w:pPr>
                  <w:r>
                    <w:rPr>
                      <w:rFonts w:ascii="仿宋_GB2312" w:hAnsi="仿宋_GB2312" w:cs="仿宋_GB2312" w:eastAsia="仿宋_GB2312"/>
                    </w:rPr>
                    <w:t>主体结构、围护结构、部品部件</w:t>
                  </w:r>
                </w:p>
              </w:tc>
              <w:tc>
                <w:tcPr>
                  <w:tcW w:type="dxa" w:w="851"/>
                </w:tcPr>
                <w:p>
                  <w:pPr>
                    <w:pStyle w:val="null3"/>
                  </w:pPr>
                  <w:r>
                    <w:rPr>
                      <w:rFonts w:ascii="仿宋_GB2312" w:hAnsi="仿宋_GB2312" w:cs="仿宋_GB2312" w:eastAsia="仿宋_GB2312"/>
                    </w:rPr>
                    <w:t>（1）每季度至少开展1次房屋结构安全巡视，发现外观有变形、开裂等现象，及时建议采购人申请房屋安全鉴定，并采取必要的避险和防护措施。</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（2）每季度至少开展1次外墙贴饰面、幕墙玻璃、雨篷、散水、空调室外机支撑构件等检查，发现破损，及时向采购人报告，按采购人要求出具维修方案，待采购人同意后按维修方案实施维修。</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（3）每半月至少开展1次公用部位的门、窗、楼梯、通风道、室内地面、墙面、吊顶和室外屋面等巡查，发现破损，及时向采购人报告，按采购人要求出具维修方案，待采购人同意后按维修方案实施维修。</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（4）每年强降雨天气前后、雨雪季节检查屋面防水和雨落管等，发现破损，及时向采购人报告，按采购人要求出具维修方案，待采购人同意后按维修方案实施维修。</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（5）办公楼外观完好，建筑装饰面无脱落、无破损、无污渍，玻璃幕墙清洁明亮、无破损。</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（6）通道、楼梯、门窗等设施的完好和正常使用。</w:t>
                  </w:r>
                </w:p>
              </w:tc>
            </w:tr>
            <w:tr>
              <w:tc>
                <w:tcPr>
                  <w:tcW w:type="dxa" w:w="851"/>
                  <w:vMerge w:val="restart"/>
                </w:tcPr>
                <w:p>
                  <w:pPr>
                    <w:pStyle w:val="null3"/>
                  </w:pPr>
                  <w:r>
                    <w:rPr>
                      <w:rFonts w:ascii="仿宋_GB2312" w:hAnsi="仿宋_GB2312" w:cs="仿宋_GB2312" w:eastAsia="仿宋_GB2312"/>
                    </w:rPr>
                    <w:t>2</w:t>
                  </w:r>
                </w:p>
              </w:tc>
              <w:tc>
                <w:tcPr>
                  <w:tcW w:type="dxa" w:w="851"/>
                  <w:vMerge w:val="restart"/>
                </w:tcPr>
                <w:p>
                  <w:pPr>
                    <w:pStyle w:val="null3"/>
                  </w:pPr>
                  <w:r>
                    <w:rPr>
                      <w:rFonts w:ascii="仿宋_GB2312" w:hAnsi="仿宋_GB2312" w:cs="仿宋_GB2312" w:eastAsia="仿宋_GB2312"/>
                    </w:rPr>
                    <w:t>其他设施</w:t>
                  </w:r>
                </w:p>
              </w:tc>
              <w:tc>
                <w:tcPr>
                  <w:tcW w:type="dxa" w:w="851"/>
                </w:tcPr>
                <w:p>
                  <w:pPr>
                    <w:pStyle w:val="null3"/>
                  </w:pPr>
                  <w:r>
                    <w:rPr>
                      <w:rFonts w:ascii="仿宋_GB2312" w:hAnsi="仿宋_GB2312" w:cs="仿宋_GB2312" w:eastAsia="仿宋_GB2312"/>
                    </w:rPr>
                    <w:t>（1）每半月至少开展1次大门、围墙、道路、场地、管井、沟渠等巡查，每半月至少检查1次雨污水管井、化粪池等巡查，发现破损，及时向采购人报告，按采购人要求出具维修方案，待采购人同意后按维修方案实施维修。</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（2）每年至少开展1次防雷装置检测，发现失效，及时向采购人报告，按采购人要求出具维修方案，待采购人同意后按维修方案实施维修。</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（3）路面状态良好，地漏通畅不堵塞。</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（4）接到采购人家具报修服务后，及时通知家具供货商对保修期内的家具进行维修，及时对保修期外的家具进行维修。</w:t>
                  </w:r>
                </w:p>
              </w:tc>
            </w:tr>
            <w:tr>
              <w:tc>
                <w:tcPr>
                  <w:tcW w:type="dxa" w:w="851"/>
                  <w:vMerge w:val="restart"/>
                </w:tcPr>
                <w:p>
                  <w:pPr>
                    <w:pStyle w:val="null3"/>
                  </w:pPr>
                  <w:r>
                    <w:rPr>
                      <w:rFonts w:ascii="仿宋_GB2312" w:hAnsi="仿宋_GB2312" w:cs="仿宋_GB2312" w:eastAsia="仿宋_GB2312"/>
                    </w:rPr>
                    <w:t>3</w:t>
                  </w:r>
                </w:p>
              </w:tc>
              <w:tc>
                <w:tcPr>
                  <w:tcW w:type="dxa" w:w="851"/>
                  <w:vMerge w:val="restart"/>
                </w:tcPr>
                <w:p>
                  <w:pPr>
                    <w:pStyle w:val="null3"/>
                  </w:pPr>
                  <w:r>
                    <w:rPr>
                      <w:rFonts w:ascii="仿宋_GB2312" w:hAnsi="仿宋_GB2312" w:cs="仿宋_GB2312" w:eastAsia="仿宋_GB2312"/>
                    </w:rPr>
                    <w:t>装饰装修监督管理</w:t>
                  </w:r>
                </w:p>
              </w:tc>
              <w:tc>
                <w:tcPr>
                  <w:tcW w:type="dxa" w:w="851"/>
                </w:tcPr>
                <w:p>
                  <w:pPr>
                    <w:pStyle w:val="null3"/>
                  </w:pPr>
                  <w:r>
                    <w:rPr>
                      <w:rFonts w:ascii="仿宋_GB2312" w:hAnsi="仿宋_GB2312" w:cs="仿宋_GB2312" w:eastAsia="仿宋_GB2312"/>
                    </w:rPr>
                    <w:t>（1）装饰装修前，供应商应当与采购人或采购人委托的装修企业签订装饰装修管理服务协议，告知装饰装修须知，并对装饰装修过程进行管理服务。</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（2）根据协议内容，做好装修垃圾临时堆放、清运等。</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（3）受采购人委托对房屋内装修进行严格的监督管理，发现问题及时上报，确保不因装修而危及大楼结构安全、人身安全和影响正常办公秩序。</w:t>
                  </w:r>
                </w:p>
              </w:tc>
            </w:tr>
            <w:tr>
              <w:tc>
                <w:tcPr>
                  <w:tcW w:type="dxa" w:w="851"/>
                  <w:vMerge w:val="restart"/>
                </w:tcPr>
                <w:p>
                  <w:pPr>
                    <w:pStyle w:val="null3"/>
                  </w:pPr>
                  <w:r>
                    <w:rPr>
                      <w:rFonts w:ascii="仿宋_GB2312" w:hAnsi="仿宋_GB2312" w:cs="仿宋_GB2312" w:eastAsia="仿宋_GB2312"/>
                    </w:rPr>
                    <w:t>4</w:t>
                  </w:r>
                </w:p>
              </w:tc>
              <w:tc>
                <w:tcPr>
                  <w:tcW w:type="dxa" w:w="851"/>
                  <w:vMerge w:val="restart"/>
                </w:tcPr>
                <w:p>
                  <w:pPr>
                    <w:pStyle w:val="null3"/>
                  </w:pPr>
                  <w:r>
                    <w:rPr>
                      <w:rFonts w:ascii="仿宋_GB2312" w:hAnsi="仿宋_GB2312" w:cs="仿宋_GB2312" w:eastAsia="仿宋_GB2312"/>
                    </w:rPr>
                    <w:t>标识标牌</w:t>
                  </w:r>
                </w:p>
              </w:tc>
              <w:tc>
                <w:tcPr>
                  <w:tcW w:type="dxa" w:w="851"/>
                </w:tcPr>
                <w:p>
                  <w:pPr>
                    <w:pStyle w:val="null3"/>
                  </w:pPr>
                  <w:r>
                    <w:rPr>
                      <w:rFonts w:ascii="仿宋_GB2312" w:hAnsi="仿宋_GB2312" w:cs="仿宋_GB2312" w:eastAsia="仿宋_GB2312"/>
                    </w:rPr>
                    <w:t>（1）标识标牌符合《公共信息图形符号 第1部分：通用符号》（GB/T 10001.1）的相关要求，消防与安全标识符合《安全标志及其使用导则》（GB2894）、《消防安全标志　第1部分：标志》（GB13495.1）的相关要求。</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（2）每月至少检查1次标识标牌和消防与安全标识。应当规范清晰、路线指引正确、安装稳固。</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3.公用设施设备维护服务</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服务内容</w:t>
                  </w:r>
                </w:p>
              </w:tc>
              <w:tc>
                <w:tcPr>
                  <w:tcW w:type="dxa" w:w="851"/>
                </w:tcPr>
                <w:p>
                  <w:pPr>
                    <w:pStyle w:val="null3"/>
                  </w:pPr>
                  <w:r>
                    <w:rPr>
                      <w:rFonts w:ascii="仿宋_GB2312" w:hAnsi="仿宋_GB2312" w:cs="仿宋_GB2312" w:eastAsia="仿宋_GB2312"/>
                    </w:rPr>
                    <w:t>服务标准</w:t>
                  </w:r>
                </w:p>
              </w:tc>
            </w:tr>
            <w:tr>
              <w:tc>
                <w:tcPr>
                  <w:tcW w:type="dxa" w:w="851"/>
                  <w:vMerge w:val="restart"/>
                </w:tcPr>
                <w:p>
                  <w:pPr>
                    <w:pStyle w:val="null3"/>
                  </w:pPr>
                  <w:r>
                    <w:rPr>
                      <w:rFonts w:ascii="仿宋_GB2312" w:hAnsi="仿宋_GB2312" w:cs="仿宋_GB2312" w:eastAsia="仿宋_GB2312"/>
                    </w:rPr>
                    <w:t>1</w:t>
                  </w:r>
                </w:p>
              </w:tc>
              <w:tc>
                <w:tcPr>
                  <w:tcW w:type="dxa" w:w="851"/>
                  <w:vMerge w:val="restart"/>
                </w:tcPr>
                <w:p>
                  <w:pPr>
                    <w:pStyle w:val="null3"/>
                  </w:pPr>
                  <w:r>
                    <w:rPr>
                      <w:rFonts w:ascii="仿宋_GB2312" w:hAnsi="仿宋_GB2312" w:cs="仿宋_GB2312" w:eastAsia="仿宋_GB2312"/>
                    </w:rPr>
                    <w:t>基本要求</w:t>
                  </w:r>
                </w:p>
              </w:tc>
              <w:tc>
                <w:tcPr>
                  <w:tcW w:type="dxa" w:w="851"/>
                </w:tcPr>
                <w:p>
                  <w:pPr>
                    <w:pStyle w:val="null3"/>
                  </w:pPr>
                  <w:r>
                    <w:rPr>
                      <w:rFonts w:ascii="仿宋_GB2312" w:hAnsi="仿宋_GB2312" w:cs="仿宋_GB2312" w:eastAsia="仿宋_GB2312"/>
                    </w:rPr>
                    <w:t>（1）重大节假日及恶劣天气前后，组织系统巡检1次。</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（2）具备设施设备安全、稳定运行的环境和场所（含有限空间），温湿度、照度、粉尘和烟雾浓度等符合相关安全规范。</w:t>
                  </w:r>
                </w:p>
              </w:tc>
            </w:tr>
            <w:tr>
              <w:tc>
                <w:tcPr>
                  <w:tcW w:type="dxa" w:w="851"/>
                  <w:vMerge w:val="restart"/>
                </w:tcPr>
                <w:p>
                  <w:pPr>
                    <w:pStyle w:val="null3"/>
                  </w:pPr>
                  <w:r>
                    <w:rPr>
                      <w:rFonts w:ascii="仿宋_GB2312" w:hAnsi="仿宋_GB2312" w:cs="仿宋_GB2312" w:eastAsia="仿宋_GB2312"/>
                    </w:rPr>
                    <w:t>2</w:t>
                  </w:r>
                </w:p>
              </w:tc>
              <w:tc>
                <w:tcPr>
                  <w:tcW w:type="dxa" w:w="851"/>
                  <w:vMerge w:val="restart"/>
                </w:tcPr>
                <w:p>
                  <w:pPr>
                    <w:pStyle w:val="null3"/>
                  </w:pPr>
                  <w:r>
                    <w:rPr>
                      <w:rFonts w:ascii="仿宋_GB2312" w:hAnsi="仿宋_GB2312" w:cs="仿宋_GB2312" w:eastAsia="仿宋_GB2312"/>
                    </w:rPr>
                    <w:t>设备机房</w:t>
                  </w:r>
                </w:p>
              </w:tc>
              <w:tc>
                <w:tcPr>
                  <w:tcW w:type="dxa" w:w="851"/>
                </w:tcPr>
                <w:p>
                  <w:pPr>
                    <w:pStyle w:val="null3"/>
                  </w:pPr>
                  <w:r>
                    <w:rPr>
                      <w:rFonts w:ascii="仿宋_GB2312" w:hAnsi="仿宋_GB2312" w:cs="仿宋_GB2312" w:eastAsia="仿宋_GB2312"/>
                    </w:rPr>
                    <w:t>（1）设备机房门口有机房类别及安全标志。落实各类机房责任人、督查人，且设备系统图、应急预案流程图、管理制度、特种作业人员资格证书等上墙文件或证书符合各设备机房国家标准规范要求，机房巡视及外来人员记录清晰完整，标识统一。</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（2）设备机房门窗、锁具应当完好、有效。</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（3）每半月至少开展1次清洁，整洁有序、无杂物、无积尘、无鼠、无虫害，温湿度符合设备运行要求。</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（4）按各设备机房国家标准规范规定维护/保管消防、通风、应急照明，防止小动物进入。</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（5）安全防护用具配置齐全，检验合格。</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（6）应急设施设备用品应当齐全、完备，可随时启用。</w:t>
                  </w:r>
                </w:p>
              </w:tc>
            </w:tr>
            <w:tr>
              <w:tc>
                <w:tcPr>
                  <w:tcW w:type="dxa" w:w="851"/>
                  <w:vMerge w:val="restart"/>
                </w:tcPr>
                <w:p>
                  <w:pPr>
                    <w:pStyle w:val="null3"/>
                  </w:pPr>
                  <w:r>
                    <w:rPr>
                      <w:rFonts w:ascii="仿宋_GB2312" w:hAnsi="仿宋_GB2312" w:cs="仿宋_GB2312" w:eastAsia="仿宋_GB2312"/>
                    </w:rPr>
                    <w:t>3</w:t>
                  </w:r>
                </w:p>
              </w:tc>
              <w:tc>
                <w:tcPr>
                  <w:tcW w:type="dxa" w:w="851"/>
                  <w:vMerge w:val="restart"/>
                </w:tcPr>
                <w:p>
                  <w:pPr>
                    <w:pStyle w:val="null3"/>
                  </w:pPr>
                  <w:r>
                    <w:rPr>
                      <w:rFonts w:ascii="仿宋_GB2312" w:hAnsi="仿宋_GB2312" w:cs="仿宋_GB2312" w:eastAsia="仿宋_GB2312"/>
                    </w:rPr>
                    <w:t>给排水系统</w:t>
                  </w:r>
                </w:p>
              </w:tc>
              <w:tc>
                <w:tcPr>
                  <w:tcW w:type="dxa" w:w="851"/>
                </w:tcPr>
                <w:p>
                  <w:pPr>
                    <w:pStyle w:val="null3"/>
                  </w:pPr>
                  <w:r>
                    <w:rPr>
                      <w:rFonts w:ascii="仿宋_GB2312" w:hAnsi="仿宋_GB2312" w:cs="仿宋_GB2312" w:eastAsia="仿宋_GB2312"/>
                    </w:rPr>
                    <w:t>（1）生活饮用水卫生符合《生活饮用水卫生标准》（GB5749）的相关要求。</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（2）二次供水卫生符合《二次供水设施卫生规范》（GB17051）的相关要求。</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（3）设施设备、阀门、管道等运行正常，无跑、冒、滴、漏现象。</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（4）遇供水单位限水、停水，按规定时间通知采购人。</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（5）每季度至少开展1次对排水管进行疏通、清污，保证室内外排水系统通畅。</w:t>
                  </w:r>
                </w:p>
              </w:tc>
            </w:tr>
            <w:tr>
              <w:tc>
                <w:tcPr>
                  <w:tcW w:type="dxa" w:w="851"/>
                  <w:vMerge w:val="restart"/>
                </w:tcPr>
                <w:p>
                  <w:pPr>
                    <w:pStyle w:val="null3"/>
                  </w:pPr>
                  <w:r>
                    <w:rPr>
                      <w:rFonts w:ascii="仿宋_GB2312" w:hAnsi="仿宋_GB2312" w:cs="仿宋_GB2312" w:eastAsia="仿宋_GB2312"/>
                    </w:rPr>
                    <w:t>4</w:t>
                  </w:r>
                </w:p>
              </w:tc>
              <w:tc>
                <w:tcPr>
                  <w:tcW w:type="dxa" w:w="851"/>
                  <w:vMerge w:val="restart"/>
                </w:tcPr>
                <w:p>
                  <w:pPr>
                    <w:pStyle w:val="null3"/>
                  </w:pPr>
                  <w:r>
                    <w:rPr>
                      <w:rFonts w:ascii="仿宋_GB2312" w:hAnsi="仿宋_GB2312" w:cs="仿宋_GB2312" w:eastAsia="仿宋_GB2312"/>
                    </w:rPr>
                    <w:t>消防系统</w:t>
                  </w:r>
                </w:p>
              </w:tc>
              <w:tc>
                <w:tcPr>
                  <w:tcW w:type="dxa" w:w="851"/>
                </w:tcPr>
                <w:p>
                  <w:pPr>
                    <w:pStyle w:val="null3"/>
                  </w:pPr>
                  <w:r>
                    <w:rPr>
                      <w:rFonts w:ascii="仿宋_GB2312" w:hAnsi="仿宋_GB2312" w:cs="仿宋_GB2312" w:eastAsia="仿宋_GB2312"/>
                    </w:rPr>
                    <w:t>（1）消防设施的维护管理符合《建筑消防设施的维护管理》（GB25201）的相关要求。</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（2）消防设备检测符合《建筑消防设施检测技术规程》（GA503或XF503）的相关要求。</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（3）消防设施平面图、火警疏散示意图、防火分区图等按幢设置在楼层醒目位置。</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（4）消防系统各设施设备使用说明清晰，宜图文结合。</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（5）自动喷水灭火系统启动正常。</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（6）消火栓箱、防火门、灭火器、消防水泵、红外线报警器、应急照明、安全疏散等系统运行正常。</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（7）消防监视控制系统运行良好，自动和手动报警设施启动正常。</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（8）正压送风、防排烟系统运行正常。</w:t>
                  </w:r>
                </w:p>
              </w:tc>
            </w:tr>
            <w:tr>
              <w:tc>
                <w:tcPr>
                  <w:tcW w:type="dxa" w:w="851"/>
                  <w:vMerge w:val="restart"/>
                </w:tcPr>
                <w:p>
                  <w:pPr>
                    <w:pStyle w:val="null3"/>
                  </w:pPr>
                  <w:r>
                    <w:rPr>
                      <w:rFonts w:ascii="仿宋_GB2312" w:hAnsi="仿宋_GB2312" w:cs="仿宋_GB2312" w:eastAsia="仿宋_GB2312"/>
                    </w:rPr>
                    <w:t>5</w:t>
                  </w:r>
                </w:p>
              </w:tc>
              <w:tc>
                <w:tcPr>
                  <w:tcW w:type="dxa" w:w="851"/>
                  <w:vMerge w:val="restart"/>
                </w:tcPr>
                <w:p>
                  <w:pPr>
                    <w:pStyle w:val="null3"/>
                  </w:pPr>
                  <w:r>
                    <w:rPr>
                      <w:rFonts w:ascii="仿宋_GB2312" w:hAnsi="仿宋_GB2312" w:cs="仿宋_GB2312" w:eastAsia="仿宋_GB2312"/>
                    </w:rPr>
                    <w:t>供配电系统</w:t>
                  </w:r>
                </w:p>
              </w:tc>
              <w:tc>
                <w:tcPr>
                  <w:tcW w:type="dxa" w:w="851"/>
                </w:tcPr>
                <w:p>
                  <w:pPr>
                    <w:pStyle w:val="null3"/>
                  </w:pPr>
                  <w:r>
                    <w:rPr>
                      <w:rFonts w:ascii="仿宋_GB2312" w:hAnsi="仿宋_GB2312" w:cs="仿宋_GB2312" w:eastAsia="仿宋_GB2312"/>
                    </w:rPr>
                    <w:t>（1）建立24小时运行值班监控制度。</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（2）对供电范围内的电气设备定期巡视维护，加强高低压配电柜、配电箱、控制柜及线路等重点部位监测。</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（3）公共使用的照明、指示灯具线路、开关、接地等保持完好，确保用电安全。</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（4）核心部位用电建立高可控用电保障和配备应急发电设备，定期维护应急发电设备。</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（5）发生非计划性停电的，应当在事件发生后及时通知采购人，快速恢复或启用应急电源，并做好应急事件上报及处理工作。</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（6）复杂故障涉及供电部门维修处置的及时与供电部门联系，并向采购人报告。</w:t>
                  </w:r>
                </w:p>
              </w:tc>
            </w:tr>
            <w:tr>
              <w:tc>
                <w:tcPr>
                  <w:tcW w:type="dxa" w:w="851"/>
                  <w:vMerge w:val="restart"/>
                </w:tcPr>
                <w:p>
                  <w:pPr>
                    <w:pStyle w:val="null3"/>
                  </w:pPr>
                  <w:r>
                    <w:rPr>
                      <w:rFonts w:ascii="仿宋_GB2312" w:hAnsi="仿宋_GB2312" w:cs="仿宋_GB2312" w:eastAsia="仿宋_GB2312"/>
                    </w:rPr>
                    <w:t>6</w:t>
                  </w:r>
                </w:p>
              </w:tc>
              <w:tc>
                <w:tcPr>
                  <w:tcW w:type="dxa" w:w="851"/>
                  <w:vMerge w:val="restart"/>
                </w:tcPr>
                <w:p>
                  <w:pPr>
                    <w:pStyle w:val="null3"/>
                  </w:pPr>
                  <w:r>
                    <w:rPr>
                      <w:rFonts w:ascii="仿宋_GB2312" w:hAnsi="仿宋_GB2312" w:cs="仿宋_GB2312" w:eastAsia="仿宋_GB2312"/>
                    </w:rPr>
                    <w:t>照明系统</w:t>
                  </w:r>
                </w:p>
              </w:tc>
              <w:tc>
                <w:tcPr>
                  <w:tcW w:type="dxa" w:w="851"/>
                </w:tcPr>
                <w:p>
                  <w:pPr>
                    <w:pStyle w:val="null3"/>
                  </w:pPr>
                  <w:r>
                    <w:rPr>
                      <w:rFonts w:ascii="仿宋_GB2312" w:hAnsi="仿宋_GB2312" w:cs="仿宋_GB2312" w:eastAsia="仿宋_GB2312"/>
                    </w:rPr>
                    <w:t>（1）外观整洁无缺损、无松落。</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（2）更换的照明灯具应当选用节能环保产品，亮度与更换前保持一致。</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（3）每周至少开展1次公共区域照明设备巡视。</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4.保洁服务</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服务内容</w:t>
                  </w:r>
                </w:p>
              </w:tc>
              <w:tc>
                <w:tcPr>
                  <w:tcW w:type="dxa" w:w="851"/>
                </w:tcPr>
                <w:p>
                  <w:pPr>
                    <w:pStyle w:val="null3"/>
                  </w:pPr>
                  <w:r>
                    <w:rPr>
                      <w:rFonts w:ascii="仿宋_GB2312" w:hAnsi="仿宋_GB2312" w:cs="仿宋_GB2312" w:eastAsia="仿宋_GB2312"/>
                    </w:rPr>
                    <w:t>服务标准</w:t>
                  </w:r>
                </w:p>
              </w:tc>
            </w:tr>
            <w:tr>
              <w:tc>
                <w:tcPr>
                  <w:tcW w:type="dxa" w:w="851"/>
                  <w:vMerge w:val="restart"/>
                </w:tcPr>
                <w:p>
                  <w:pPr>
                    <w:pStyle w:val="null3"/>
                  </w:pPr>
                  <w:r>
                    <w:rPr>
                      <w:rFonts w:ascii="仿宋_GB2312" w:hAnsi="仿宋_GB2312" w:cs="仿宋_GB2312" w:eastAsia="仿宋_GB2312"/>
                    </w:rPr>
                    <w:t>1</w:t>
                  </w:r>
                </w:p>
              </w:tc>
              <w:tc>
                <w:tcPr>
                  <w:tcW w:type="dxa" w:w="851"/>
                  <w:vMerge w:val="restart"/>
                </w:tcPr>
                <w:p>
                  <w:pPr>
                    <w:pStyle w:val="null3"/>
                  </w:pPr>
                  <w:r>
                    <w:rPr>
                      <w:rFonts w:ascii="仿宋_GB2312" w:hAnsi="仿宋_GB2312" w:cs="仿宋_GB2312" w:eastAsia="仿宋_GB2312"/>
                    </w:rPr>
                    <w:t>基本要求</w:t>
                  </w:r>
                </w:p>
              </w:tc>
              <w:tc>
                <w:tcPr>
                  <w:tcW w:type="dxa" w:w="851"/>
                </w:tcPr>
                <w:p>
                  <w:pPr>
                    <w:pStyle w:val="null3"/>
                  </w:pPr>
                  <w:r>
                    <w:rPr>
                      <w:rFonts w:ascii="仿宋_GB2312" w:hAnsi="仿宋_GB2312" w:cs="仿宋_GB2312" w:eastAsia="仿宋_GB2312"/>
                    </w:rPr>
                    <w:t>（1）建立保洁服务的工作制度及工作计划，并按照执行。</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（2）做好保洁服务工作记录，记录填写规范、保存完好。</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（3）作业时采取安全防护措施，防止对作业人员或他人造成伤害。相关耗材的环保、安全性等应当符合国家相关规定要求。</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（4）进入保密区域时，有采购人相关人员全程在场。</w:t>
                  </w:r>
                </w:p>
              </w:tc>
            </w:tr>
            <w:tr>
              <w:tc>
                <w:tcPr>
                  <w:tcW w:type="dxa" w:w="851"/>
                  <w:vMerge w:val="restart"/>
                </w:tcPr>
                <w:p>
                  <w:pPr>
                    <w:pStyle w:val="null3"/>
                  </w:pPr>
                  <w:r>
                    <w:rPr>
                      <w:rFonts w:ascii="仿宋_GB2312" w:hAnsi="仿宋_GB2312" w:cs="仿宋_GB2312" w:eastAsia="仿宋_GB2312"/>
                    </w:rPr>
                    <w:t>2</w:t>
                  </w:r>
                </w:p>
              </w:tc>
              <w:tc>
                <w:tcPr>
                  <w:tcW w:type="dxa" w:w="851"/>
                  <w:vMerge w:val="restart"/>
                </w:tcPr>
                <w:p>
                  <w:pPr>
                    <w:pStyle w:val="null3"/>
                  </w:pPr>
                  <w:r>
                    <w:rPr>
                      <w:rFonts w:ascii="仿宋_GB2312" w:hAnsi="仿宋_GB2312" w:cs="仿宋_GB2312" w:eastAsia="仿宋_GB2312"/>
                    </w:rPr>
                    <w:t>办公用房区域保洁</w:t>
                  </w:r>
                </w:p>
              </w:tc>
              <w:tc>
                <w:tcPr>
                  <w:tcW w:type="dxa" w:w="851"/>
                </w:tcPr>
                <w:p>
                  <w:pPr>
                    <w:pStyle w:val="null3"/>
                  </w:pPr>
                  <w:r>
                    <w:rPr>
                      <w:rFonts w:ascii="仿宋_GB2312" w:hAnsi="仿宋_GB2312" w:cs="仿宋_GB2312" w:eastAsia="仿宋_GB2312"/>
                    </w:rPr>
                    <w:t>（1）大厅、楼内公共通道：</w:t>
                  </w:r>
                </w:p>
                <w:p>
                  <w:pPr>
                    <w:pStyle w:val="null3"/>
                  </w:pPr>
                  <w:r>
                    <w:rPr>
                      <w:rFonts w:ascii="仿宋_GB2312" w:hAnsi="仿宋_GB2312" w:cs="仿宋_GB2312" w:eastAsia="仿宋_GB2312"/>
                    </w:rPr>
                    <w:t>①公共通道保持干净，无异味、无杂物、无积水，每日至少开展1次清洁作业。</w:t>
                  </w:r>
                </w:p>
                <w:p>
                  <w:pPr>
                    <w:pStyle w:val="null3"/>
                  </w:pPr>
                  <w:r>
                    <w:rPr>
                      <w:rFonts w:ascii="仿宋_GB2312" w:hAnsi="仿宋_GB2312" w:cs="仿宋_GB2312" w:eastAsia="仿宋_GB2312"/>
                    </w:rPr>
                    <w:t>②门窗玻璃干净无尘，透光性好，每周至少开展1次清洁作业。</w:t>
                  </w:r>
                </w:p>
                <w:p>
                  <w:pPr>
                    <w:pStyle w:val="null3"/>
                  </w:pPr>
                  <w:r>
                    <w:rPr>
                      <w:rFonts w:ascii="仿宋_GB2312" w:hAnsi="仿宋_GB2312" w:cs="仿宋_GB2312" w:eastAsia="仿宋_GB2312"/>
                    </w:rPr>
                    <w:t>③指示牌干净，无污渍，每日至少开展1次清洁作业。</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（2）电器、消防等设施设备：</w:t>
                  </w:r>
                </w:p>
                <w:p>
                  <w:pPr>
                    <w:pStyle w:val="null3"/>
                  </w:pPr>
                  <w:r>
                    <w:rPr>
                      <w:rFonts w:ascii="仿宋_GB2312" w:hAnsi="仿宋_GB2312" w:cs="仿宋_GB2312" w:eastAsia="仿宋_GB2312"/>
                    </w:rPr>
                    <w:t>①配电箱、设备机房、会议室音视频设备、消防栓及开关插座等保持表面干净，无尘无污迹，每月至少开展1次清洁作业。</w:t>
                  </w:r>
                </w:p>
                <w:p>
                  <w:pPr>
                    <w:pStyle w:val="null3"/>
                  </w:pPr>
                  <w:r>
                    <w:rPr>
                      <w:rFonts w:ascii="仿宋_GB2312" w:hAnsi="仿宋_GB2312" w:cs="仿宋_GB2312" w:eastAsia="仿宋_GB2312"/>
                    </w:rPr>
                    <w:t>②监控摄像头、门禁系统等表面光亮，无尘、无斑点，每月至少开展1次清洁作业。</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（3）楼梯及楼梯间保持干净、无异味、无杂物、无积水，每日至少开展1次清洁作业。</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（4）作业工具间：</w:t>
                  </w:r>
                </w:p>
                <w:p>
                  <w:pPr>
                    <w:pStyle w:val="null3"/>
                  </w:pPr>
                  <w:r>
                    <w:rPr>
                      <w:rFonts w:ascii="仿宋_GB2312" w:hAnsi="仿宋_GB2312" w:cs="仿宋_GB2312" w:eastAsia="仿宋_GB2312"/>
                    </w:rPr>
                    <w:t>①保持干净，无异味、无杂物、无积水，每日至少开展1次清洁作业。</w:t>
                  </w:r>
                </w:p>
                <w:p>
                  <w:pPr>
                    <w:pStyle w:val="null3"/>
                  </w:pPr>
                  <w:r>
                    <w:rPr>
                      <w:rFonts w:ascii="仿宋_GB2312" w:hAnsi="仿宋_GB2312" w:cs="仿宋_GB2312" w:eastAsia="仿宋_GB2312"/>
                    </w:rPr>
                    <w:t>②作业工具摆放整齐有序，表面干净无渍，每日消毒。</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（5）公共卫生间：</w:t>
                  </w:r>
                </w:p>
                <w:p>
                  <w:pPr>
                    <w:pStyle w:val="null3"/>
                  </w:pPr>
                  <w:r>
                    <w:rPr>
                      <w:rFonts w:ascii="仿宋_GB2312" w:hAnsi="仿宋_GB2312" w:cs="仿宋_GB2312" w:eastAsia="仿宋_GB2312"/>
                    </w:rPr>
                    <w:t>①保持干净，无异味，垃圾无溢出，每日至少开展1次清洁作业。</w:t>
                  </w:r>
                </w:p>
                <w:p>
                  <w:pPr>
                    <w:pStyle w:val="null3"/>
                  </w:pPr>
                  <w:r>
                    <w:rPr>
                      <w:rFonts w:ascii="仿宋_GB2312" w:hAnsi="仿宋_GB2312" w:cs="仿宋_GB2312" w:eastAsia="仿宋_GB2312"/>
                    </w:rPr>
                    <w:t>②及时补充厕纸等必要用品。</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（6）平台、屋顶、天沟保持干净，有杂物及时清扫，每月至少开展1次清洁作业。</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（7）石材地面、内墙做好养护工作，每季度开展1次清洁作业。（各类材质地面、内墙服务管理标准详见3.4.1）</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（8）地毯干净、无油渍、无污渍、无褪色，每月至少开展1次清洁作业。</w:t>
                  </w:r>
                </w:p>
              </w:tc>
            </w:tr>
            <w:tr>
              <w:tc>
                <w:tcPr>
                  <w:tcW w:type="dxa" w:w="851"/>
                  <w:vMerge w:val="restart"/>
                </w:tcPr>
                <w:p>
                  <w:pPr>
                    <w:pStyle w:val="null3"/>
                  </w:pPr>
                  <w:r>
                    <w:rPr>
                      <w:rFonts w:ascii="仿宋_GB2312" w:hAnsi="仿宋_GB2312" w:cs="仿宋_GB2312" w:eastAsia="仿宋_GB2312"/>
                    </w:rPr>
                    <w:t>3</w:t>
                  </w:r>
                </w:p>
              </w:tc>
              <w:tc>
                <w:tcPr>
                  <w:tcW w:type="dxa" w:w="851"/>
                  <w:vMerge w:val="restart"/>
                </w:tcPr>
                <w:p>
                  <w:pPr>
                    <w:pStyle w:val="null3"/>
                  </w:pPr>
                  <w:r>
                    <w:rPr>
                      <w:rFonts w:ascii="仿宋_GB2312" w:hAnsi="仿宋_GB2312" w:cs="仿宋_GB2312" w:eastAsia="仿宋_GB2312"/>
                    </w:rPr>
                    <w:t>公共场地区域保洁</w:t>
                  </w:r>
                </w:p>
              </w:tc>
              <w:tc>
                <w:tcPr>
                  <w:tcW w:type="dxa" w:w="851"/>
                </w:tcPr>
                <w:p>
                  <w:pPr>
                    <w:pStyle w:val="null3"/>
                  </w:pPr>
                  <w:r>
                    <w:rPr>
                      <w:rFonts w:ascii="仿宋_GB2312" w:hAnsi="仿宋_GB2312" w:cs="仿宋_GB2312" w:eastAsia="仿宋_GB2312"/>
                    </w:rPr>
                    <w:t>（1）每日清扫道路地面、停车场等公共区域2次，保持干净、无杂物、无积水。</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（2）雪、冰冻等恶劣天气时及时清扫积水、积雪，并采取安全防护措施。</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（3）各种路标、宣传栏等保持干净，每月至少开展1次清洁作业。</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（4）清洁室外照明设备，每月至少开展1次清洁作业。</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（5）绿地内无杂物、无改变用途和破坏、践踏、占用现象，每天至少开展1次巡查。</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（6）办公区外立面定期清洗、2米以上外窗玻璃擦拭，每年至少开展1次清洗。（各类材质外立面服务标准详见3.4.1）</w:t>
                  </w:r>
                </w:p>
              </w:tc>
            </w:tr>
            <w:tr>
              <w:tc>
                <w:tcPr>
                  <w:tcW w:type="dxa" w:w="851"/>
                  <w:vMerge w:val="restart"/>
                </w:tcPr>
                <w:p>
                  <w:pPr>
                    <w:pStyle w:val="null3"/>
                  </w:pPr>
                  <w:r>
                    <w:rPr>
                      <w:rFonts w:ascii="仿宋_GB2312" w:hAnsi="仿宋_GB2312" w:cs="仿宋_GB2312" w:eastAsia="仿宋_GB2312"/>
                    </w:rPr>
                    <w:t>4</w:t>
                  </w:r>
                </w:p>
              </w:tc>
              <w:tc>
                <w:tcPr>
                  <w:tcW w:type="dxa" w:w="851"/>
                  <w:vMerge w:val="restart"/>
                </w:tcPr>
                <w:p>
                  <w:pPr>
                    <w:pStyle w:val="null3"/>
                  </w:pPr>
                  <w:r>
                    <w:rPr>
                      <w:rFonts w:ascii="仿宋_GB2312" w:hAnsi="仿宋_GB2312" w:cs="仿宋_GB2312" w:eastAsia="仿宋_GB2312"/>
                    </w:rPr>
                    <w:t>垃圾处理</w:t>
                  </w:r>
                </w:p>
              </w:tc>
              <w:tc>
                <w:tcPr>
                  <w:tcW w:type="dxa" w:w="851"/>
                </w:tcPr>
                <w:p>
                  <w:pPr>
                    <w:pStyle w:val="null3"/>
                  </w:pPr>
                  <w:r>
                    <w:rPr>
                      <w:rFonts w:ascii="仿宋_GB2312" w:hAnsi="仿宋_GB2312" w:cs="仿宋_GB2312" w:eastAsia="仿宋_GB2312"/>
                    </w:rPr>
                    <w:t>（1）在指定位置摆放分类垃圾桶，并在显著处张贴垃圾分类标识。分类垃圾桶和垃圾分类标识根据所在城市的要求设置。</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（2）桶身表面干净无污渍，每日开展至少1次清洁作业。</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（3）每个工作日内要对楼层产生的垃圾，进行清理分类，并运至垃圾集中堆放点。</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（4）垃圾装袋，日产日清。</w:t>
                  </w:r>
                </w:p>
              </w:tc>
            </w:tr>
            <w:tr>
              <w:tc>
                <w:tcPr>
                  <w:tcW w:type="dxa" w:w="851"/>
                  <w:vMerge w:val="restart"/>
                </w:tcPr>
                <w:p>
                  <w:pPr>
                    <w:pStyle w:val="null3"/>
                  </w:pPr>
                  <w:r>
                    <w:rPr>
                      <w:rFonts w:ascii="仿宋_GB2312" w:hAnsi="仿宋_GB2312" w:cs="仿宋_GB2312" w:eastAsia="仿宋_GB2312"/>
                    </w:rPr>
                    <w:t>5</w:t>
                  </w:r>
                </w:p>
              </w:tc>
              <w:tc>
                <w:tcPr>
                  <w:tcW w:type="dxa" w:w="851"/>
                  <w:vMerge w:val="restart"/>
                </w:tcPr>
                <w:p>
                  <w:pPr>
                    <w:pStyle w:val="null3"/>
                  </w:pPr>
                  <w:r>
                    <w:rPr>
                      <w:rFonts w:ascii="仿宋_GB2312" w:hAnsi="仿宋_GB2312" w:cs="仿宋_GB2312" w:eastAsia="仿宋_GB2312"/>
                    </w:rPr>
                    <w:t>卫生消毒</w:t>
                  </w:r>
                </w:p>
              </w:tc>
              <w:tc>
                <w:tcPr>
                  <w:tcW w:type="dxa" w:w="851"/>
                </w:tcPr>
                <w:p>
                  <w:pPr>
                    <w:pStyle w:val="null3"/>
                  </w:pPr>
                  <w:r>
                    <w:rPr>
                      <w:rFonts w:ascii="仿宋_GB2312" w:hAnsi="仿宋_GB2312" w:cs="仿宋_GB2312" w:eastAsia="仿宋_GB2312"/>
                    </w:rPr>
                    <w:t>（1）办公用房区域、公共场所区域和周围环境预防性卫生消毒，消毒后及时通风，每周至少开展1次作业。</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（2）采取综合措施消灭老鼠、蟑螂，控制室内外蚊虫滋生，达到基本无蝇，每季度至少开展1次作业。</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（3）发生公共卫生事件时，邀请专业单位开展消毒、检测等工作。</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4.1具体清洁要求</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材质</w:t>
                  </w:r>
                </w:p>
              </w:tc>
              <w:tc>
                <w:tcPr>
                  <w:tcW w:type="dxa" w:w="851"/>
                </w:tcPr>
                <w:p>
                  <w:pPr>
                    <w:pStyle w:val="null3"/>
                  </w:pPr>
                  <w:r>
                    <w:rPr>
                      <w:rFonts w:ascii="仿宋_GB2312" w:hAnsi="仿宋_GB2312" w:cs="仿宋_GB2312" w:eastAsia="仿宋_GB2312"/>
                    </w:rPr>
                    <w:t>清洁要求</w:t>
                  </w:r>
                </w:p>
              </w:tc>
            </w:tr>
            <w:tr>
              <w:tc>
                <w:tcPr>
                  <w:tcW w:type="dxa" w:w="851"/>
                  <w:vMerge w:val="restart"/>
                </w:tcPr>
                <w:p>
                  <w:pPr>
                    <w:pStyle w:val="null3"/>
                  </w:pPr>
                  <w:r>
                    <w:rPr>
                      <w:rFonts w:ascii="仿宋_GB2312" w:hAnsi="仿宋_GB2312" w:cs="仿宋_GB2312" w:eastAsia="仿宋_GB2312"/>
                    </w:rPr>
                    <w:t>1</w:t>
                  </w:r>
                </w:p>
              </w:tc>
              <w:tc>
                <w:tcPr>
                  <w:tcW w:type="dxa" w:w="851"/>
                  <w:vMerge w:val="restart"/>
                </w:tcPr>
                <w:p>
                  <w:pPr>
                    <w:pStyle w:val="null3"/>
                  </w:pPr>
                  <w:r>
                    <w:rPr>
                      <w:rFonts w:ascii="仿宋_GB2312" w:hAnsi="仿宋_GB2312" w:cs="仿宋_GB2312" w:eastAsia="仿宋_GB2312"/>
                    </w:rPr>
                    <w:t>瓷砖地面</w:t>
                  </w:r>
                </w:p>
              </w:tc>
              <w:tc>
                <w:tcPr>
                  <w:tcW w:type="dxa" w:w="851"/>
                </w:tcPr>
                <w:p>
                  <w:pPr>
                    <w:pStyle w:val="null3"/>
                  </w:pPr>
                  <w:r>
                    <w:rPr>
                      <w:rFonts w:ascii="仿宋_GB2312" w:hAnsi="仿宋_GB2312" w:cs="仿宋_GB2312" w:eastAsia="仿宋_GB2312"/>
                    </w:rPr>
                    <w:t>（1）日常清洁：推尘，保持地面干净无杂物。</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（2）深度清洁：使用洗洁精或肥皂水清理。</w:t>
                  </w:r>
                </w:p>
              </w:tc>
            </w:tr>
            <w:tr>
              <w:tc>
                <w:tcPr>
                  <w:tcW w:type="dxa" w:w="851"/>
                  <w:vMerge w:val="restart"/>
                </w:tcPr>
                <w:p>
                  <w:pPr>
                    <w:pStyle w:val="null3"/>
                  </w:pPr>
                  <w:r>
                    <w:rPr>
                      <w:rFonts w:ascii="仿宋_GB2312" w:hAnsi="仿宋_GB2312" w:cs="仿宋_GB2312" w:eastAsia="仿宋_GB2312"/>
                    </w:rPr>
                    <w:t>2</w:t>
                  </w:r>
                </w:p>
              </w:tc>
              <w:tc>
                <w:tcPr>
                  <w:tcW w:type="dxa" w:w="851"/>
                  <w:vMerge w:val="restart"/>
                </w:tcPr>
                <w:p>
                  <w:pPr>
                    <w:pStyle w:val="null3"/>
                  </w:pPr>
                  <w:r>
                    <w:rPr>
                      <w:rFonts w:ascii="仿宋_GB2312" w:hAnsi="仿宋_GB2312" w:cs="仿宋_GB2312" w:eastAsia="仿宋_GB2312"/>
                    </w:rPr>
                    <w:t>地板地面</w:t>
                  </w:r>
                </w:p>
              </w:tc>
              <w:tc>
                <w:tcPr>
                  <w:tcW w:type="dxa" w:w="851"/>
                </w:tcPr>
                <w:p>
                  <w:pPr>
                    <w:pStyle w:val="null3"/>
                  </w:pPr>
                  <w:r>
                    <w:rPr>
                      <w:rFonts w:ascii="仿宋_GB2312" w:hAnsi="仿宋_GB2312" w:cs="仿宋_GB2312" w:eastAsia="仿宋_GB2312"/>
                    </w:rPr>
                    <w:t>（1）定期保养。使用中性清洁剂清洁，避免使用强酸或强碱清洁剂，定期进行基础维护。</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（2）日常维护。使用湿润的拖把清洁，污染严重时局部清洁，每月对地板进行打蜡处理。</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乳胶漆内墙</w:t>
                  </w:r>
                </w:p>
              </w:tc>
              <w:tc>
                <w:tcPr>
                  <w:tcW w:type="dxa" w:w="851"/>
                </w:tcPr>
                <w:p>
                  <w:pPr>
                    <w:pStyle w:val="null3"/>
                  </w:pPr>
                  <w:r>
                    <w:rPr>
                      <w:rFonts w:ascii="仿宋_GB2312" w:hAnsi="仿宋_GB2312" w:cs="仿宋_GB2312" w:eastAsia="仿宋_GB2312"/>
                    </w:rPr>
                    <w:t>有污渍时用半干布擦拭。</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瓷砖外墙</w:t>
                  </w:r>
                </w:p>
              </w:tc>
              <w:tc>
                <w:tcPr>
                  <w:tcW w:type="dxa" w:w="851"/>
                </w:tcPr>
                <w:p>
                  <w:pPr>
                    <w:pStyle w:val="null3"/>
                  </w:pPr>
                  <w:r>
                    <w:rPr>
                      <w:rFonts w:ascii="仿宋_GB2312" w:hAnsi="仿宋_GB2312" w:cs="仿宋_GB2312" w:eastAsia="仿宋_GB2312"/>
                    </w:rPr>
                    <w:t>定期专业清洗。</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5.绿化服务</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服务内容</w:t>
                  </w:r>
                </w:p>
              </w:tc>
              <w:tc>
                <w:tcPr>
                  <w:tcW w:type="dxa" w:w="851"/>
                </w:tcPr>
                <w:p>
                  <w:pPr>
                    <w:pStyle w:val="null3"/>
                  </w:pPr>
                  <w:r>
                    <w:rPr>
                      <w:rFonts w:ascii="仿宋_GB2312" w:hAnsi="仿宋_GB2312" w:cs="仿宋_GB2312" w:eastAsia="仿宋_GB2312"/>
                    </w:rPr>
                    <w:t>服务标准</w:t>
                  </w:r>
                </w:p>
              </w:tc>
            </w:tr>
            <w:tr>
              <w:tc>
                <w:tcPr>
                  <w:tcW w:type="dxa" w:w="851"/>
                  <w:vMerge w:val="restart"/>
                </w:tcPr>
                <w:p>
                  <w:pPr>
                    <w:pStyle w:val="null3"/>
                  </w:pPr>
                  <w:r>
                    <w:rPr>
                      <w:rFonts w:ascii="仿宋_GB2312" w:hAnsi="仿宋_GB2312" w:cs="仿宋_GB2312" w:eastAsia="仿宋_GB2312"/>
                    </w:rPr>
                    <w:t>1</w:t>
                  </w:r>
                </w:p>
              </w:tc>
              <w:tc>
                <w:tcPr>
                  <w:tcW w:type="dxa" w:w="851"/>
                  <w:vMerge w:val="restart"/>
                </w:tcPr>
                <w:p>
                  <w:pPr>
                    <w:pStyle w:val="null3"/>
                  </w:pPr>
                  <w:r>
                    <w:rPr>
                      <w:rFonts w:ascii="仿宋_GB2312" w:hAnsi="仿宋_GB2312" w:cs="仿宋_GB2312" w:eastAsia="仿宋_GB2312"/>
                    </w:rPr>
                    <w:t>基本要求</w:t>
                  </w:r>
                </w:p>
              </w:tc>
              <w:tc>
                <w:tcPr>
                  <w:tcW w:type="dxa" w:w="851"/>
                </w:tcPr>
                <w:p>
                  <w:pPr>
                    <w:pStyle w:val="null3"/>
                  </w:pPr>
                  <w:r>
                    <w:rPr>
                      <w:rFonts w:ascii="仿宋_GB2312" w:hAnsi="仿宋_GB2312" w:cs="仿宋_GB2312" w:eastAsia="仿宋_GB2312"/>
                    </w:rPr>
                    <w:t>（1）制定绿化服务的工作制度及工作计划，并按照执行。</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（2）做好绿化服务工作记录，填写规范。</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（3）作业时采取安全防护措施，防止对作业人员或他人造成伤害。</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（4）相关耗材的环保、安全性应当符合规定要求。</w:t>
                  </w:r>
                </w:p>
              </w:tc>
            </w:tr>
            <w:tr>
              <w:tc>
                <w:tcPr>
                  <w:tcW w:type="dxa" w:w="851"/>
                  <w:vMerge w:val="restart"/>
                </w:tcPr>
                <w:p>
                  <w:pPr>
                    <w:pStyle w:val="null3"/>
                  </w:pPr>
                  <w:r>
                    <w:rPr>
                      <w:rFonts w:ascii="仿宋_GB2312" w:hAnsi="仿宋_GB2312" w:cs="仿宋_GB2312" w:eastAsia="仿宋_GB2312"/>
                    </w:rPr>
                    <w:t>2</w:t>
                  </w:r>
                </w:p>
              </w:tc>
              <w:tc>
                <w:tcPr>
                  <w:tcW w:type="dxa" w:w="851"/>
                  <w:vMerge w:val="restart"/>
                </w:tcPr>
                <w:p>
                  <w:pPr>
                    <w:pStyle w:val="null3"/>
                  </w:pPr>
                  <w:r>
                    <w:rPr>
                      <w:rFonts w:ascii="仿宋_GB2312" w:hAnsi="仿宋_GB2312" w:cs="仿宋_GB2312" w:eastAsia="仿宋_GB2312"/>
                    </w:rPr>
                    <w:t>室外绿化养护</w:t>
                  </w:r>
                </w:p>
              </w:tc>
              <w:tc>
                <w:tcPr>
                  <w:tcW w:type="dxa" w:w="851"/>
                </w:tcPr>
                <w:p>
                  <w:pPr>
                    <w:pStyle w:val="null3"/>
                  </w:pPr>
                  <w:r>
                    <w:rPr>
                      <w:rFonts w:ascii="仿宋_GB2312" w:hAnsi="仿宋_GB2312" w:cs="仿宋_GB2312" w:eastAsia="仿宋_GB2312"/>
                    </w:rPr>
                    <w:t>（1）根据生长环境、植物特性进行除草、灌溉、施肥、整形修剪、防治病虫害等。</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（2）根据生长情况修剪绿地，绿地内无枯草、无杂物，无干枯坏死和病虫侵害，基本无裸露土地。</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（3）定期修剪树木、花卉等，灌乔木生长正常、造型美观自然、花枝新鲜，无枯叶、无病虫、无死树缺株。</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6.保安服务</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服务内容</w:t>
                  </w:r>
                </w:p>
              </w:tc>
              <w:tc>
                <w:tcPr>
                  <w:tcW w:type="dxa" w:w="851"/>
                </w:tcPr>
                <w:p>
                  <w:pPr>
                    <w:pStyle w:val="null3"/>
                  </w:pPr>
                  <w:r>
                    <w:rPr>
                      <w:rFonts w:ascii="仿宋_GB2312" w:hAnsi="仿宋_GB2312" w:cs="仿宋_GB2312" w:eastAsia="仿宋_GB2312"/>
                    </w:rPr>
                    <w:t>服务标准</w:t>
                  </w:r>
                </w:p>
              </w:tc>
            </w:tr>
            <w:tr>
              <w:tc>
                <w:tcPr>
                  <w:tcW w:type="dxa" w:w="851"/>
                  <w:vMerge w:val="restart"/>
                </w:tcPr>
                <w:p>
                  <w:pPr>
                    <w:pStyle w:val="null3"/>
                  </w:pPr>
                  <w:r>
                    <w:rPr>
                      <w:rFonts w:ascii="仿宋_GB2312" w:hAnsi="仿宋_GB2312" w:cs="仿宋_GB2312" w:eastAsia="仿宋_GB2312"/>
                    </w:rPr>
                    <w:t>1</w:t>
                  </w:r>
                </w:p>
              </w:tc>
              <w:tc>
                <w:tcPr>
                  <w:tcW w:type="dxa" w:w="851"/>
                  <w:vMerge w:val="restart"/>
                </w:tcPr>
                <w:p>
                  <w:pPr>
                    <w:pStyle w:val="null3"/>
                  </w:pPr>
                  <w:r>
                    <w:rPr>
                      <w:rFonts w:ascii="仿宋_GB2312" w:hAnsi="仿宋_GB2312" w:cs="仿宋_GB2312" w:eastAsia="仿宋_GB2312"/>
                    </w:rPr>
                    <w:t>基本要求</w:t>
                  </w:r>
                </w:p>
              </w:tc>
              <w:tc>
                <w:tcPr>
                  <w:tcW w:type="dxa" w:w="851"/>
                </w:tcPr>
                <w:p>
                  <w:pPr>
                    <w:pStyle w:val="null3"/>
                  </w:pPr>
                  <w:r>
                    <w:rPr>
                      <w:rFonts w:ascii="仿宋_GB2312" w:hAnsi="仿宋_GB2312" w:cs="仿宋_GB2312" w:eastAsia="仿宋_GB2312"/>
                    </w:rPr>
                    <w:t>（1）建立保安服务相关制度，并按照执行。</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（2）对巡查、值守及异常情况等做好相关记录，填写规范，保存完好。</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（3）配备保安服务必要的器材。</w:t>
                  </w:r>
                </w:p>
              </w:tc>
            </w:tr>
            <w:tr>
              <w:tc>
                <w:tcPr>
                  <w:tcW w:type="dxa" w:w="851"/>
                  <w:vMerge w:val="restart"/>
                </w:tcPr>
                <w:p>
                  <w:pPr>
                    <w:pStyle w:val="null3"/>
                  </w:pPr>
                  <w:r>
                    <w:rPr>
                      <w:rFonts w:ascii="仿宋_GB2312" w:hAnsi="仿宋_GB2312" w:cs="仿宋_GB2312" w:eastAsia="仿宋_GB2312"/>
                    </w:rPr>
                    <w:t>2</w:t>
                  </w:r>
                </w:p>
              </w:tc>
              <w:tc>
                <w:tcPr>
                  <w:tcW w:type="dxa" w:w="851"/>
                  <w:vMerge w:val="restart"/>
                </w:tcPr>
                <w:p>
                  <w:pPr>
                    <w:pStyle w:val="null3"/>
                  </w:pPr>
                  <w:r>
                    <w:rPr>
                      <w:rFonts w:ascii="仿宋_GB2312" w:hAnsi="仿宋_GB2312" w:cs="仿宋_GB2312" w:eastAsia="仿宋_GB2312"/>
                    </w:rPr>
                    <w:t>出入管理</w:t>
                  </w:r>
                </w:p>
              </w:tc>
              <w:tc>
                <w:tcPr>
                  <w:tcW w:type="dxa" w:w="851"/>
                </w:tcPr>
                <w:p>
                  <w:pPr>
                    <w:pStyle w:val="null3"/>
                  </w:pPr>
                  <w:r>
                    <w:rPr>
                      <w:rFonts w:ascii="仿宋_GB2312" w:hAnsi="仿宋_GB2312" w:cs="仿宋_GB2312" w:eastAsia="仿宋_GB2312"/>
                    </w:rPr>
                    <w:t>（1）办公楼（区）主出入口应当实行 24小时值班制。</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（2）设置门岗。</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（3）在出入口对外来人员及其携带大件物品、外来车辆进行询问和记录，并与相关部门取得联系，同意后方可进入。</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（4）大件物品搬出有相关部门开具的证明和清单，经核实后放行。</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（5）排查可疑人员，对于不出示证件、不按规定登记、不听劝阻而强行闯入者，及时劝离，必要时通知公安机关进行处理。</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（6）配合相关部门积极疏导上访人员，有效疏导如出入口人群集聚、车辆拥堵、货物堵塞道路等情况。</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7）根据物业服务合同约定，对物品进出实行安检、登记、电话确认等分类管理措施。大宗物品进出会同接收单位收件人审检，严防违禁品（包括毒品、军火弹药、管制刀具、易燃易爆品等）、限带品（包括动物、任何未经授权的专业摄影设备、无人机等）进入。</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（8）提供现场接待服务。</w:t>
                  </w:r>
                </w:p>
                <w:p>
                  <w:pPr>
                    <w:pStyle w:val="null3"/>
                  </w:pPr>
                  <w:r>
                    <w:rPr>
                      <w:rFonts w:ascii="仿宋_GB2312" w:hAnsi="仿宋_GB2312" w:cs="仿宋_GB2312" w:eastAsia="仿宋_GB2312"/>
                    </w:rPr>
                    <w:t>①做好来访人员、车辆进出证件登记，及时通报。</w:t>
                  </w:r>
                </w:p>
                <w:p>
                  <w:pPr>
                    <w:pStyle w:val="null3"/>
                  </w:pPr>
                  <w:r>
                    <w:rPr>
                      <w:rFonts w:ascii="仿宋_GB2312" w:hAnsi="仿宋_GB2312" w:cs="仿宋_GB2312" w:eastAsia="仿宋_GB2312"/>
                    </w:rPr>
                    <w:t>②严禁无关人员、可疑人员和危险物品进入办公楼（区）内。</w:t>
                  </w:r>
                </w:p>
                <w:p>
                  <w:pPr>
                    <w:pStyle w:val="null3"/>
                  </w:pPr>
                  <w:r>
                    <w:rPr>
                      <w:rFonts w:ascii="仿宋_GB2312" w:hAnsi="仿宋_GB2312" w:cs="仿宋_GB2312" w:eastAsia="仿宋_GB2312"/>
                    </w:rPr>
                    <w:t>③物品摆放整齐有序、分类放置。</w:t>
                  </w:r>
                </w:p>
                <w:p>
                  <w:pPr>
                    <w:pStyle w:val="null3"/>
                  </w:pPr>
                  <w:r>
                    <w:rPr>
                      <w:rFonts w:ascii="仿宋_GB2312" w:hAnsi="仿宋_GB2312" w:cs="仿宋_GB2312" w:eastAsia="仿宋_GB2312"/>
                    </w:rPr>
                    <w:t>④现场办理等待时间不超过5分钟，等待较长时间应当及时沟通。</w:t>
                  </w:r>
                </w:p>
                <w:p>
                  <w:pPr>
                    <w:pStyle w:val="null3"/>
                  </w:pPr>
                  <w:r>
                    <w:rPr>
                      <w:rFonts w:ascii="仿宋_GB2312" w:hAnsi="仿宋_GB2312" w:cs="仿宋_GB2312" w:eastAsia="仿宋_GB2312"/>
                    </w:rPr>
                    <w:t>⑤对来访人员咨询、建议、求助等事项，及时处理或答复，处理和答复率100%。</w:t>
                  </w:r>
                </w:p>
                <w:p>
                  <w:pPr>
                    <w:pStyle w:val="null3"/>
                  </w:pPr>
                  <w:r>
                    <w:rPr>
                      <w:rFonts w:ascii="仿宋_GB2312" w:hAnsi="仿宋_GB2312" w:cs="仿宋_GB2312" w:eastAsia="仿宋_GB2312"/>
                    </w:rPr>
                    <w:t>⑥接待服务工作时间应当覆盖采购人工作时间</w:t>
                  </w:r>
                </w:p>
                <w:p>
                  <w:pPr>
                    <w:pStyle w:val="null3"/>
                  </w:pPr>
                  <w:r>
                    <w:rPr>
                      <w:rFonts w:ascii="仿宋_GB2312" w:hAnsi="仿宋_GB2312" w:cs="仿宋_GB2312" w:eastAsia="仿宋_GB2312"/>
                    </w:rPr>
                    <w:t>⑦与被访人进行核实确认；告知被访人的办公室门牌号；告知访客注意事项。</w:t>
                  </w:r>
                </w:p>
              </w:tc>
            </w:tr>
            <w:tr>
              <w:tc>
                <w:tcPr>
                  <w:tcW w:type="dxa" w:w="851"/>
                  <w:vMerge w:val="restart"/>
                </w:tcPr>
                <w:p>
                  <w:pPr>
                    <w:pStyle w:val="null3"/>
                  </w:pPr>
                  <w:r>
                    <w:rPr>
                      <w:rFonts w:ascii="仿宋_GB2312" w:hAnsi="仿宋_GB2312" w:cs="仿宋_GB2312" w:eastAsia="仿宋_GB2312"/>
                    </w:rPr>
                    <w:t>3</w:t>
                  </w:r>
                </w:p>
              </w:tc>
              <w:tc>
                <w:tcPr>
                  <w:tcW w:type="dxa" w:w="851"/>
                  <w:vMerge w:val="restart"/>
                </w:tcPr>
                <w:p>
                  <w:pPr>
                    <w:pStyle w:val="null3"/>
                  </w:pPr>
                  <w:r>
                    <w:rPr>
                      <w:rFonts w:ascii="仿宋_GB2312" w:hAnsi="仿宋_GB2312" w:cs="仿宋_GB2312" w:eastAsia="仿宋_GB2312"/>
                    </w:rPr>
                    <w:t>值班巡查</w:t>
                  </w:r>
                </w:p>
              </w:tc>
              <w:tc>
                <w:tcPr>
                  <w:tcW w:type="dxa" w:w="851"/>
                </w:tcPr>
                <w:p>
                  <w:pPr>
                    <w:pStyle w:val="null3"/>
                  </w:pPr>
                  <w:r>
                    <w:rPr>
                      <w:rFonts w:ascii="仿宋_GB2312" w:hAnsi="仿宋_GB2312" w:cs="仿宋_GB2312" w:eastAsia="仿宋_GB2312"/>
                    </w:rPr>
                    <w:t>（1）建立24小时值班巡查制度。</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（2）制定巡查路线，按照指定时间和路线执行，加强重点区域、重点部位及装修区域的巡查。</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（3）巡查期间保持通信设施设备畅通，遇到异常情况立即上报并在现场采取相应措施。</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（4）收到监控室指令后，巡查人员及时到达指定地点并迅速采取相应措施。</w:t>
                  </w:r>
                </w:p>
              </w:tc>
            </w:tr>
            <w:tr>
              <w:tc>
                <w:tcPr>
                  <w:tcW w:type="dxa" w:w="851"/>
                  <w:vMerge w:val="restart"/>
                </w:tcPr>
                <w:p>
                  <w:pPr>
                    <w:pStyle w:val="null3"/>
                  </w:pPr>
                  <w:r>
                    <w:rPr>
                      <w:rFonts w:ascii="仿宋_GB2312" w:hAnsi="仿宋_GB2312" w:cs="仿宋_GB2312" w:eastAsia="仿宋_GB2312"/>
                    </w:rPr>
                    <w:t>4</w:t>
                  </w:r>
                </w:p>
              </w:tc>
              <w:tc>
                <w:tcPr>
                  <w:tcW w:type="dxa" w:w="851"/>
                  <w:vMerge w:val="restart"/>
                </w:tcPr>
                <w:p>
                  <w:pPr>
                    <w:pStyle w:val="null3"/>
                  </w:pPr>
                  <w:r>
                    <w:rPr>
                      <w:rFonts w:ascii="仿宋_GB2312" w:hAnsi="仿宋_GB2312" w:cs="仿宋_GB2312" w:eastAsia="仿宋_GB2312"/>
                    </w:rPr>
                    <w:t>监控值守</w:t>
                  </w:r>
                </w:p>
              </w:tc>
              <w:tc>
                <w:tcPr>
                  <w:tcW w:type="dxa" w:w="851"/>
                </w:tcPr>
                <w:p>
                  <w:pPr>
                    <w:pStyle w:val="null3"/>
                  </w:pPr>
                  <w:r>
                    <w:rPr>
                      <w:rFonts w:ascii="仿宋_GB2312" w:hAnsi="仿宋_GB2312" w:cs="仿宋_GB2312" w:eastAsia="仿宋_GB2312"/>
                    </w:rPr>
                    <w:t>（1）监控记录画面清晰，视频监控无死角、无盲区。</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（2）值班期间遵守操作规程和保密制度，做好监控记录的保存工作。</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（3）监控记录保持完整，保存时间不应少于90天。</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（4）无关人员进入监控室或查阅监控记录，经授权人批准并做好相关记录。</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（5）监控室收到火情等报警信号、其他异常情况信号后，及时报警并安排其他安保人员前往现场进行处理。</w:t>
                  </w:r>
                </w:p>
              </w:tc>
            </w:tr>
            <w:tr>
              <w:tc>
                <w:tcPr>
                  <w:tcW w:type="dxa" w:w="851"/>
                  <w:vMerge w:val="restart"/>
                </w:tcPr>
                <w:p>
                  <w:pPr>
                    <w:pStyle w:val="null3"/>
                  </w:pPr>
                  <w:r>
                    <w:rPr>
                      <w:rFonts w:ascii="仿宋_GB2312" w:hAnsi="仿宋_GB2312" w:cs="仿宋_GB2312" w:eastAsia="仿宋_GB2312"/>
                    </w:rPr>
                    <w:t>5</w:t>
                  </w:r>
                </w:p>
              </w:tc>
              <w:tc>
                <w:tcPr>
                  <w:tcW w:type="dxa" w:w="851"/>
                  <w:vMerge w:val="restart"/>
                </w:tcPr>
                <w:p>
                  <w:pPr>
                    <w:pStyle w:val="null3"/>
                  </w:pPr>
                  <w:r>
                    <w:rPr>
                      <w:rFonts w:ascii="仿宋_GB2312" w:hAnsi="仿宋_GB2312" w:cs="仿宋_GB2312" w:eastAsia="仿宋_GB2312"/>
                    </w:rPr>
                    <w:t>车辆停放</w:t>
                  </w:r>
                </w:p>
              </w:tc>
              <w:tc>
                <w:tcPr>
                  <w:tcW w:type="dxa" w:w="851"/>
                </w:tcPr>
                <w:p>
                  <w:pPr>
                    <w:pStyle w:val="null3"/>
                  </w:pPr>
                  <w:r>
                    <w:rPr>
                      <w:rFonts w:ascii="仿宋_GB2312" w:hAnsi="仿宋_GB2312" w:cs="仿宋_GB2312" w:eastAsia="仿宋_GB2312"/>
                    </w:rPr>
                    <w:t>（1）车辆行驶路线设置合理、规范，导向标志完整、清晰。</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（2）合理规划车辆停放区域，张贴车辆引导标识，对车辆及停放区域实行规范管理。</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（3）严禁在办公楼的公用走道、楼梯间、安全出口处等公共区域停放车辆或充电。</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（4）非机动车定点有序停放。</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（5）发现车辆异常情况及时通知车主，并做好登记；发生交通事故、自然灾害等意外事故时及时赶赴现场疏导和协助处理，响应时间不超过3分钟。</w:t>
                  </w:r>
                </w:p>
              </w:tc>
            </w:tr>
            <w:tr>
              <w:tc>
                <w:tcPr>
                  <w:tcW w:type="dxa" w:w="851"/>
                  <w:vMerge w:val="restart"/>
                </w:tcPr>
                <w:p>
                  <w:pPr>
                    <w:pStyle w:val="null3"/>
                  </w:pPr>
                  <w:r>
                    <w:rPr>
                      <w:rFonts w:ascii="仿宋_GB2312" w:hAnsi="仿宋_GB2312" w:cs="仿宋_GB2312" w:eastAsia="仿宋_GB2312"/>
                    </w:rPr>
                    <w:t>6</w:t>
                  </w:r>
                </w:p>
              </w:tc>
              <w:tc>
                <w:tcPr>
                  <w:tcW w:type="dxa" w:w="851"/>
                  <w:vMerge w:val="restart"/>
                </w:tcPr>
                <w:p>
                  <w:pPr>
                    <w:pStyle w:val="null3"/>
                  </w:pPr>
                  <w:r>
                    <w:rPr>
                      <w:rFonts w:ascii="仿宋_GB2312" w:hAnsi="仿宋_GB2312" w:cs="仿宋_GB2312" w:eastAsia="仿宋_GB2312"/>
                    </w:rPr>
                    <w:t>消防安全管理</w:t>
                  </w:r>
                </w:p>
              </w:tc>
              <w:tc>
                <w:tcPr>
                  <w:tcW w:type="dxa" w:w="851"/>
                </w:tcPr>
                <w:p>
                  <w:pPr>
                    <w:pStyle w:val="null3"/>
                  </w:pPr>
                  <w:r>
                    <w:rPr>
                      <w:rFonts w:ascii="仿宋_GB2312" w:hAnsi="仿宋_GB2312" w:cs="仿宋_GB2312" w:eastAsia="仿宋_GB2312"/>
                    </w:rPr>
                    <w:t>（1）建立消防安全责任制，确定各级消防安全责任人及其职责。</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（2）消防控制室实行24小时值班制度，每班不少于2人。</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（3）消火栓、应急照明、应急物资、消防及人员逃生通道、消防车通道可随时正常使用。</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（4）易燃易爆品设专区专人管理，做好相关记录。</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（5）定期组织消防安全宣传，每半年至少开展1次消防演练。</w:t>
                  </w:r>
                </w:p>
              </w:tc>
            </w:tr>
            <w:tr>
              <w:tc>
                <w:tcPr>
                  <w:tcW w:type="dxa" w:w="851"/>
                  <w:vMerge w:val="restart"/>
                </w:tcPr>
                <w:p>
                  <w:pPr>
                    <w:pStyle w:val="null3"/>
                  </w:pPr>
                  <w:r>
                    <w:rPr>
                      <w:rFonts w:ascii="仿宋_GB2312" w:hAnsi="仿宋_GB2312" w:cs="仿宋_GB2312" w:eastAsia="仿宋_GB2312"/>
                    </w:rPr>
                    <w:t>7</w:t>
                  </w:r>
                </w:p>
              </w:tc>
              <w:tc>
                <w:tcPr>
                  <w:tcW w:type="dxa" w:w="851"/>
                  <w:vMerge w:val="restart"/>
                </w:tcPr>
                <w:p>
                  <w:pPr>
                    <w:pStyle w:val="null3"/>
                  </w:pPr>
                  <w:r>
                    <w:rPr>
                      <w:rFonts w:ascii="仿宋_GB2312" w:hAnsi="仿宋_GB2312" w:cs="仿宋_GB2312" w:eastAsia="仿宋_GB2312"/>
                    </w:rPr>
                    <w:t>突发事件处理</w:t>
                  </w:r>
                </w:p>
              </w:tc>
              <w:tc>
                <w:tcPr>
                  <w:tcW w:type="dxa" w:w="851"/>
                </w:tcPr>
                <w:p>
                  <w:pPr>
                    <w:pStyle w:val="null3"/>
                  </w:pPr>
                  <w:r>
                    <w:rPr>
                      <w:rFonts w:ascii="仿宋_GB2312" w:hAnsi="仿宋_GB2312" w:cs="仿宋_GB2312" w:eastAsia="仿宋_GB2312"/>
                    </w:rPr>
                    <w:t>（1）制定突发事件安全责任书，明确突发事件责任人及应承担的安全责任。</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（2）建立应急突发事件处置队伍，明确各自的职责。</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（3）识别、分析各种潜在风险，针对不同风险类型制定相应解决方案，并配备应急物资。</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（4）每半年至少开展1次突发事件应急演练，并有相应记录。</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（5）发生意外事件时，及时采取应急措施，维护办公区域物业服务正常进行，保护人身财产安全。</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（6）办公区域物业服务应急预案终止实施后，积极采取措施，在尽可能短的时间内，消除事故带来的不良影响，妥善安置和慰问受害及受影响的人员和部门。</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（7）事故处理后，及时形成事故应急总结报告，完善应急救援工作方案。</w:t>
                  </w:r>
                </w:p>
              </w:tc>
            </w:tr>
            <w:tr>
              <w:tc>
                <w:tcPr>
                  <w:tcW w:type="dxa" w:w="851"/>
                  <w:vMerge w:val="restart"/>
                </w:tcPr>
                <w:p>
                  <w:pPr>
                    <w:pStyle w:val="null3"/>
                  </w:pPr>
                  <w:r>
                    <w:rPr>
                      <w:rFonts w:ascii="仿宋_GB2312" w:hAnsi="仿宋_GB2312" w:cs="仿宋_GB2312" w:eastAsia="仿宋_GB2312"/>
                    </w:rPr>
                    <w:t>8</w:t>
                  </w:r>
                </w:p>
              </w:tc>
              <w:tc>
                <w:tcPr>
                  <w:tcW w:type="dxa" w:w="851"/>
                  <w:vMerge w:val="restart"/>
                </w:tcPr>
                <w:p>
                  <w:pPr>
                    <w:pStyle w:val="null3"/>
                  </w:pPr>
                  <w:r>
                    <w:rPr>
                      <w:rFonts w:ascii="仿宋_GB2312" w:hAnsi="仿宋_GB2312" w:cs="仿宋_GB2312" w:eastAsia="仿宋_GB2312"/>
                    </w:rPr>
                    <w:t>大型活动秩序</w:t>
                  </w:r>
                </w:p>
              </w:tc>
              <w:tc>
                <w:tcPr>
                  <w:tcW w:type="dxa" w:w="851"/>
                </w:tcPr>
                <w:p>
                  <w:pPr>
                    <w:pStyle w:val="null3"/>
                  </w:pPr>
                  <w:r>
                    <w:rPr>
                      <w:rFonts w:ascii="仿宋_GB2312" w:hAnsi="仿宋_GB2312" w:cs="仿宋_GB2312" w:eastAsia="仿宋_GB2312"/>
                    </w:rPr>
                    <w:t>（1）制定相应的活动秩序维护方案，合理安排人员，并对场所的安全隐患进行排查。</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（2）应当保障通道、出入口、停车场等区域畅通。</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（3）活动举办过程中，做好现场秩序的维护和突发事故的处置工作，确保活动正常进行。</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三、人员要求</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部门职能</w:t>
                  </w:r>
                </w:p>
              </w:tc>
              <w:tc>
                <w:tcPr>
                  <w:tcW w:type="dxa" w:w="511"/>
                </w:tcPr>
                <w:p>
                  <w:pPr>
                    <w:pStyle w:val="null3"/>
                  </w:pPr>
                  <w:r>
                    <w:rPr>
                      <w:rFonts w:ascii="仿宋_GB2312" w:hAnsi="仿宋_GB2312" w:cs="仿宋_GB2312" w:eastAsia="仿宋_GB2312"/>
                    </w:rPr>
                    <w:t>岗位</w:t>
                  </w:r>
                </w:p>
              </w:tc>
              <w:tc>
                <w:tcPr>
                  <w:tcW w:type="dxa" w:w="511"/>
                </w:tcPr>
                <w:p>
                  <w:pPr>
                    <w:pStyle w:val="null3"/>
                  </w:pPr>
                  <w:r>
                    <w:rPr>
                      <w:rFonts w:ascii="仿宋_GB2312" w:hAnsi="仿宋_GB2312" w:cs="仿宋_GB2312" w:eastAsia="仿宋_GB2312"/>
                    </w:rPr>
                    <w:t>同时在岗人数</w:t>
                  </w:r>
                </w:p>
              </w:tc>
              <w:tc>
                <w:tcPr>
                  <w:tcW w:type="dxa" w:w="511"/>
                </w:tcPr>
                <w:p>
                  <w:pPr>
                    <w:pStyle w:val="null3"/>
                  </w:pPr>
                  <w:r>
                    <w:rPr>
                      <w:rFonts w:ascii="仿宋_GB2312" w:hAnsi="仿宋_GB2312" w:cs="仿宋_GB2312" w:eastAsia="仿宋_GB2312"/>
                    </w:rPr>
                    <w:t>岗位所需总人数</w:t>
                  </w:r>
                </w:p>
              </w:tc>
              <w:tc>
                <w:tcPr>
                  <w:tcW w:type="dxa" w:w="511"/>
                </w:tcPr>
                <w:p>
                  <w:pPr>
                    <w:pStyle w:val="null3"/>
                  </w:pPr>
                  <w:r>
                    <w:rPr>
                      <w:rFonts w:ascii="仿宋_GB2312" w:hAnsi="仿宋_GB2312" w:cs="仿宋_GB2312" w:eastAsia="仿宋_GB2312"/>
                    </w:rPr>
                    <w:t>备注（岗位所需服务时长或时段、需具备的上岗资格证、人员学历、工作经验等要求）</w:t>
                  </w:r>
                </w:p>
              </w:tc>
            </w:tr>
            <w:tr>
              <w:tc>
                <w:tcPr>
                  <w:tcW w:type="dxa" w:w="511"/>
                </w:tcPr>
                <w:p>
                  <w:pPr>
                    <w:pStyle w:val="null3"/>
                  </w:pPr>
                  <w:r>
                    <w:rPr>
                      <w:rFonts w:ascii="仿宋_GB2312" w:hAnsi="仿宋_GB2312" w:cs="仿宋_GB2312" w:eastAsia="仿宋_GB2312"/>
                    </w:rPr>
                    <w:t>服务中心</w:t>
                  </w:r>
                </w:p>
              </w:tc>
              <w:tc>
                <w:tcPr>
                  <w:tcW w:type="dxa" w:w="511"/>
                </w:tcPr>
                <w:p>
                  <w:pPr>
                    <w:pStyle w:val="null3"/>
                  </w:pPr>
                  <w:r>
                    <w:rPr>
                      <w:rFonts w:ascii="仿宋_GB2312" w:hAnsi="仿宋_GB2312" w:cs="仿宋_GB2312" w:eastAsia="仿宋_GB2312"/>
                    </w:rPr>
                    <w:t>项目经理</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公用设施设备维护服务</w:t>
                  </w:r>
                </w:p>
              </w:tc>
              <w:tc>
                <w:tcPr>
                  <w:tcW w:type="dxa" w:w="511"/>
                </w:tcPr>
                <w:p>
                  <w:pPr>
                    <w:pStyle w:val="null3"/>
                  </w:pPr>
                  <w:r>
                    <w:rPr>
                      <w:rFonts w:ascii="仿宋_GB2312" w:hAnsi="仿宋_GB2312" w:cs="仿宋_GB2312" w:eastAsia="仿宋_GB2312"/>
                    </w:rPr>
                    <w:t>水电工</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特种作业操作证（低压电工作业）</w:t>
                  </w:r>
                </w:p>
              </w:tc>
            </w:tr>
            <w:tr>
              <w:tc>
                <w:tcPr>
                  <w:tcW w:type="dxa" w:w="511"/>
                </w:tcPr>
                <w:p>
                  <w:pPr>
                    <w:pStyle w:val="null3"/>
                  </w:pPr>
                  <w:r>
                    <w:rPr>
                      <w:rFonts w:ascii="仿宋_GB2312" w:hAnsi="仿宋_GB2312" w:cs="仿宋_GB2312" w:eastAsia="仿宋_GB2312"/>
                    </w:rPr>
                    <w:t>保洁服务</w:t>
                  </w:r>
                </w:p>
              </w:tc>
              <w:tc>
                <w:tcPr>
                  <w:tcW w:type="dxa" w:w="511"/>
                </w:tcPr>
                <w:p>
                  <w:pPr>
                    <w:pStyle w:val="null3"/>
                  </w:pPr>
                  <w:r>
                    <w:rPr>
                      <w:rFonts w:ascii="仿宋_GB2312" w:hAnsi="仿宋_GB2312" w:cs="仿宋_GB2312" w:eastAsia="仿宋_GB2312"/>
                    </w:rPr>
                    <w:t>保洁员</w:t>
                  </w:r>
                </w:p>
              </w:tc>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保安服务</w:t>
                  </w:r>
                </w:p>
              </w:tc>
              <w:tc>
                <w:tcPr>
                  <w:tcW w:type="dxa" w:w="511"/>
                </w:tcPr>
                <w:p>
                  <w:pPr>
                    <w:pStyle w:val="null3"/>
                  </w:pPr>
                  <w:r>
                    <w:rPr>
                      <w:rFonts w:ascii="仿宋_GB2312" w:hAnsi="仿宋_GB2312" w:cs="仿宋_GB2312" w:eastAsia="仿宋_GB2312"/>
                    </w:rPr>
                    <w:t>门岗</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 xml:space="preserve"> </w:t>
                  </w:r>
                </w:p>
              </w:tc>
            </w:tr>
          </w:tbl>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四、商务要求</w:t>
            </w:r>
          </w:p>
          <w:p>
            <w:pPr>
              <w:pStyle w:val="null3"/>
            </w:pPr>
            <w:r>
              <w:rPr>
                <w:rFonts w:ascii="仿宋_GB2312" w:hAnsi="仿宋_GB2312" w:cs="仿宋_GB2312" w:eastAsia="仿宋_GB2312"/>
              </w:rPr>
              <w:t>1.服务地点：采购人指定地点。</w:t>
            </w:r>
          </w:p>
          <w:p>
            <w:pPr>
              <w:pStyle w:val="null3"/>
            </w:pPr>
            <w:r>
              <w:rPr>
                <w:rFonts w:ascii="仿宋_GB2312" w:hAnsi="仿宋_GB2312" w:cs="仿宋_GB2312" w:eastAsia="仿宋_GB2312"/>
              </w:rPr>
              <w:t>2.服务期：自合同签订之日起2年，合同一年一签。</w:t>
            </w:r>
          </w:p>
          <w:p>
            <w:pPr>
              <w:pStyle w:val="null3"/>
            </w:pPr>
            <w:r>
              <w:rPr>
                <w:rFonts w:ascii="仿宋_GB2312" w:hAnsi="仿宋_GB2312" w:cs="仿宋_GB2312" w:eastAsia="仿宋_GB2312"/>
              </w:rPr>
              <w:t>3.成交供应商不得将项目转包或分包给第三方。</w:t>
            </w:r>
          </w:p>
          <w:p>
            <w:pPr>
              <w:pStyle w:val="null3"/>
            </w:pPr>
            <w:r>
              <w:rPr>
                <w:rFonts w:ascii="仿宋_GB2312" w:hAnsi="仿宋_GB2312" w:cs="仿宋_GB2312" w:eastAsia="仿宋_GB2312"/>
              </w:rPr>
              <w:t>4.付款方式：合同签订后每满一个月后支付该时间段的服务费用。服务期内年度共支付服务费用不超过470,000元，具体金额以合同为准。</w:t>
            </w:r>
          </w:p>
          <w:p>
            <w:pPr>
              <w:pStyle w:val="null3"/>
            </w:pPr>
            <w:r>
              <w:rPr>
                <w:rFonts w:ascii="仿宋_GB2312" w:hAnsi="仿宋_GB2312" w:cs="仿宋_GB2312" w:eastAsia="仿宋_GB2312"/>
              </w:rPr>
              <w:t>5.其他：服务人员应每年一次到当地卫生防疫部门进行健康体检，领取合格的《健康证》后方可上岗工作，发现患传染病人员应立即换岗。平时应保持个人卫生，穿戴清洁的工作衣帽。</w:t>
            </w:r>
          </w:p>
          <w:p>
            <w:pPr>
              <w:pStyle w:val="null3"/>
            </w:pPr>
            <w:r>
              <w:rPr>
                <w:rFonts w:ascii="仿宋_GB2312" w:hAnsi="仿宋_GB2312" w:cs="仿宋_GB2312" w:eastAsia="仿宋_GB2312"/>
              </w:rPr>
              <w:t>6.进度要求：按照单位要求，做好每日卫生清洁、安全巡查、维修检修等工作。</w:t>
            </w:r>
          </w:p>
          <w:p>
            <w:pPr>
              <w:pStyle w:val="null3"/>
            </w:pPr>
            <w:r>
              <w:rPr>
                <w:rFonts w:ascii="仿宋_GB2312" w:hAnsi="仿宋_GB2312" w:cs="仿宋_GB2312" w:eastAsia="仿宋_GB2312"/>
              </w:rPr>
              <w:t>7.成果交付要求：提供的物业服务符合国家物业安全管理相关要求，各项物业服务标准达到双方合同约定。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自合同签订之日起2年，合同一年一签。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1.采购人进行验收，若认为验收不合格，供应商应重新调整且进行重新验收。 2.验收依据： ①本项目磋商文件、磋商响应文件； ②本合同及附件文本； ③合同签订时国家及行业现行的标准和技术规范。 ④供应商应向采购人提交项目实施过程中的所有资料，以便采购人日后整理汇总。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进度款，合同签订后每满一个月后支付该时间段的服务费用。服务期内年度共支付服务费用不超过470,000元，具体金额以合同为准。，达到付款条件起30个工作日内，支付合同总金额的10.0%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进度款，合同签订后每满一个月后支付该时间段的服务费用。服务期内年度共支付服务费用不超过470,000元，具体金额以合同为准。，达到付款条件起30个工作日内，支付合同总金额的10.0%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进度款，合同签订后每满一个月后支付该时间段的服务费用。服务期内年度共支付服务费用不超过470,000元，具体金额以合同为准。，达到付款条件起30个工作日内，支付合同总金额的8.0%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进度款，合同签订后每满一个月后支付该时间段的服务费用。服务期内年度共支付服务费用不超过470,000元，具体金额以合同为准。，达到付款条件起30个工作日内，支付合同总金额的8.0%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进度款，合同签订后每满一个月后支付该时间段的服务费用。服务期内年度共支付服务费用不超过470,000元，具体金额以合同为准。，达到付款条件起30个工作日内，支付合同总金额的8.0%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进度款，合同签订后每满一个月后支付该时间段的服务费用。服务期内年度共支付服务费用不超过470,000元，具体金额以合同为准。，达到付款条件起30个工作日内，支付合同总金额的8.0%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进度款，合同签订后每满一个月后支付该时间段的服务费用。服务期内年度共支付服务费用不超过470,000元，具体金额以合同为准。，达到付款条件起30个工作日内，支付合同总金额的8.0%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进度款，合同签订后每满一个月后支付该时间段的服务费用。服务期内年度共支付服务费用不超过470,000元，具体金额以合同为准。，达到付款条件起30个工作日内，支付合同总金额的8.0%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进度款，合同签订后每满一个月后支付该时间段的服务费用。服务期内年度共支付服务费用不超过470,000元，具体金额以合同为准。，达到付款条件起30个工作日内，支付合同总金额的8.0%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进度款，合同签订后每满一个月后支付该时间段的服务费用。服务期内年度共支付服务费用不超过470,000元，具体金额以合同为准。，达到付款条件起30个工作日内，支付合同总金额的8.0%</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进度款，合同签订后每满一个月后支付该时间段的服务费用。服务期内年度共支付服务费用不超过470,000元，具体金额以合同为准。，达到付款条件起30个工作日内，支付合同总金额的8.0%</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进度款，合同签订后每满一个月后支付该时间段的服务费用。服务期内年度共支付服务费用不超过470,000元，具体金额以合同为准。，达到付款条件起30个工作日内，支付合同总金额的8.0%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违约责任：1.按《中华人民共和国合同法》中的相关条款执行。 2.未按合同要求提供产品及服务，质量不能满足技术要求，采购人有权终止合同，并对供应商违约行为进行追究，同时按《政府采购法》的有关规定进行处罚。 解决争议的方法：合同执行中发生争议的，当事人双方应协商解决。协商不一致时，向有管辖权的人民法院提起诉讼。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1.本项目专门面向中小企业采购，供应商应为中小微企业或监狱企业或残疾人福利性单位。 2.本项目合同包1采购标的所属行业为：物业管理； 3.本项目是否属于信用担保试点范围：否。 4.本项目为固定总价合同。 5.磋商中出现下列情形之一的，磋商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磋商小组基于专业判断，认为供应商报价过低，有可能影响产品质量或者不能诚信履约的其他情形。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2026年01月至今已缴纳的至少一个月的纳税证明或完税证明（任意税种），依法免税的单位应提供相关证明材料；3.提供2026年01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依据财库〔2026〕2号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中小企业声明函 报价表 其他说明.docx 资格证明文件.docx 响应文件封面 残疾人福利性单位声明函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中小企业声明函 报价表 其他说明.docx 资格证明文件.docx 响应文件封面 残疾人福利性单位声明函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 商务条款偏离表.docx 其他说明.docx 磋商方案.docx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针对本项目提供服务方案，方案内容包含但不限于：①保洁服务⽅案；②设施维修⽅案；③会务服务方案；④绿化养护⽅案等内容。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1.5分，每项评审内容每有一处缺陷扣0.5分，未提供得0分，满分18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拟投⼊⼈员情况</w:t>
            </w:r>
          </w:p>
        </w:tc>
        <w:tc>
          <w:tcPr>
            <w:tcW w:type="dxa" w:w="2492"/>
          </w:tcPr>
          <w:p>
            <w:pPr>
              <w:pStyle w:val="null3"/>
            </w:pPr>
            <w:r>
              <w:rPr>
                <w:rFonts w:ascii="仿宋_GB2312" w:hAnsi="仿宋_GB2312" w:cs="仿宋_GB2312" w:eastAsia="仿宋_GB2312"/>
              </w:rPr>
              <w:t>一、评审内容 针对本项目提供服务⼈员的配备⽅案，方案内容包含但不限于：①⼈员配置明细；②人员的岗位职责及分工；③人员管理制度；④相关奖惩措施等内容。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12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 针对服务内容及要求提供关于服务保障措施，包括但不限于：①服务质量保证承诺；②服务响应时限及人员到位安排情况；③保密措施；④安全保障措施等。 二、评审标准 1.完整性：方案须全面，对评审内容中的各项要求有详细描述及说明； 2.可实施性：切合本项目实际情况，实施步骤清晰、合理； 3.针对性：方案能够紧扣项目实际情况，内容科学合理。 三、赋分标准 完整性和可实施性评审内容，上述评审内容每完全满足一项评审标准得1分，每项评审内容每有一处缺陷扣0.5分；针对性评审内容，每完全满足一项评审标准得0.5分，上述评审内容每有一处缺陷扣0.2分；未提供得0分，满分10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拟投⼊⼯作及保洁⽤具</w:t>
            </w:r>
          </w:p>
        </w:tc>
        <w:tc>
          <w:tcPr>
            <w:tcW w:type="dxa" w:w="2492"/>
          </w:tcPr>
          <w:p>
            <w:pPr>
              <w:pStyle w:val="null3"/>
            </w:pPr>
            <w:r>
              <w:rPr>
                <w:rFonts w:ascii="仿宋_GB2312" w:hAnsi="仿宋_GB2312" w:cs="仿宋_GB2312" w:eastAsia="仿宋_GB2312"/>
              </w:rPr>
              <w:t>针对本项目提供所需保洁、维修、养护等设备，并提供应急配套设备（需提供拟投入设备清单）得4分，提供设备不能满足会议需要或未提供不得分。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供应商需提供培训计划方案，方案包括但不限于:①培训内容②培训方式、培训目标。每提供一项内容得2分；满分4分。 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针对本次活动举办过程中可能遇到的突发事件及分析，并提供针对突发事件的响应时间、对策，每提供一项合理详细有可行性的应急方案得2分，满分10分。不提供不得分。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供应商针对本项目提供①物业管理服务专项承诺②保洁服务专项承诺③设施设备运⾏与维护服务专项承诺；每提供一项内容得2分，满分6分。不提供不得分。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反馈</w:t>
            </w:r>
          </w:p>
        </w:tc>
        <w:tc>
          <w:tcPr>
            <w:tcW w:type="dxa" w:w="2492"/>
          </w:tcPr>
          <w:p>
            <w:pPr>
              <w:pStyle w:val="null3"/>
            </w:pPr>
            <w:r>
              <w:rPr>
                <w:rFonts w:ascii="仿宋_GB2312" w:hAnsi="仿宋_GB2312" w:cs="仿宋_GB2312" w:eastAsia="仿宋_GB2312"/>
              </w:rPr>
              <w:t>供应商针对本项目提供①定期回访安排②意⻅反馈机制，每提供一项内容得3分，满分6分。不提供不得分。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01月01日至今类似项目业绩，每提供1份计2分，最高得10分；业绩证明（以合同（协议）或中标（成交）通知书或保单为准，须在磋商响应文件中附合同（协议）或中标（成交）通知书或保单的扫描件加盖单位公章）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15分。3.磋商报价得分=（磋商基准价/最终磋商报价）×15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详见附件：西安市莲湖区人力资源和社会保障局机关物业承包项目采购合同.docx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